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DSE — Okta OIDC Integration Request (Summary)</w:t>
      </w:r>
    </w:p>
    <w:p>
      <w:pPr/>
      <w:r>
        <w:t xml:space="preserve">Oct 15, 2026</w:t>
      </w:r>
      <w:r>
        <w:t xml:space="preserve"> · Prepared by </w:t>
      </w:r>
      <w:r>
        <w:t xml:space="preserve">@Suresh</w:t>
      </w:r>
      <w:r>
        <w:t xml:space="preserve"> · Status: For management approval</w:t>
      </w:r>
    </w:p>
    <w:p>
      <w:pPr>
        <w:pStyle w:val="Heading2"/>
      </w:pPr>
      <w:r>
        <w:t xml:space="preserve">Request</w:t>
      </w:r>
    </w:p>
    <w:p>
      <w:pPr/>
      <w:r>
        <w:t xml:space="preserve">DSE is an internal React application, used only by RNT staff and deployed in a private-only AWS environment. It currently has no way to confirm who is using it. We request approval to sign users in through the company's Okta tenant using OpenID Connect (OIDC), the same Okta login the RNT portal and other internal applications already use, and to adopt this as the default sign-in method for internal applications, starting with a Next.js POC.</w:t>
      </w:r>
    </w:p>
    <w:p>
      <w:pPr>
        <w:pStyle w:val="Heading2"/>
      </w:pPr>
      <w:r>
        <w:t xml:space="preserve">Why OIDC</w:t>
      </w:r>
    </w:p>
    <w:p>
      <w:pPr>
        <w:pStyle w:val="ListParagraph"/>
        <w:numPr>
          <w:ilvl w:val="0"/>
          <w:numId w:val="2"/>
        </w:numPr>
      </w:pPr>
      <w:r>
        <w:rPr>
          <w:b/>
        </w:rPr>
        <w:t xml:space="preserve">Know who is using DSE:</w:t>
      </w:r>
      <w:r>
        <w:t xml:space="preserve"> every request carries a verified corporate identity with MFA; today anyone on the internal network can use it.</w:t>
      </w:r>
    </w:p>
    <w:p>
      <w:pPr>
        <w:pStyle w:val="ListParagraph"/>
        <w:numPr>
          <w:ilvl w:val="0"/>
          <w:numId w:val="2"/>
        </w:numPr>
      </w:pPr>
      <w:r>
        <w:rPr>
          <w:b/>
        </w:rPr>
        <w:t xml:space="preserve">Role-based access:</w:t>
      </w:r>
      <w:r>
        <w:t xml:space="preserve"> Okta groups (</w:t>
      </w:r>
      <w:r>
        <w:rPr>
          <w:rStyle w:val="CodeChar"/>
        </w:rPr>
        <w:t xml:space="preserve">DSE-Users</w:t>
      </w:r>
      <w:r>
        <w:t xml:space="preserve">, </w:t>
      </w:r>
      <w:r>
        <w:rPr>
          <w:rStyle w:val="CodeChar"/>
        </w:rPr>
        <w:t xml:space="preserve">DSE-Admins</w:t>
      </w:r>
      <w:r>
        <w:t xml:space="preserve">) control what each user can do.</w:t>
      </w:r>
    </w:p>
    <w:p>
      <w:pPr>
        <w:pStyle w:val="ListParagraph"/>
        <w:numPr>
          <w:ilvl w:val="0"/>
          <w:numId w:val="2"/>
        </w:numPr>
      </w:pPr>
      <w:r>
        <w:rPr>
          <w:b/>
        </w:rPr>
        <w:t xml:space="preserve">Audit and offboarding:</w:t>
      </w:r>
      <w:r>
        <w:t xml:space="preserve"> actions are tied to named users, and disabling an Okta account removes DSE access through existing HR processes.</w:t>
      </w:r>
    </w:p>
    <w:p>
      <w:pPr>
        <w:pStyle w:val="ListParagraph"/>
        <w:numPr>
          <w:ilvl w:val="0"/>
          <w:numId w:val="2"/>
        </w:numPr>
      </w:pPr>
      <w:r>
        <w:rPr>
          <w:b/>
        </w:rPr>
        <w:t xml:space="preserve">No passwords in DSE:</w:t>
      </w:r>
      <w:r>
        <w:t xml:space="preserve"> Okta stays the single source of identity; nothing new to store, reset or audit.</w:t>
      </w:r>
    </w:p>
    <w:p>
      <w:pPr>
        <w:pStyle w:val="ListParagraph"/>
        <w:numPr>
          <w:ilvl w:val="0"/>
          <w:numId w:val="2"/>
        </w:numPr>
      </w:pPr>
      <w:r>
        <w:rPr>
          <w:b/>
        </w:rPr>
        <w:t xml:space="preserve">Ready for APIs and future AI features:</w:t>
      </w:r>
      <w:r>
        <w:t xml:space="preserve"> the same OIDC tokens identify the user to backend services.</w:t>
      </w:r>
    </w:p>
    <w:p>
      <w:pPr>
        <w:pStyle w:val="Heading2"/>
      </w:pPr>
      <w:r>
        <w:t xml:space="preserve">How it works</w:t>
      </w:r>
    </w:p>
    <w:p>
      <w:pPr/>
      <w:r>
        <w:t xml:space="preserve">When a user opens DSE, the internal AWS load balancer redirects their browser to Okta. The user signs in with their corporate account and MFA, and Okta sends them back with a one-time code. The load balancer exchanges that code with Okta, then forwards the request to DSE with a signed header naming the user and their groups. The backend verifies that header and applies roles; the React app holds only a secure session cookie, never tokens.</w:t>
      </w:r>
    </w:p>
    <w:p>
      <w:pPr/>
      <w:r>
        <w:t xml:space="preserve">Okta never connects into the VPC, and nothing is exposed to the internet. The only new traffic is one outbound HTTPS call from AWS to Okta.</w:t>
      </w:r>
    </w:p>
    <w:p>
      <w:pPr>
        <w:pStyle w:val="Heading2"/>
      </w:pPr>
      <w:r>
        <w:t xml:space="preserve">Recommended approach</w:t>
      </w:r>
    </w:p>
    <w:p>
      <w:pPr/>
      <w:r>
        <w:rPr>
          <w:b/>
        </w:rPr>
        <w:t xml:space="preserve">Okta OIDC enforced at the internal load balancer, with roles enforced in the DSE backend.</w:t>
      </w:r>
      <w:r>
        <w:t xml:space="preserve"> Unauthenticated requests never reach the application, a bug in DSE cannot bypass sign-in, and the load balancer feature is configuration rather than custom code.</w:t>
      </w:r>
    </w:p>
    <w:p>
      <w:pPr/>
      <w:r>
        <w:t xml:space="preserve">Alternatives considered: network access alone (no identity or audit) and local passwords (duplicates Okta) were rejected. OIDC coded inside the app, or the Okta SDK in the browser, would work but put more security logic in app code and tokens in the browser. SAML is the fallback only if no outbound call to Okta is permitted.</w:t>
      </w:r>
    </w:p>
    <w:p>
      <w:pPr>
        <w:pStyle w:val="Heading2"/>
      </w:pPr>
      <w:r>
        <w:t xml:space="preserve">What we need (OIDC only)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Request</w:t>
            </w:r>
          </w:p>
        </w:tc>
        <w:tc>
          <w:tcPr>
            <w:tcW w:w="4680" w:type="dxa"/>
            <w:shd w:val="clear" w:color="auto" w:fill="F2F2F2"/>
          </w:tcPr>
          <w:p>
            <w:pPr/>
            <w:r>
              <w:t xml:space="preserve">Owner</w:t>
            </w:r>
          </w:p>
        </w:tc>
      </w:tr>
      <w:tr>
        <w:tc>
          <w:tcPr>
            <w:tcW w:w="4680" w:type="dxa"/>
          </w:tcPr>
          <w:p>
            <w:pPr/>
            <w:r>
              <w:t xml:space="preserve">Okta OIDC web app for DSE (Authorization Code + PKCE), redirect </w:t>
            </w:r>
            <w:r>
              <w:rPr>
                <w:rStyle w:val="CodeChar"/>
              </w:rPr>
              <w:t xml:space="preserve">https://dse.&lt;domain&gt;/oauth2/idpresponse</w:t>
            </w:r>
            <w:r>
              <w:t xml:space="preserve">, one per environment</w:t>
            </w:r>
          </w:p>
        </w:tc>
        <w:tc>
          <w:tcPr>
            <w:tcW w:w="4680" w:type="dxa"/>
          </w:tcPr>
          <w:p>
            <w:pPr/>
            <w:r>
              <w:t xml:space="preserve">Okta admin</w:t>
            </w:r>
          </w:p>
        </w:tc>
      </w:tr>
      <w:tr>
        <w:tc>
          <w:tcPr>
            <w:tcW w:w="4680" w:type="dxa"/>
          </w:tcPr>
          <w:p>
            <w:pPr/>
            <w:r>
              <w:t xml:space="preserve">Authorization server with groups claim filtered to </w:t>
            </w:r>
            <w:r>
              <w:rPr>
                <w:rStyle w:val="CodeChar"/>
              </w:rPr>
              <w:t xml:space="preserve">DSE-</w:t>
            </w:r>
            <w:r>
              <w:t xml:space="preserve">; scopes </w:t>
            </w:r>
            <w:r>
              <w:rPr>
                <w:rStyle w:val="CodeChar"/>
              </w:rPr>
              <w:t xml:space="preserve">openid profile email groups</w:t>
            </w:r>
          </w:p>
        </w:tc>
        <w:tc>
          <w:tcPr>
            <w:tcW w:w="4680" w:type="dxa"/>
          </w:tcPr>
          <w:p>
            <w:pPr/>
            <w:r>
              <w:t xml:space="preserve">Okta admin</w:t>
            </w:r>
          </w:p>
        </w:tc>
      </w:tr>
      <w:tr>
        <w:tc>
          <w:tcPr>
            <w:tcW w:w="4680" w:type="dxa"/>
          </w:tcPr>
          <w:p>
            <w:pPr/>
            <w:r>
              <w:t xml:space="preserve">Groups </w:t>
            </w:r>
            <w:r>
              <w:rPr>
                <w:rStyle w:val="CodeChar"/>
              </w:rPr>
              <w:t xml:space="preserve">DSE-Users</w:t>
            </w:r>
            <w:r>
              <w:t xml:space="preserve">, </w:t>
            </w:r>
            <w:r>
              <w:rPr>
                <w:rStyle w:val="CodeChar"/>
              </w:rPr>
              <w:t xml:space="preserve">DSE-Admins</w:t>
            </w:r>
            <w:r>
              <w:t xml:space="preserve"> and initial assignments</w:t>
            </w:r>
          </w:p>
        </w:tc>
        <w:tc>
          <w:tcPr>
            <w:tcW w:w="4680" w:type="dxa"/>
          </w:tcPr>
          <w:p>
            <w:pPr/>
            <w:r>
              <w:t xml:space="preserve">Okta admin, business owner approves members</w:t>
            </w:r>
          </w:p>
        </w:tc>
      </w:tr>
      <w:tr>
        <w:tc>
          <w:tcPr>
            <w:tcW w:w="4680" w:type="dxa"/>
          </w:tcPr>
          <w:p>
            <w:pPr/>
            <w:r>
              <w:t xml:space="preserve">Sign-on policy requiring MFA</w:t>
            </w:r>
          </w:p>
        </w:tc>
        <w:tc>
          <w:tcPr>
            <w:tcW w:w="4680" w:type="dxa"/>
          </w:tcPr>
          <w:p>
            <w:pPr/>
            <w:r>
              <w:t xml:space="preserve">Okta admin / security</w:t>
            </w:r>
          </w:p>
        </w:tc>
      </w:tr>
      <w:tr>
        <w:tc>
          <w:tcPr>
            <w:tcW w:w="4680" w:type="dxa"/>
          </w:tcPr>
          <w:p>
            <w:pPr/>
            <w:r>
              <w:t xml:space="preserve">Client secret delivered into AWS Secrets Manager; view access to the app's sign-in logs</w:t>
            </w:r>
          </w:p>
        </w:tc>
        <w:tc>
          <w:tcPr>
            <w:tcW w:w="4680" w:type="dxa"/>
          </w:tcPr>
          <w:p>
            <w:pPr/>
            <w:r>
              <w:t xml:space="preserve">Okta admin + RNT cloud team</w:t>
            </w:r>
          </w:p>
        </w:tc>
      </w:tr>
    </w:tbl>
    <w:p>
      <w:pPr/>
      <w:r>
        <w:t xml:space="preserve">The outbound allowlist to Okta, the load balancer rules and the </w:t>
      </w:r>
      <w:r>
        <w:rPr>
          <w:rStyle w:val="CodeChar"/>
        </w:rPr>
        <w:t xml:space="preserve">dse.&lt;domain&gt;</w:t>
      </w:r>
      <w:r>
        <w:t xml:space="preserve"> certificate are handled through the separate AWS access request. No Okta admin rights or inbound firewall changes are needed.</w:t>
      </w:r>
    </w:p>
    <w:p>
      <w:pPr>
        <w:pStyle w:val="Heading2"/>
      </w:pPr>
      <w:r>
        <w:t xml:space="preserve">Default for internal applications</w:t>
      </w:r>
    </w:p>
    <w:p>
      <w:pPr/>
      <w:r>
        <w:t xml:space="preserve">Approving OIDC once as the standard avoids repeating this review for each internal app. DSE is the first implementation; the Next.js POC follows with no new design. Each later app needs only its own Okta app registration and groups, under its own group prefix.</w:t>
      </w:r>
    </w:p>
    <w:p>
      <w:pPr>
        <w:pStyle w:val="Heading2"/>
      </w:pPr>
      <w:r>
        <w:t xml:space="preserve">Later stage: group-based screen control</w:t>
      </w:r>
    </w:p>
    <w:p>
      <w:pPr/>
      <w:r>
        <w:t xml:space="preserve">Once sign-in is live, finer Okta groups (for example </w:t>
      </w:r>
      <w:r>
        <w:rPr>
          <w:rStyle w:val="CodeChar"/>
        </w:rPr>
        <w:t xml:space="preserve">DSE-&lt;Function&gt;-Viewer</w:t>
      </w:r>
      <w:r>
        <w:t xml:space="preserve"> and </w:t>
      </w:r>
      <w:r>
        <w:rPr>
          <w:rStyle w:val="CodeChar"/>
        </w:rPr>
        <w:t xml:space="preserve">DSE-&lt;Function&gt;-Editor</w:t>
      </w:r>
      <w:r>
        <w:t xml:space="preserve">) will control which screens and actions each user sees. The backend maps groups to permissions through configuration, the React app shows only permitted screens, and every API enforces the same permission. This reuses the same OIDC app and groups claim, so it needs no new OIDC approval, only new groups through the standard request.</w:t>
      </w:r>
    </w:p>
    <w:p>
      <w:pPr>
        <w:pStyle w:val="Heading2"/>
      </w:pPr>
      <w:r>
        <w:t xml:space="preserve">Risks and mitigations</w:t>
      </w:r>
    </w:p>
    <w:p>
      <w:pPr>
        <w:pStyle w:val="ListParagraph"/>
        <w:numPr>
          <w:ilvl w:val="0"/>
          <w:numId w:val="3"/>
        </w:numPr>
      </w:pPr>
      <w:r>
        <w:rPr>
          <w:b/>
        </w:rPr>
        <w:t xml:space="preserve">Outbound path to Okta:</w:t>
      </w:r>
      <w:r>
        <w:t xml:space="preserve"> limited to HTTPS and named domains, logged, approved through the AWS request.</w:t>
      </w:r>
    </w:p>
    <w:p>
      <w:pPr>
        <w:pStyle w:val="ListParagraph"/>
        <w:numPr>
          <w:ilvl w:val="0"/>
          <w:numId w:val="3"/>
        </w:numPr>
      </w:pPr>
      <w:r>
        <w:rPr>
          <w:b/>
        </w:rPr>
        <w:t xml:space="preserve">Client secret exposure:</w:t>
      </w:r>
      <w:r>
        <w:t xml:space="preserve"> held only in Secrets Manager, never in code, GitHub or email.</w:t>
      </w:r>
    </w:p>
    <w:p>
      <w:pPr>
        <w:pStyle w:val="ListParagraph"/>
        <w:numPr>
          <w:ilvl w:val="0"/>
          <w:numId w:val="3"/>
        </w:numPr>
      </w:pPr>
      <w:r>
        <w:rPr>
          <w:b/>
        </w:rPr>
        <w:t xml:space="preserve">Okta outage:</w:t>
      </w:r>
      <w:r>
        <w:t xml:space="preserve"> the same dependency every Okta-protected app already has; existing sessions continue until they expire.</w:t>
      </w:r>
    </w:p>
    <w:p>
      <w:pPr>
        <w:pStyle w:val="ListParagraph"/>
        <w:numPr>
          <w:ilvl w:val="0"/>
          <w:numId w:val="3"/>
        </w:numPr>
      </w:pPr>
      <w:r>
        <w:rPr>
          <w:b/>
        </w:rPr>
        <w:t xml:space="preserve">Over-broad groups:</w:t>
      </w:r>
      <w:r>
        <w:t xml:space="preserve"> business owners approve membership, reviewed quarterly; DSE defaults to least privilege.</w:t>
      </w:r>
    </w:p>
    <w:p>
      <w:pPr/>
      <w:r>
        <w:t xml:space="preserve">Without OIDC, DSE cannot be released to users without an unknown-user audit gap, and any interim workaround would need to be rebuilt later.</w:t>
      </w:r>
    </w:p>
    <w:p>
      <w:pPr>
        <w:pStyle w:val="Heading2"/>
      </w:pPr>
      <w:r>
        <w:t xml:space="preserve">Decisions needed</w:t>
      </w:r>
    </w:p>
    <w:p>
      <w:pPr>
        <w:pStyle w:val="ListParagraph"/>
        <w:numPr>
          <w:ilvl w:val="0"/>
          <w:numId w:val="4"/>
        </w:numPr>
      </w:pPr>
      <w:r>
        <w:t xml:space="preserve">☐ Approve Okta OIDC sign-in for DSE as described above</w:t>
      </w:r>
    </w:p>
    <w:p>
      <w:pPr>
        <w:pStyle w:val="ListParagraph"/>
        <w:numPr>
          <w:ilvl w:val="0"/>
          <w:numId w:val="4"/>
        </w:numPr>
      </w:pPr>
      <w:r>
        <w:t xml:space="preserve">☐ Approve OIDC as the default sign-in method for internal applications, starting with the Next.js POC</w:t>
      </w:r>
    </w:p>
    <w:p>
      <w:pPr>
        <w:pStyle w:val="ListParagraph"/>
        <w:numPr>
          <w:ilvl w:val="0"/>
          <w:numId w:val="4"/>
        </w:numPr>
      </w:pPr>
      <w:r>
        <w:t xml:space="preserve">☐ Name the Okta admin who will action the requests</w:t>
      </w:r>
    </w:p>
    <w:p>
      <w:pPr>
        <w:pStyle w:val="ListParagraph"/>
        <w:numPr>
          <w:ilvl w:val="0"/>
          <w:numId w:val="4"/>
        </w:numPr>
      </w:pPr>
      <w:r>
        <w:t xml:space="preserve">☐ Confirm the business owner who approves </w:t>
      </w:r>
      <w:r>
        <w:rPr>
          <w:rStyle w:val="CodeChar"/>
        </w:rPr>
        <w:t xml:space="preserve">DSE-Users</w:t>
      </w:r>
      <w:r>
        <w:t xml:space="preserve"> and </w:t>
      </w:r>
      <w:r>
        <w:rPr>
          <w:rStyle w:val="CodeChar"/>
        </w:rPr>
        <w:t xml:space="preserve">DSE-Admins</w:t>
      </w:r>
      <w:r>
        <w:t xml:space="preserve"> membership</w:t>
      </w:r>
    </w:p>
    <w:p>
      <w:pPr/>
      <w:r>
        <w:t xml:space="preserve">Full technical detail (sign-in flow, React and Next.js specifics, component list) is in the companion document, </w:t>
      </w:r>
      <w:r>
        <w:rPr>
          <w:i/>
        </w:rPr>
        <w:t xml:space="preserve">Internal Applications — Okta OIDC Integration Request</w:t>
      </w:r>
      <w:r>
        <w:t xml:space="preserv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DSE — Okta OIDC Integration Request (Summary)</dc:title>
  <dc:description>Claude Docs node/bb8c0fea-0677@4 docx-w6</dc:description>
  <cp:revision>4</cp:revision>
</cp:coreProperties>
</file>