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368"/>
      </w:tblGrid>
      <w:tr>
        <w:tc>
          <w:tcPr>
            <w:tcW w:type="dxa" w:w="10368"/>
            <w:shd w:fill="E65F1B"/>
            <w:tcMar>
              <w:top w:w="20" w:type="dxa"/>
              <w:start w:w="120" w:type="dxa"/>
              <w:bottom w:w="20" w:type="dxa"/>
              <w:end w:w="120" w:type="dxa"/>
            </w:tcMar>
          </w:tcPr>
          <w:p>
            <w:r>
              <w:t xml:space="preserve"> </w:t>
            </w:r>
          </w:p>
        </w:tc>
      </w:tr>
    </w:tbl>
    <w:p>
      <w:pPr>
        <w:spacing w:before="880"/>
        <w:jc w:val="center"/>
      </w:pPr>
      <w:r>
        <w:rPr>
          <w:b/>
          <w:color w:val="E65F1B"/>
          <w:sz w:val="28"/>
        </w:rPr>
        <w:t>COURTEDGE PROGEAR</w:t>
      </w:r>
    </w:p>
    <w:p>
      <w:pPr>
        <w:spacing w:before="160" w:after="120"/>
        <w:jc w:val="center"/>
      </w:pPr>
      <w:r>
        <w:rPr>
          <w:b/>
          <w:color w:val="172033"/>
          <w:sz w:val="64"/>
        </w:rPr>
        <w:t>Team Demo Guide</w:t>
      </w:r>
    </w:p>
    <w:p>
      <w:pPr>
        <w:spacing w:after="560"/>
        <w:jc w:val="center"/>
      </w:pPr>
      <w:r>
        <w:rPr>
          <w:color w:val="536078"/>
          <w:sz w:val="28"/>
        </w:rPr>
        <w:t>Everyday access, governed agent identity, and optional FGA approval</w:t>
      </w:r>
    </w:p>
    <w:tbl>
      <w:tblPr>
        <w:tblStyle w:val="TableGrid"/>
        <w:tblW w:type="auto" w:w="0"/>
        <w:tblLayout w:type="fixed"/>
        <w:tblLook w:firstColumn="1" w:firstRow="1" w:lastColumn="0" w:lastRow="0" w:noHBand="0" w:noVBand="1" w:val="04A0"/>
      </w:tblPr>
      <w:tblGrid>
        <w:gridCol w:w="5184"/>
        <w:gridCol w:w="5184"/>
      </w:tblGrid>
      <w:tr>
        <w:tc>
          <w:tcPr>
            <w:tcW w:type="dxa" w:w="1800"/>
            <w:shd w:fill="4A2C1A"/>
            <w:tcMar>
              <w:top w:w="145" w:type="dxa"/>
              <w:start w:w="120" w:type="dxa"/>
              <w:bottom w:w="145" w:type="dxa"/>
              <w:end w:w="120" w:type="dxa"/>
            </w:tcMar>
            <w:vAlign w:val="center"/>
          </w:tcPr>
          <w:p>
            <w:r>
              <w:rPr>
                <w:b/>
                <w:color w:val="FFFFFF"/>
              </w:rPr>
              <w:t>Demo URL</w:t>
            </w:r>
          </w:p>
        </w:tc>
        <w:tc>
          <w:tcPr>
            <w:tcW w:type="dxa" w:w="7920"/>
            <w:shd w:fill="FFFFFF"/>
            <w:tcMar>
              <w:top w:w="145" w:type="dxa"/>
              <w:start w:w="120" w:type="dxa"/>
              <w:bottom w:w="145" w:type="dxa"/>
              <w:end w:w="120" w:type="dxa"/>
            </w:tcMar>
            <w:vAlign w:val="center"/>
          </w:tcPr>
          <w:p>
            <w:hyperlink r:id="rId11">
              <w:r>
                <w:rPr>
                  <w:color w:val="2457D6"/>
                  <w:u w:val="single"/>
                </w:rPr>
                <w:t>https://progear-sales-aiagent.vercel.app</w:t>
              </w:r>
            </w:hyperlink>
          </w:p>
        </w:tc>
      </w:tr>
      <w:tr>
        <w:tc>
          <w:tcPr>
            <w:tcW w:type="dxa" w:w="1800"/>
            <w:shd w:fill="4A2C1A"/>
            <w:tcMar>
              <w:top w:w="145" w:type="dxa"/>
              <w:start w:w="120" w:type="dxa"/>
              <w:bottom w:w="145" w:type="dxa"/>
              <w:end w:w="120" w:type="dxa"/>
            </w:tcMar>
            <w:vAlign w:val="center"/>
          </w:tcPr>
          <w:p>
            <w:r>
              <w:rPr>
                <w:b/>
                <w:color w:val="FFFFFF"/>
              </w:rPr>
              <w:t>FGA video</w:t>
            </w:r>
          </w:p>
        </w:tc>
        <w:tc>
          <w:tcPr>
            <w:tcW w:type="dxa" w:w="7920"/>
            <w:shd w:fill="FFF8DB"/>
            <w:tcMar>
              <w:top w:w="145" w:type="dxa"/>
              <w:start w:w="120" w:type="dxa"/>
              <w:bottom w:w="145" w:type="dxa"/>
              <w:end w:w="120" w:type="dxa"/>
            </w:tcMar>
            <w:vAlign w:val="center"/>
          </w:tcPr>
          <w:p>
            <w:r>
              <w:t>Paste the Google Drive link here</w:t>
            </w:r>
          </w:p>
        </w:tc>
      </w:tr>
      <w:tr>
        <w:tc>
          <w:tcPr>
            <w:tcW w:type="dxa" w:w="1800"/>
            <w:shd w:fill="4A2C1A"/>
            <w:tcMar>
              <w:top w:w="145" w:type="dxa"/>
              <w:start w:w="120" w:type="dxa"/>
              <w:bottom w:w="145" w:type="dxa"/>
              <w:end w:w="120" w:type="dxa"/>
            </w:tcMar>
            <w:vAlign w:val="center"/>
          </w:tcPr>
          <w:p>
            <w:r>
              <w:rPr>
                <w:b/>
                <w:color w:val="FFFFFF"/>
              </w:rPr>
              <w:t>Updated</w:t>
            </w:r>
          </w:p>
        </w:tc>
        <w:tc>
          <w:tcPr>
            <w:tcW w:type="dxa" w:w="7920"/>
            <w:shd w:fill="FFFFFF"/>
            <w:tcMar>
              <w:top w:w="145" w:type="dxa"/>
              <w:start w:w="120" w:type="dxa"/>
              <w:bottom w:w="145" w:type="dxa"/>
              <w:end w:w="120" w:type="dxa"/>
            </w:tcMar>
            <w:vAlign w:val="center"/>
          </w:tcPr>
          <w:p>
            <w:r>
              <w:t>August 11, 2026</w:t>
            </w:r>
          </w:p>
        </w:tc>
      </w:tr>
    </w:tbl>
    <w:p>
      <w:pPr>
        <w:spacing w:before="680" w:after="0"/>
        <w:jc w:val="center"/>
      </w:pPr>
      <w:r>
        <w:rPr>
          <w:i/>
          <w:color w:val="536078"/>
          <w:sz w:val="18"/>
        </w:rPr>
        <w:t>Internal presenter guide • Passwords are managed separately</w:t>
      </w:r>
    </w:p>
    <w:p>
      <w:r>
        <w:br w:type="page"/>
      </w:r>
    </w:p>
    <w:p>
      <w:pPr>
        <w:pStyle w:val="Heading2"/>
      </w:pPr>
      <w:r>
        <w:t>The story in one minute</w:t>
      </w:r>
    </w:p>
    <w:tbl>
      <w:tblPr>
        <w:tblStyle w:val="TableGrid"/>
        <w:tblW w:type="auto" w:w="0"/>
        <w:tblLayout w:type="autofit"/>
        <w:tblLook w:firstColumn="1" w:firstRow="1" w:lastColumn="0" w:lastRow="0" w:noHBand="0" w:noVBand="1" w:val="04A0"/>
      </w:tblPr>
      <w:tblGrid>
        <w:gridCol w:w="2592"/>
        <w:gridCol w:w="2592"/>
        <w:gridCol w:w="2592"/>
        <w:gridCol w:w="2592"/>
      </w:tblGrid>
      <w:tr>
        <w:trPr>
          <w:tblHeader w:val="true"/>
        </w:trPr>
        <w:tc>
          <w:tcPr>
            <w:tcW w:type="dxa" w:w="2592"/>
            <w:shd w:fill="4A2C1A"/>
            <w:tcMar>
              <w:top w:w="100" w:type="dxa"/>
              <w:start w:w="120" w:type="dxa"/>
              <w:bottom w:w="100" w:type="dxa"/>
              <w:end w:w="120" w:type="dxa"/>
            </w:tcMar>
            <w:vAlign w:val="center"/>
          </w:tcPr>
          <w:p>
            <w:r>
              <w:rPr>
                <w:b/>
                <w:color w:val="FFFFFF"/>
                <w:sz w:val="18"/>
              </w:rPr>
              <w:t>Persona</w:t>
            </w:r>
          </w:p>
        </w:tc>
        <w:tc>
          <w:tcPr>
            <w:tcW w:type="dxa" w:w="2592"/>
            <w:shd w:fill="4A2C1A"/>
            <w:tcMar>
              <w:top w:w="100" w:type="dxa"/>
              <w:start w:w="120" w:type="dxa"/>
              <w:bottom w:w="100" w:type="dxa"/>
              <w:end w:w="120" w:type="dxa"/>
            </w:tcMar>
            <w:vAlign w:val="center"/>
          </w:tcPr>
          <w:p>
            <w:r>
              <w:rPr>
                <w:b/>
                <w:color w:val="FFFFFF"/>
                <w:sz w:val="18"/>
              </w:rPr>
              <w:t>Okta role</w:t>
            </w:r>
          </w:p>
        </w:tc>
        <w:tc>
          <w:tcPr>
            <w:tcW w:type="dxa" w:w="2592"/>
            <w:shd w:fill="4A2C1A"/>
            <w:tcMar>
              <w:top w:w="100" w:type="dxa"/>
              <w:start w:w="120" w:type="dxa"/>
              <w:bottom w:w="100" w:type="dxa"/>
              <w:end w:w="120" w:type="dxa"/>
            </w:tcMar>
            <w:vAlign w:val="center"/>
          </w:tcPr>
          <w:p>
            <w:r>
              <w:rPr>
                <w:b/>
                <w:color w:val="FFFFFF"/>
                <w:sz w:val="18"/>
              </w:rPr>
              <w:t>Manager</w:t>
            </w:r>
          </w:p>
        </w:tc>
        <w:tc>
          <w:tcPr>
            <w:tcW w:type="dxa" w:w="2592"/>
            <w:shd w:fill="4A2C1A"/>
            <w:tcMar>
              <w:top w:w="100" w:type="dxa"/>
              <w:start w:w="120" w:type="dxa"/>
              <w:bottom w:w="100" w:type="dxa"/>
              <w:end w:w="120" w:type="dxa"/>
            </w:tcMar>
            <w:vAlign w:val="center"/>
          </w:tcPr>
          <w:p>
            <w:r>
              <w:rPr>
                <w:b/>
                <w:color w:val="FFFFFF"/>
                <w:sz w:val="18"/>
              </w:rPr>
              <w:t>What to demonstrate</w:t>
            </w:r>
          </w:p>
        </w:tc>
      </w:tr>
      <w:tr>
        <w:trPr>
          <w:cantSplit/>
        </w:trPr>
        <w:tc>
          <w:tcPr>
            <w:tcW w:type="dxa" w:w="2592"/>
            <w:tcMar>
              <w:top w:w="100" w:type="dxa"/>
              <w:start w:w="120" w:type="dxa"/>
              <w:bottom w:w="100" w:type="dxa"/>
              <w:end w:w="120" w:type="dxa"/>
            </w:tcMar>
            <w:vAlign w:val="center"/>
          </w:tcPr>
          <w:p>
            <w:pPr>
              <w:spacing w:after="0"/>
            </w:pPr>
            <w:r>
              <w:rPr>
                <w:sz w:val="17"/>
              </w:rPr>
              <w:t>Sarah Sales</w:t>
            </w:r>
          </w:p>
        </w:tc>
        <w:tc>
          <w:tcPr>
            <w:tcW w:type="dxa" w:w="2592"/>
            <w:tcMar>
              <w:top w:w="100" w:type="dxa"/>
              <w:start w:w="120" w:type="dxa"/>
              <w:bottom w:w="100" w:type="dxa"/>
              <w:end w:w="120" w:type="dxa"/>
            </w:tcMar>
            <w:vAlign w:val="center"/>
          </w:tcPr>
          <w:p>
            <w:pPr>
              <w:spacing w:after="0"/>
            </w:pPr>
            <w:r>
              <w:rPr>
                <w:sz w:val="17"/>
              </w:rPr>
              <w:t>0 — Sales</w:t>
            </w:r>
          </w:p>
        </w:tc>
        <w:tc>
          <w:tcPr>
            <w:tcW w:type="dxa" w:w="2592"/>
            <w:tcMar>
              <w:top w:w="100" w:type="dxa"/>
              <w:start w:w="120" w:type="dxa"/>
              <w:bottom w:w="100" w:type="dxa"/>
              <w:end w:w="120" w:type="dxa"/>
            </w:tcMar>
            <w:vAlign w:val="center"/>
          </w:tcPr>
          <w:p>
            <w:pPr>
              <w:spacing w:after="0"/>
            </w:pPr>
            <w:r>
              <w:rPr>
                <w:sz w:val="17"/>
              </w:rPr>
              <w:t>False</w:t>
            </w:r>
          </w:p>
        </w:tc>
        <w:tc>
          <w:tcPr>
            <w:tcW w:type="dxa" w:w="2592"/>
            <w:tcMar>
              <w:top w:w="100" w:type="dxa"/>
              <w:start w:w="120" w:type="dxa"/>
              <w:bottom w:w="100" w:type="dxa"/>
              <w:end w:w="120" w:type="dxa"/>
            </w:tcMar>
            <w:vAlign w:val="center"/>
          </w:tcPr>
          <w:p>
            <w:pPr>
              <w:spacing w:after="0"/>
            </w:pPr>
            <w:r>
              <w:rPr>
                <w:sz w:val="17"/>
              </w:rPr>
              <w:t>Reads inventory. Every inventory write is denied with manager guidance.</w:t>
            </w:r>
          </w:p>
        </w:tc>
      </w:tr>
      <w:tr>
        <w:trPr>
          <w:cantSplit/>
        </w:trPr>
        <w:tc>
          <w:tcPr>
            <w:tcW w:type="dxa" w:w="2592"/>
            <w:shd w:fill="F6F8FC"/>
            <w:tcMar>
              <w:top w:w="100" w:type="dxa"/>
              <w:start w:w="120" w:type="dxa"/>
              <w:bottom w:w="100" w:type="dxa"/>
              <w:end w:w="120" w:type="dxa"/>
            </w:tcMar>
            <w:vAlign w:val="center"/>
          </w:tcPr>
          <w:p>
            <w:pPr>
              <w:spacing w:after="0"/>
            </w:pPr>
            <w:r>
              <w:rPr>
                <w:sz w:val="17"/>
              </w:rPr>
              <w:t>Mike Manager</w:t>
            </w:r>
          </w:p>
        </w:tc>
        <w:tc>
          <w:tcPr>
            <w:tcW w:type="dxa" w:w="2592"/>
            <w:shd w:fill="F6F8FC"/>
            <w:tcMar>
              <w:top w:w="100" w:type="dxa"/>
              <w:start w:w="120" w:type="dxa"/>
              <w:bottom w:w="100" w:type="dxa"/>
              <w:end w:w="120" w:type="dxa"/>
            </w:tcMar>
            <w:vAlign w:val="center"/>
          </w:tcPr>
          <w:p>
            <w:pPr>
              <w:spacing w:after="0"/>
            </w:pPr>
            <w:r>
              <w:rPr>
                <w:sz w:val="17"/>
              </w:rPr>
              <w:t>1 — Manager</w:t>
            </w:r>
          </w:p>
        </w:tc>
        <w:tc>
          <w:tcPr>
            <w:tcW w:type="dxa" w:w="2592"/>
            <w:shd w:fill="F6F8FC"/>
            <w:tcMar>
              <w:top w:w="100" w:type="dxa"/>
              <w:start w:w="120" w:type="dxa"/>
              <w:bottom w:w="100" w:type="dxa"/>
              <w:end w:w="120" w:type="dxa"/>
            </w:tcMar>
            <w:vAlign w:val="center"/>
          </w:tcPr>
          <w:p>
            <w:pPr>
              <w:spacing w:after="0"/>
            </w:pPr>
            <w:r>
              <w:rPr>
                <w:sz w:val="17"/>
              </w:rPr>
              <w:t>True</w:t>
            </w:r>
          </w:p>
        </w:tc>
        <w:tc>
          <w:tcPr>
            <w:tcW w:type="dxa" w:w="2592"/>
            <w:shd w:fill="F6F8FC"/>
            <w:tcMar>
              <w:top w:w="100" w:type="dxa"/>
              <w:start w:w="120" w:type="dxa"/>
              <w:bottom w:w="100" w:type="dxa"/>
              <w:end w:w="120" w:type="dxa"/>
            </w:tcMar>
            <w:vAlign w:val="center"/>
          </w:tcPr>
          <w:p>
            <w:pPr>
              <w:spacing w:after="0"/>
            </w:pPr>
            <w:r>
              <w:rPr>
                <w:sz w:val="17"/>
              </w:rPr>
              <w:t>Writes 1–600 units. A 601+ write needs a VP.</w:t>
            </w:r>
          </w:p>
        </w:tc>
      </w:tr>
      <w:tr>
        <w:trPr>
          <w:cantSplit/>
        </w:trPr>
        <w:tc>
          <w:tcPr>
            <w:tcW w:type="dxa" w:w="2592"/>
            <w:tcMar>
              <w:top w:w="100" w:type="dxa"/>
              <w:start w:w="120" w:type="dxa"/>
              <w:bottom w:w="100" w:type="dxa"/>
              <w:end w:w="120" w:type="dxa"/>
            </w:tcMar>
            <w:vAlign w:val="center"/>
          </w:tcPr>
          <w:p>
            <w:pPr>
              <w:spacing w:after="0"/>
            </w:pPr>
            <w:r>
              <w:rPr>
                <w:sz w:val="17"/>
              </w:rPr>
              <w:t>Joe VP</w:t>
            </w:r>
          </w:p>
        </w:tc>
        <w:tc>
          <w:tcPr>
            <w:tcW w:type="dxa" w:w="2592"/>
            <w:tcMar>
              <w:top w:w="100" w:type="dxa"/>
              <w:start w:w="120" w:type="dxa"/>
              <w:bottom w:w="100" w:type="dxa"/>
              <w:end w:w="120" w:type="dxa"/>
            </w:tcMar>
            <w:vAlign w:val="center"/>
          </w:tcPr>
          <w:p>
            <w:pPr>
              <w:spacing w:after="0"/>
            </w:pPr>
            <w:r>
              <w:rPr>
                <w:sz w:val="17"/>
              </w:rPr>
              <w:t>2 — VP</w:t>
            </w:r>
          </w:p>
        </w:tc>
        <w:tc>
          <w:tcPr>
            <w:tcW w:type="dxa" w:w="2592"/>
            <w:tcMar>
              <w:top w:w="100" w:type="dxa"/>
              <w:start w:w="120" w:type="dxa"/>
              <w:bottom w:w="100" w:type="dxa"/>
              <w:end w:w="120" w:type="dxa"/>
            </w:tcMar>
            <w:vAlign w:val="center"/>
          </w:tcPr>
          <w:p>
            <w:pPr>
              <w:spacing w:after="0"/>
            </w:pPr>
            <w:r>
              <w:rPr>
                <w:sz w:val="17"/>
              </w:rPr>
              <w:t>True</w:t>
            </w:r>
          </w:p>
        </w:tc>
        <w:tc>
          <w:tcPr>
            <w:tcW w:type="dxa" w:w="2592"/>
            <w:tcMar>
              <w:top w:w="100" w:type="dxa"/>
              <w:start w:w="120" w:type="dxa"/>
              <w:bottom w:w="100" w:type="dxa"/>
              <w:end w:w="120" w:type="dxa"/>
            </w:tcMar>
            <w:vAlign w:val="center"/>
          </w:tcPr>
          <w:p>
            <w:pPr>
              <w:spacing w:after="0"/>
            </w:pPr>
            <w:r>
              <w:rPr>
                <w:sz w:val="17"/>
              </w:rPr>
              <w:t>Approves Mike's 601+ request and may write any quantity directly.</w:t>
            </w:r>
          </w:p>
        </w:tc>
      </w:tr>
    </w:tbl>
    <w:p>
      <w:pPr>
        <w:spacing w:after="0"/>
      </w:pPr>
    </w:p>
    <w:p>
      <w:r>
        <w:rPr>
          <w:rFonts w:ascii="Aptos Mono" w:hAnsi="Aptos Mono"/>
          <w:color w:val="6437E8"/>
          <w:sz w:val="18"/>
        </w:rPr>
        <w:t>On vacation</w:t>
      </w:r>
      <w:r>
        <w:t xml:space="preserve"> is separate from role. When it is True, the agent cannot act for that employee and stops before ID-JAG for every protected resource.</w:t>
      </w:r>
    </w:p>
    <w:p>
      <w:pPr>
        <w:pStyle w:val="Heading2"/>
      </w:pPr>
      <w:r>
        <w:t>Quick run of show</w:t>
      </w:r>
    </w:p>
    <w:tbl>
      <w:tblPr>
        <w:tblStyle w:val="TableGrid"/>
        <w:tblW w:type="auto" w:w="0"/>
        <w:tblLayout w:type="autofit"/>
        <w:tblLook w:firstColumn="1" w:firstRow="1" w:lastColumn="0" w:lastRow="0" w:noHBand="0" w:noVBand="1" w:val="04A0"/>
      </w:tblPr>
      <w:tblGrid>
        <w:gridCol w:w="3456"/>
        <w:gridCol w:w="3456"/>
        <w:gridCol w:w="3456"/>
      </w:tblGrid>
      <w:tr>
        <w:trPr>
          <w:tblHeader w:val="true"/>
        </w:trPr>
        <w:tc>
          <w:tcPr>
            <w:tcW w:type="dxa" w:w="3456"/>
            <w:shd w:fill="4A2C1A"/>
            <w:tcMar>
              <w:top w:w="100" w:type="dxa"/>
              <w:start w:w="120" w:type="dxa"/>
              <w:bottom w:w="100" w:type="dxa"/>
              <w:end w:w="120" w:type="dxa"/>
            </w:tcMar>
            <w:vAlign w:val="center"/>
          </w:tcPr>
          <w:p>
            <w:r>
              <w:rPr>
                <w:b/>
                <w:color w:val="FFFFFF"/>
                <w:sz w:val="18"/>
              </w:rPr>
              <w:t>Step</w:t>
            </w:r>
          </w:p>
        </w:tc>
        <w:tc>
          <w:tcPr>
            <w:tcW w:type="dxa" w:w="3456"/>
            <w:shd w:fill="4A2C1A"/>
            <w:tcMar>
              <w:top w:w="100" w:type="dxa"/>
              <w:start w:w="120" w:type="dxa"/>
              <w:bottom w:w="100" w:type="dxa"/>
              <w:end w:w="120" w:type="dxa"/>
            </w:tcMar>
            <w:vAlign w:val="center"/>
          </w:tcPr>
          <w:p>
            <w:r>
              <w:rPr>
                <w:b/>
                <w:color w:val="FFFFFF"/>
                <w:sz w:val="18"/>
              </w:rPr>
              <w:t>Presenter action</w:t>
            </w:r>
          </w:p>
        </w:tc>
        <w:tc>
          <w:tcPr>
            <w:tcW w:type="dxa" w:w="3456"/>
            <w:shd w:fill="4A2C1A"/>
            <w:tcMar>
              <w:top w:w="100" w:type="dxa"/>
              <w:start w:w="120" w:type="dxa"/>
              <w:bottom w:w="100" w:type="dxa"/>
              <w:end w:w="120" w:type="dxa"/>
            </w:tcMar>
            <w:vAlign w:val="center"/>
          </w:tcPr>
          <w:p>
            <w:r>
              <w:rPr>
                <w:b/>
                <w:color w:val="FFFFFF"/>
                <w:sz w:val="18"/>
              </w:rPr>
              <w:t>Expected result</w:t>
            </w:r>
          </w:p>
        </w:tc>
      </w:tr>
      <w:tr>
        <w:trPr>
          <w:cantSplit/>
        </w:trPr>
        <w:tc>
          <w:tcPr>
            <w:tcW w:type="dxa" w:w="3456"/>
            <w:tcMar>
              <w:top w:w="100" w:type="dxa"/>
              <w:start w:w="120" w:type="dxa"/>
              <w:bottom w:w="100" w:type="dxa"/>
              <w:end w:w="120" w:type="dxa"/>
            </w:tcMar>
            <w:vAlign w:val="center"/>
          </w:tcPr>
          <w:p>
            <w:pPr>
              <w:spacing w:after="0"/>
            </w:pPr>
            <w:r>
              <w:rPr>
                <w:sz w:val="17"/>
              </w:rPr>
              <w:t>1</w:t>
            </w:r>
          </w:p>
        </w:tc>
        <w:tc>
          <w:tcPr>
            <w:tcW w:type="dxa" w:w="3456"/>
            <w:tcMar>
              <w:top w:w="100" w:type="dxa"/>
              <w:start w:w="120" w:type="dxa"/>
              <w:bottom w:w="100" w:type="dxa"/>
              <w:end w:w="120" w:type="dxa"/>
            </w:tcMar>
            <w:vAlign w:val="center"/>
          </w:tcPr>
          <w:p>
            <w:pPr>
              <w:spacing w:after="0"/>
            </w:pPr>
            <w:r>
              <w:rPr>
                <w:sz w:val="17"/>
              </w:rPr>
              <w:t>Open ProGear and sign in as Sarah.</w:t>
            </w:r>
          </w:p>
        </w:tc>
        <w:tc>
          <w:tcPr>
            <w:tcW w:type="dxa" w:w="3456"/>
            <w:tcMar>
              <w:top w:w="100" w:type="dxa"/>
              <w:start w:w="120" w:type="dxa"/>
              <w:bottom w:w="100" w:type="dxa"/>
              <w:end w:w="120" w:type="dxa"/>
            </w:tcMar>
            <w:vAlign w:val="center"/>
          </w:tcPr>
          <w:p>
            <w:pPr>
              <w:spacing w:after="0"/>
            </w:pPr>
            <w:r>
              <w:rPr>
                <w:sz w:val="17"/>
              </w:rPr>
              <w:t>Simple mode opens; FGA is off.</w:t>
            </w:r>
          </w:p>
        </w:tc>
      </w:tr>
      <w:tr>
        <w:trPr>
          <w:cantSplit/>
        </w:trPr>
        <w:tc>
          <w:tcPr>
            <w:tcW w:type="dxa" w:w="3456"/>
            <w:shd w:fill="F6F8FC"/>
            <w:tcMar>
              <w:top w:w="100" w:type="dxa"/>
              <w:start w:w="120" w:type="dxa"/>
              <w:bottom w:w="100" w:type="dxa"/>
              <w:end w:w="120" w:type="dxa"/>
            </w:tcMar>
            <w:vAlign w:val="center"/>
          </w:tcPr>
          <w:p>
            <w:pPr>
              <w:spacing w:after="0"/>
            </w:pPr>
            <w:r>
              <w:rPr>
                <w:sz w:val="17"/>
              </w:rPr>
              <w:t>2</w:t>
            </w:r>
          </w:p>
        </w:tc>
        <w:tc>
          <w:tcPr>
            <w:tcW w:type="dxa" w:w="3456"/>
            <w:shd w:fill="F6F8FC"/>
            <w:tcMar>
              <w:top w:w="100" w:type="dxa"/>
              <w:start w:w="120" w:type="dxa"/>
              <w:bottom w:w="100" w:type="dxa"/>
              <w:end w:w="120" w:type="dxa"/>
            </w:tcMar>
            <w:vAlign w:val="center"/>
          </w:tcPr>
          <w:p>
            <w:pPr>
              <w:spacing w:after="0"/>
            </w:pPr>
            <w:r>
              <w:rPr>
                <w:sz w:val="17"/>
              </w:rPr>
              <w:t xml:space="preserve">Ask: </w:t>
            </w:r>
            <w:r>
              <w:rPr>
                <w:b/>
                <w:sz w:val="17"/>
              </w:rPr>
              <w:t>How many basketballs are in stock?</w:t>
            </w:r>
          </w:p>
        </w:tc>
        <w:tc>
          <w:tcPr>
            <w:tcW w:type="dxa" w:w="3456"/>
            <w:shd w:fill="F6F8FC"/>
            <w:tcMar>
              <w:top w:w="100" w:type="dxa"/>
              <w:start w:w="120" w:type="dxa"/>
              <w:bottom w:w="100" w:type="dxa"/>
              <w:end w:w="120" w:type="dxa"/>
            </w:tcMar>
            <w:vAlign w:val="center"/>
          </w:tcPr>
          <w:p>
            <w:pPr>
              <w:spacing w:after="0"/>
            </w:pPr>
            <w:r>
              <w:rPr>
                <w:sz w:val="17"/>
              </w:rPr>
              <w:t>The read succeeds.</w:t>
            </w:r>
          </w:p>
        </w:tc>
      </w:tr>
      <w:tr>
        <w:trPr>
          <w:cantSplit/>
        </w:trPr>
        <w:tc>
          <w:tcPr>
            <w:tcW w:type="dxa" w:w="3456"/>
            <w:tcMar>
              <w:top w:w="100" w:type="dxa"/>
              <w:start w:w="120" w:type="dxa"/>
              <w:bottom w:w="100" w:type="dxa"/>
              <w:end w:w="120" w:type="dxa"/>
            </w:tcMar>
            <w:vAlign w:val="center"/>
          </w:tcPr>
          <w:p>
            <w:pPr>
              <w:spacing w:after="0"/>
            </w:pPr>
            <w:r>
              <w:rPr>
                <w:sz w:val="17"/>
              </w:rPr>
              <w:t>3</w:t>
            </w:r>
          </w:p>
        </w:tc>
        <w:tc>
          <w:tcPr>
            <w:tcW w:type="dxa" w:w="3456"/>
            <w:tcMar>
              <w:top w:w="100" w:type="dxa"/>
              <w:start w:w="120" w:type="dxa"/>
              <w:bottom w:w="100" w:type="dxa"/>
              <w:end w:w="120" w:type="dxa"/>
            </w:tcMar>
            <w:vAlign w:val="center"/>
          </w:tcPr>
          <w:p>
            <w:pPr>
              <w:spacing w:after="0"/>
            </w:pPr>
            <w:r>
              <w:rPr>
                <w:sz w:val="17"/>
              </w:rPr>
              <w:t xml:space="preserve">Ask: </w:t>
            </w:r>
            <w:r>
              <w:rPr>
                <w:b/>
                <w:sz w:val="17"/>
              </w:rPr>
              <w:t>Can you add 50 basketballs to the inventory?</w:t>
            </w:r>
          </w:p>
        </w:tc>
        <w:tc>
          <w:tcPr>
            <w:tcW w:type="dxa" w:w="3456"/>
            <w:tcMar>
              <w:top w:w="100" w:type="dxa"/>
              <w:start w:w="120" w:type="dxa"/>
              <w:bottom w:w="100" w:type="dxa"/>
              <w:end w:w="120" w:type="dxa"/>
            </w:tcMar>
            <w:vAlign w:val="center"/>
          </w:tcPr>
          <w:p>
            <w:pPr>
              <w:spacing w:after="0"/>
            </w:pPr>
            <w:r>
              <w:rPr>
                <w:sz w:val="17"/>
              </w:rPr>
              <w:t>No change. Sarah is told to contact her manager.</w:t>
            </w:r>
          </w:p>
        </w:tc>
      </w:tr>
      <w:tr>
        <w:trPr>
          <w:cantSplit/>
        </w:trPr>
        <w:tc>
          <w:tcPr>
            <w:tcW w:type="dxa" w:w="3456"/>
            <w:shd w:fill="F6F8FC"/>
            <w:tcMar>
              <w:top w:w="100" w:type="dxa"/>
              <w:start w:w="120" w:type="dxa"/>
              <w:bottom w:w="100" w:type="dxa"/>
              <w:end w:w="120" w:type="dxa"/>
            </w:tcMar>
            <w:vAlign w:val="center"/>
          </w:tcPr>
          <w:p>
            <w:pPr>
              <w:spacing w:after="0"/>
            </w:pPr>
            <w:r>
              <w:rPr>
                <w:sz w:val="17"/>
              </w:rPr>
              <w:t>4</w:t>
            </w:r>
          </w:p>
        </w:tc>
        <w:tc>
          <w:tcPr>
            <w:tcW w:type="dxa" w:w="3456"/>
            <w:shd w:fill="F6F8FC"/>
            <w:tcMar>
              <w:top w:w="100" w:type="dxa"/>
              <w:start w:w="120" w:type="dxa"/>
              <w:bottom w:w="100" w:type="dxa"/>
              <w:end w:w="120" w:type="dxa"/>
            </w:tcMar>
            <w:vAlign w:val="center"/>
          </w:tcPr>
          <w:p>
            <w:pPr>
              <w:spacing w:after="0"/>
            </w:pPr>
            <w:r>
              <w:rPr>
                <w:sz w:val="17"/>
              </w:rPr>
              <w:t>Sign out, then sign in as Mike.</w:t>
            </w:r>
          </w:p>
        </w:tc>
        <w:tc>
          <w:tcPr>
            <w:tcW w:type="dxa" w:w="3456"/>
            <w:shd w:fill="F6F8FC"/>
            <w:tcMar>
              <w:top w:w="100" w:type="dxa"/>
              <w:start w:w="120" w:type="dxa"/>
              <w:bottom w:w="100" w:type="dxa"/>
              <w:end w:w="120" w:type="dxa"/>
            </w:tcMar>
            <w:vAlign w:val="center"/>
          </w:tcPr>
          <w:p>
            <w:pPr>
              <w:spacing w:after="0"/>
            </w:pPr>
            <w:r>
              <w:rPr>
                <w:sz w:val="17"/>
              </w:rPr>
              <w:t>The next session again starts with FGA off.</w:t>
            </w:r>
          </w:p>
        </w:tc>
      </w:tr>
      <w:tr>
        <w:trPr>
          <w:cantSplit/>
        </w:trPr>
        <w:tc>
          <w:tcPr>
            <w:tcW w:type="dxa" w:w="3456"/>
            <w:tcMar>
              <w:top w:w="100" w:type="dxa"/>
              <w:start w:w="120" w:type="dxa"/>
              <w:bottom w:w="100" w:type="dxa"/>
              <w:end w:w="120" w:type="dxa"/>
            </w:tcMar>
            <w:vAlign w:val="center"/>
          </w:tcPr>
          <w:p>
            <w:pPr>
              <w:spacing w:after="0"/>
            </w:pPr>
            <w:r>
              <w:rPr>
                <w:sz w:val="17"/>
              </w:rPr>
              <w:t>5</w:t>
            </w:r>
          </w:p>
        </w:tc>
        <w:tc>
          <w:tcPr>
            <w:tcW w:type="dxa" w:w="3456"/>
            <w:tcMar>
              <w:top w:w="100" w:type="dxa"/>
              <w:start w:w="120" w:type="dxa"/>
              <w:bottom w:w="100" w:type="dxa"/>
              <w:end w:w="120" w:type="dxa"/>
            </w:tcMar>
            <w:vAlign w:val="center"/>
          </w:tcPr>
          <w:p>
            <w:pPr>
              <w:spacing w:after="0"/>
            </w:pPr>
            <w:r>
              <w:rPr>
                <w:sz w:val="17"/>
              </w:rPr>
              <w:t xml:space="preserve">Ask: </w:t>
            </w:r>
            <w:r>
              <w:rPr>
                <w:b/>
                <w:sz w:val="17"/>
              </w:rPr>
              <w:t>Can you add 50 basketballs to the inventory?</w:t>
            </w:r>
          </w:p>
        </w:tc>
        <w:tc>
          <w:tcPr>
            <w:tcW w:type="dxa" w:w="3456"/>
            <w:tcMar>
              <w:top w:w="100" w:type="dxa"/>
              <w:start w:w="120" w:type="dxa"/>
              <w:bottom w:w="100" w:type="dxa"/>
              <w:end w:w="120" w:type="dxa"/>
            </w:tcMar>
            <w:vAlign w:val="center"/>
          </w:tcPr>
          <w:p>
            <w:pPr>
              <w:spacing w:after="0"/>
            </w:pPr>
            <w:r>
              <w:rPr>
                <w:sz w:val="17"/>
              </w:rPr>
              <w:t>The write executes because Mike is a Manager.</w:t>
            </w:r>
          </w:p>
        </w:tc>
      </w:tr>
      <w:tr>
        <w:trPr>
          <w:cantSplit/>
        </w:trPr>
        <w:tc>
          <w:tcPr>
            <w:tcW w:type="dxa" w:w="3456"/>
            <w:shd w:fill="F6F8FC"/>
            <w:tcMar>
              <w:top w:w="100" w:type="dxa"/>
              <w:start w:w="120" w:type="dxa"/>
              <w:bottom w:w="100" w:type="dxa"/>
              <w:end w:w="120" w:type="dxa"/>
            </w:tcMar>
            <w:vAlign w:val="center"/>
          </w:tcPr>
          <w:p>
            <w:pPr>
              <w:spacing w:after="0"/>
            </w:pPr>
            <w:r>
              <w:rPr>
                <w:sz w:val="17"/>
              </w:rPr>
              <w:t>6</w:t>
            </w:r>
          </w:p>
        </w:tc>
        <w:tc>
          <w:tcPr>
            <w:tcW w:type="dxa" w:w="3456"/>
            <w:shd w:fill="F6F8FC"/>
            <w:tcMar>
              <w:top w:w="100" w:type="dxa"/>
              <w:start w:w="120" w:type="dxa"/>
              <w:bottom w:w="100" w:type="dxa"/>
              <w:end w:w="120" w:type="dxa"/>
            </w:tcMar>
            <w:vAlign w:val="center"/>
          </w:tcPr>
          <w:p>
            <w:pPr>
              <w:spacing w:after="0"/>
            </w:pPr>
            <w:r>
              <w:rPr>
                <w:sz w:val="17"/>
              </w:rPr>
              <w:t xml:space="preserve">Ask: </w:t>
            </w:r>
            <w:r>
              <w:rPr>
                <w:b/>
                <w:sz w:val="17"/>
              </w:rPr>
              <w:t>Can you add 601 basketballs to the inventory?</w:t>
            </w:r>
          </w:p>
        </w:tc>
        <w:tc>
          <w:tcPr>
            <w:tcW w:type="dxa" w:w="3456"/>
            <w:shd w:fill="F6F8FC"/>
            <w:tcMar>
              <w:top w:w="100" w:type="dxa"/>
              <w:start w:w="120" w:type="dxa"/>
              <w:bottom w:w="100" w:type="dxa"/>
              <w:end w:w="120" w:type="dxa"/>
            </w:tcMar>
            <w:vAlign w:val="center"/>
          </w:tcPr>
          <w:p>
            <w:pPr>
              <w:spacing w:after="0"/>
            </w:pPr>
            <w:r>
              <w:rPr>
                <w:sz w:val="17"/>
              </w:rPr>
              <w:t>In simple mode, no change. Mike is told a VP is required.</w:t>
            </w:r>
          </w:p>
        </w:tc>
      </w:tr>
      <w:tr>
        <w:trPr>
          <w:cantSplit/>
        </w:trPr>
        <w:tc>
          <w:tcPr>
            <w:tcW w:type="dxa" w:w="3456"/>
            <w:tcMar>
              <w:top w:w="100" w:type="dxa"/>
              <w:start w:w="120" w:type="dxa"/>
              <w:bottom w:w="100" w:type="dxa"/>
              <w:end w:w="120" w:type="dxa"/>
            </w:tcMar>
            <w:vAlign w:val="center"/>
          </w:tcPr>
          <w:p>
            <w:pPr>
              <w:spacing w:after="0"/>
            </w:pPr>
            <w:r>
              <w:rPr>
                <w:sz w:val="17"/>
              </w:rPr>
              <w:t>7</w:t>
            </w:r>
          </w:p>
        </w:tc>
        <w:tc>
          <w:tcPr>
            <w:tcW w:type="dxa" w:w="3456"/>
            <w:tcMar>
              <w:top w:w="100" w:type="dxa"/>
              <w:start w:w="120" w:type="dxa"/>
              <w:bottom w:w="100" w:type="dxa"/>
              <w:end w:w="120" w:type="dxa"/>
            </w:tcMar>
            <w:vAlign w:val="center"/>
          </w:tcPr>
          <w:p>
            <w:pPr>
              <w:spacing w:after="0"/>
            </w:pPr>
            <w:r>
              <w:rPr>
                <w:sz w:val="17"/>
              </w:rPr>
              <w:t xml:space="preserve">Open </w:t>
            </w:r>
            <w:r>
              <w:rPr>
                <w:b/>
                <w:sz w:val="17"/>
              </w:rPr>
              <w:t>Architecture</w:t>
            </w:r>
            <w:r>
              <w:rPr>
                <w:sz w:val="17"/>
              </w:rPr>
              <w:t xml:space="preserve"> and explain the topology.</w:t>
            </w:r>
          </w:p>
        </w:tc>
        <w:tc>
          <w:tcPr>
            <w:tcW w:type="dxa" w:w="3456"/>
            <w:tcMar>
              <w:top w:w="100" w:type="dxa"/>
              <w:start w:w="120" w:type="dxa"/>
              <w:bottom w:w="100" w:type="dxa"/>
              <w:end w:w="120" w:type="dxa"/>
            </w:tcMar>
            <w:vAlign w:val="center"/>
          </w:tcPr>
          <w:p>
            <w:pPr>
              <w:spacing w:after="0"/>
            </w:pPr>
            <w:r>
              <w:rPr>
                <w:sz w:val="17"/>
              </w:rPr>
              <w:t>Show the user, Workload Principal, Okta, Resource AS, resource, audit, and kill switch.</w:t>
            </w:r>
          </w:p>
        </w:tc>
      </w:tr>
      <w:tr>
        <w:trPr>
          <w:cantSplit/>
        </w:trPr>
        <w:tc>
          <w:tcPr>
            <w:tcW w:type="dxa" w:w="3456"/>
            <w:shd w:fill="F6F8FC"/>
            <w:tcMar>
              <w:top w:w="100" w:type="dxa"/>
              <w:start w:w="120" w:type="dxa"/>
              <w:bottom w:w="100" w:type="dxa"/>
              <w:end w:w="120" w:type="dxa"/>
            </w:tcMar>
            <w:vAlign w:val="center"/>
          </w:tcPr>
          <w:p>
            <w:pPr>
              <w:spacing w:after="0"/>
            </w:pPr>
            <w:r>
              <w:rPr>
                <w:sz w:val="17"/>
              </w:rPr>
              <w:t>8</w:t>
            </w:r>
          </w:p>
        </w:tc>
        <w:tc>
          <w:tcPr>
            <w:tcW w:type="dxa" w:w="3456"/>
            <w:shd w:fill="F6F8FC"/>
            <w:tcMar>
              <w:top w:w="100" w:type="dxa"/>
              <w:start w:w="120" w:type="dxa"/>
              <w:bottom w:w="100" w:type="dxa"/>
              <w:end w:w="120" w:type="dxa"/>
            </w:tcMar>
            <w:vAlign w:val="center"/>
          </w:tcPr>
          <w:p>
            <w:pPr>
              <w:spacing w:after="0"/>
            </w:pPr>
            <w:r>
              <w:rPr>
                <w:sz w:val="17"/>
              </w:rPr>
              <w:t xml:space="preserve">Explain the </w:t>
            </w:r>
            <w:r>
              <w:rPr>
                <w:b/>
                <w:sz w:val="17"/>
              </w:rPr>
              <w:t>Request sequence</w:t>
            </w:r>
            <w:r>
              <w:rPr>
                <w:sz w:val="17"/>
              </w:rPr>
              <w:t>.</w:t>
            </w:r>
          </w:p>
        </w:tc>
        <w:tc>
          <w:tcPr>
            <w:tcW w:type="dxa" w:w="3456"/>
            <w:shd w:fill="F6F8FC"/>
            <w:tcMar>
              <w:top w:w="100" w:type="dxa"/>
              <w:start w:w="120" w:type="dxa"/>
              <w:bottom w:w="100" w:type="dxa"/>
              <w:end w:w="120" w:type="dxa"/>
            </w:tcMar>
            <w:vAlign w:val="center"/>
          </w:tcPr>
          <w:p>
            <w:pPr>
              <w:spacing w:after="0"/>
            </w:pPr>
            <w:r>
              <w:rPr>
                <w:sz w:val="17"/>
              </w:rPr>
              <w:t>Walk through ID-JAG and the scoped resource token.</w:t>
            </w:r>
          </w:p>
        </w:tc>
      </w:tr>
      <w:tr>
        <w:trPr>
          <w:cantSplit/>
        </w:trPr>
        <w:tc>
          <w:tcPr>
            <w:tcW w:type="dxa" w:w="3456"/>
            <w:tcMar>
              <w:top w:w="100" w:type="dxa"/>
              <w:start w:w="120" w:type="dxa"/>
              <w:bottom w:w="100" w:type="dxa"/>
              <w:end w:w="120" w:type="dxa"/>
            </w:tcMar>
            <w:vAlign w:val="center"/>
          </w:tcPr>
          <w:p>
            <w:pPr>
              <w:spacing w:after="0"/>
            </w:pPr>
            <w:r>
              <w:rPr>
                <w:sz w:val="17"/>
              </w:rPr>
              <w:t>9</w:t>
            </w:r>
          </w:p>
        </w:tc>
        <w:tc>
          <w:tcPr>
            <w:tcW w:type="dxa" w:w="3456"/>
            <w:tcMar>
              <w:top w:w="100" w:type="dxa"/>
              <w:start w:w="120" w:type="dxa"/>
              <w:bottom w:w="100" w:type="dxa"/>
              <w:end w:w="120" w:type="dxa"/>
            </w:tcMar>
            <w:vAlign w:val="center"/>
          </w:tcPr>
          <w:p>
            <w:pPr>
              <w:spacing w:after="0"/>
            </w:pPr>
            <w:r>
              <w:rPr>
                <w:sz w:val="17"/>
              </w:rPr>
              <w:t xml:space="preserve">Optional: open </w:t>
            </w:r>
            <w:r>
              <w:rPr>
                <w:b/>
                <w:sz w:val="17"/>
              </w:rPr>
              <w:t>FGA</w:t>
            </w:r>
            <w:r>
              <w:rPr>
                <w:sz w:val="17"/>
              </w:rPr>
              <w:t xml:space="preserve">, select </w:t>
            </w:r>
            <w:r>
              <w:rPr>
                <w:b/>
                <w:sz w:val="17"/>
              </w:rPr>
              <w:t>Simulate FGA</w:t>
            </w:r>
            <w:r>
              <w:rPr>
                <w:sz w:val="17"/>
              </w:rPr>
              <w:t>, and repeat the 601+ prompt.</w:t>
            </w:r>
          </w:p>
        </w:tc>
        <w:tc>
          <w:tcPr>
            <w:tcW w:type="dxa" w:w="3456"/>
            <w:tcMar>
              <w:top w:w="100" w:type="dxa"/>
              <w:start w:w="120" w:type="dxa"/>
              <w:bottom w:w="100" w:type="dxa"/>
              <w:end w:w="120" w:type="dxa"/>
            </w:tcMar>
            <w:vAlign w:val="center"/>
          </w:tcPr>
          <w:p>
            <w:pPr>
              <w:spacing w:after="0"/>
            </w:pPr>
            <w:r>
              <w:rPr>
                <w:sz w:val="17"/>
              </w:rPr>
              <w:t>FGA routes Mike's request to VP approval in OIG.</w:t>
            </w:r>
          </w:p>
        </w:tc>
      </w:tr>
      <w:tr>
        <w:trPr>
          <w:cantSplit/>
        </w:trPr>
        <w:tc>
          <w:tcPr>
            <w:tcW w:type="dxa" w:w="3456"/>
            <w:shd w:fill="F6F8FC"/>
            <w:tcMar>
              <w:top w:w="100" w:type="dxa"/>
              <w:start w:w="120" w:type="dxa"/>
              <w:bottom w:w="100" w:type="dxa"/>
              <w:end w:w="120" w:type="dxa"/>
            </w:tcMar>
            <w:vAlign w:val="center"/>
          </w:tcPr>
          <w:p>
            <w:pPr>
              <w:spacing w:after="0"/>
            </w:pPr>
            <w:r>
              <w:rPr>
                <w:sz w:val="17"/>
              </w:rPr>
              <w:t>10</w:t>
            </w:r>
          </w:p>
        </w:tc>
        <w:tc>
          <w:tcPr>
            <w:tcW w:type="dxa" w:w="3456"/>
            <w:shd w:fill="F6F8FC"/>
            <w:tcMar>
              <w:top w:w="100" w:type="dxa"/>
              <w:start w:w="120" w:type="dxa"/>
              <w:bottom w:w="100" w:type="dxa"/>
              <w:end w:w="120" w:type="dxa"/>
            </w:tcMar>
            <w:vAlign w:val="center"/>
          </w:tcPr>
          <w:p>
            <w:pPr>
              <w:spacing w:after="0"/>
            </w:pPr>
            <w:r>
              <w:rPr>
                <w:sz w:val="17"/>
              </w:rPr>
              <w:t>Joe approves in Okta Access Requests.</w:t>
            </w:r>
          </w:p>
        </w:tc>
        <w:tc>
          <w:tcPr>
            <w:tcW w:type="dxa" w:w="3456"/>
            <w:shd w:fill="F6F8FC"/>
            <w:tcMar>
              <w:top w:w="100" w:type="dxa"/>
              <w:start w:w="120" w:type="dxa"/>
              <w:bottom w:w="100" w:type="dxa"/>
              <w:end w:w="120" w:type="dxa"/>
            </w:tcMar>
            <w:vAlign w:val="center"/>
          </w:tcPr>
          <w:p>
            <w:pPr>
              <w:spacing w:after="0"/>
            </w:pPr>
            <w:r>
              <w:rPr>
                <w:sz w:val="17"/>
              </w:rPr>
              <w:t>The backend verifies Joe's live VP role and executes once.</w:t>
            </w:r>
          </w:p>
        </w:tc>
      </w:tr>
    </w:tbl>
    <w:p>
      <w:pPr>
        <w:spacing w:after="0"/>
      </w:pPr>
    </w:p>
    <w:tbl>
      <w:tblPr>
        <w:tblW w:type="auto" w:w="0"/>
        <w:tblLayout w:type="autofit"/>
        <w:tblLook w:firstColumn="1" w:firstRow="1" w:lastColumn="0" w:lastRow="0" w:noHBand="0" w:noVBand="1" w:val="04A0"/>
      </w:tblPr>
      <w:tblGrid>
        <w:gridCol w:w="10368"/>
      </w:tblGrid>
      <w:tr>
        <w:tc>
          <w:tcPr>
            <w:tcW w:type="dxa" w:w="10368"/>
            <w:shd w:fill="FFF2E8"/>
            <w:tcMar>
              <w:top w:w="140" w:type="dxa"/>
              <w:start w:w="170" w:type="dxa"/>
              <w:bottom w:w="140" w:type="dxa"/>
              <w:end w:w="170" w:type="dxa"/>
            </w:tcMar>
            <w:tcBorders>
              <w:start w:val="single" w:sz="22" w:color="E65F1B"/>
            </w:tcBorders>
          </w:tcPr>
          <w:p>
            <w:pPr>
              <w:spacing w:after="0"/>
            </w:pPr>
            <w:r>
              <w:t>Inventory counts may change between demo runs. Focus on whether the action is read, executed, denied, or routed for approval—not on matching the screenshot's exact count.</w:t>
            </w:r>
          </w:p>
        </w:tc>
      </w:tr>
    </w:tbl>
    <w:p>
      <w:pPr>
        <w:pStyle w:val="Heading2"/>
      </w:pPr>
      <w:r>
        <w:t>1. Sign in</w:t>
      </w:r>
    </w:p>
    <w:p>
      <w:pPr>
        <w:pStyle w:val="ListNumber"/>
        <w:spacing w:after="40"/>
      </w:pPr>
      <w:r>
        <w:t>Open the demo URL.</w:t>
      </w:r>
    </w:p>
    <w:p>
      <w:pPr>
        <w:pStyle w:val="ListNumber"/>
        <w:spacing w:after="40"/>
      </w:pPr>
      <w:r>
        <w:t xml:space="preserve">Select </w:t>
      </w:r>
      <w:r>
        <w:rPr>
          <w:b/>
        </w:rPr>
        <w:t>Sign in with Okta</w:t>
      </w:r>
      <w:r>
        <w:t>.</w:t>
      </w:r>
    </w:p>
    <w:p>
      <w:pPr>
        <w:pStyle w:val="ListNumber"/>
        <w:spacing w:after="40"/>
      </w:pPr>
      <w:r>
        <w:t>Enter the selected persona's email and the team-provided demo password.</w:t>
      </w:r>
    </w:p>
    <w:p>
      <w:pPr>
        <w:pStyle w:val="ListNumber"/>
        <w:spacing w:after="40"/>
      </w:pPr>
      <w:r>
        <w:t xml:space="preserve">Start with the </w:t>
      </w:r>
      <w:r>
        <w:rPr>
          <w:b/>
        </w:rPr>
        <w:t>Light</w:t>
      </w:r>
      <w:r>
        <w:t xml:space="preserve"> theme for the clearest screen recording.</w:t>
      </w:r>
    </w:p>
    <w:p>
      <w:pPr>
        <w:keepNext/>
        <w:jc w:val="center"/>
      </w:pPr>
      <w:r>
        <w:drawing>
          <wp:inline xmlns:a="http://schemas.openxmlformats.org/drawingml/2006/main" xmlns:pic="http://schemas.openxmlformats.org/drawingml/2006/picture">
            <wp:extent cx="6583680" cy="4114800"/>
            <wp:docPr id="1" name="Picture 1"/>
            <wp:cNvGraphicFramePr>
              <a:graphicFrameLocks noChangeAspect="1"/>
            </wp:cNvGraphicFramePr>
            <a:graphic>
              <a:graphicData uri="http://schemas.openxmlformats.org/drawingml/2006/picture">
                <pic:pic>
                  <pic:nvPicPr>
                    <pic:cNvPr id="0" name="01-sign-in.png"/>
                    <pic:cNvPicPr/>
                  </pic:nvPicPr>
                  <pic:blipFill>
                    <a:blip r:embed="rId12"/>
                    <a:stretch>
                      <a:fillRect/>
                    </a:stretch>
                  </pic:blipFill>
                  <pic:spPr>
                    <a:xfrm>
                      <a:off x="0" y="0"/>
                      <a:ext cx="6583680" cy="4114800"/>
                    </a:xfrm>
                    <a:prstGeom prst="rect"/>
                  </pic:spPr>
                </pic:pic>
              </a:graphicData>
            </a:graphic>
          </wp:inline>
        </w:drawing>
      </w:r>
    </w:p>
    <w:p>
      <w:pPr>
        <w:pStyle w:val="Caption"/>
        <w:spacing w:after="160"/>
        <w:jc w:val="center"/>
      </w:pPr>
      <w:r>
        <w:t>ProGear sign-in</w:t>
      </w:r>
    </w:p>
    <w:p>
      <w:pPr>
        <w:ind w:left="216" w:right="216"/>
      </w:pPr>
      <w:r>
        <w:rPr>
          <w:b/>
        </w:rPr>
        <w:t>Say:</w:t>
      </w:r>
      <w:r>
        <w:t xml:space="preserve"> “This is a custom AI agent secured by Okta. The employee signs in, while the ProGear agent also has its own governed Workload Principal identity.”</w:t>
      </w:r>
    </w:p>
    <w:p>
      <w:r>
        <w:br w:type="page"/>
      </w:r>
    </w:p>
    <w:p>
      <w:pPr>
        <w:pStyle w:val="Heading2"/>
      </w:pPr>
      <w:r>
        <w:t>2. Sarah reads inventory</w:t>
      </w:r>
    </w:p>
    <w:p>
      <w:pPr>
        <w:pStyle w:val="ListNumber"/>
        <w:spacing w:after="40"/>
      </w:pPr>
      <w:r>
        <w:t xml:space="preserve">Sign in as </w:t>
      </w:r>
      <w:r>
        <w:rPr>
          <w:b/>
        </w:rPr>
        <w:t>sarah.sales@atko.email</w:t>
      </w:r>
      <w:r>
        <w:t>.</w:t>
      </w:r>
    </w:p>
    <w:p>
      <w:pPr>
        <w:pStyle w:val="ListNumber"/>
        <w:spacing w:after="40"/>
      </w:pPr>
      <w:r>
        <w:t>Confirm the header shows Sarah.</w:t>
      </w:r>
    </w:p>
    <w:p>
      <w:pPr>
        <w:pStyle w:val="ListNumber"/>
        <w:spacing w:after="40"/>
      </w:pPr>
      <w:r>
        <w:t xml:space="preserve">Select </w:t>
      </w:r>
      <w:r>
        <w:rPr>
          <w:b/>
        </w:rPr>
        <w:t>How many basketballs are in stock?</w:t>
      </w:r>
    </w:p>
    <w:p>
      <w:pPr>
        <w:ind w:left="216" w:right="216"/>
      </w:pPr>
      <w:r>
        <w:rPr>
          <w:b/>
        </w:rPr>
        <w:t>Expected:</w:t>
      </w:r>
      <w:r>
        <w:t xml:space="preserve"> Inventory data is returned.</w:t>
      </w:r>
    </w:p>
    <w:p>
      <w:pPr>
        <w:keepNext/>
        <w:jc w:val="center"/>
      </w:pPr>
      <w:r>
        <w:drawing>
          <wp:inline xmlns:a="http://schemas.openxmlformats.org/drawingml/2006/main" xmlns:pic="http://schemas.openxmlformats.org/drawingml/2006/picture">
            <wp:extent cx="6583680" cy="4129763"/>
            <wp:docPr id="2" name="Picture 2"/>
            <wp:cNvGraphicFramePr>
              <a:graphicFrameLocks noChangeAspect="1"/>
            </wp:cNvGraphicFramePr>
            <a:graphic>
              <a:graphicData uri="http://schemas.openxmlformats.org/drawingml/2006/picture">
                <pic:pic>
                  <pic:nvPicPr>
                    <pic:cNvPr id="0" name="03-sarah-read.png"/>
                    <pic:cNvPicPr/>
                  </pic:nvPicPr>
                  <pic:blipFill>
                    <a:blip r:embed="rId13"/>
                    <a:stretch>
                      <a:fillRect/>
                    </a:stretch>
                  </pic:blipFill>
                  <pic:spPr>
                    <a:xfrm>
                      <a:off x="0" y="0"/>
                      <a:ext cx="6583680" cy="4129763"/>
                    </a:xfrm>
                    <a:prstGeom prst="rect"/>
                  </pic:spPr>
                </pic:pic>
              </a:graphicData>
            </a:graphic>
          </wp:inline>
        </w:drawing>
      </w:r>
    </w:p>
    <w:p>
      <w:pPr>
        <w:pStyle w:val="Caption"/>
        <w:spacing w:after="160"/>
        <w:jc w:val="center"/>
      </w:pPr>
      <w:r>
        <w:t>Sarah inventory read</w:t>
      </w:r>
    </w:p>
    <w:p>
      <w:pPr>
        <w:ind w:left="216" w:right="216"/>
      </w:pPr>
      <w:r>
        <w:rPr>
          <w:b/>
        </w:rPr>
        <w:t>Say:</w:t>
      </w:r>
      <w:r>
        <w:t xml:space="preserve"> “Sarah is Sales. She can use the agent to read inventory.”</w:t>
      </w:r>
    </w:p>
    <w:p>
      <w:r>
        <w:br w:type="page"/>
      </w:r>
    </w:p>
    <w:p>
      <w:pPr>
        <w:pStyle w:val="Heading2"/>
      </w:pPr>
      <w:r>
        <w:t>3. Sarah tries to write</w:t>
      </w:r>
    </w:p>
    <w:p>
      <w:pPr>
        <w:pStyle w:val="ListNumber"/>
        <w:spacing w:after="40"/>
      </w:pPr>
      <w:r>
        <w:t xml:space="preserve">Select </w:t>
      </w:r>
      <w:r>
        <w:rPr>
          <w:b/>
        </w:rPr>
        <w:t>Go to Home</w:t>
      </w:r>
      <w:r>
        <w:t xml:space="preserve"> to clear the conversation.</w:t>
      </w:r>
    </w:p>
    <w:p>
      <w:pPr>
        <w:pStyle w:val="ListNumber"/>
        <w:spacing w:after="40"/>
      </w:pPr>
      <w:r>
        <w:t xml:space="preserve">Select </w:t>
      </w:r>
      <w:r>
        <w:rPr>
          <w:b/>
        </w:rPr>
        <w:t>Can you add 50 basketballs to the inventory?</w:t>
      </w:r>
    </w:p>
    <w:p>
      <w:pPr>
        <w:ind w:left="216" w:right="216"/>
      </w:pPr>
      <w:r>
        <w:rPr>
          <w:b/>
        </w:rPr>
        <w:t>Expected:</w:t>
      </w:r>
      <w:r>
        <w:t xml:space="preserve"> Inventory does not change. Sarah is told to contact her manager.</w:t>
      </w:r>
    </w:p>
    <w:p>
      <w:pPr>
        <w:keepNext/>
        <w:jc w:val="center"/>
      </w:pPr>
      <w:r>
        <w:drawing>
          <wp:inline xmlns:a="http://schemas.openxmlformats.org/drawingml/2006/main" xmlns:pic="http://schemas.openxmlformats.org/drawingml/2006/picture">
            <wp:extent cx="6583680" cy="2693324"/>
            <wp:docPr id="3" name="Picture 3"/>
            <wp:cNvGraphicFramePr>
              <a:graphicFrameLocks noChangeAspect="1"/>
            </wp:cNvGraphicFramePr>
            <a:graphic>
              <a:graphicData uri="http://schemas.openxmlformats.org/drawingml/2006/picture">
                <pic:pic>
                  <pic:nvPicPr>
                    <pic:cNvPr id="0" name="04-sarah-write-denied.png"/>
                    <pic:cNvPicPr/>
                  </pic:nvPicPr>
                  <pic:blipFill>
                    <a:blip r:embed="rId14"/>
                    <a:stretch>
                      <a:fillRect/>
                    </a:stretch>
                  </pic:blipFill>
                  <pic:spPr>
                    <a:xfrm>
                      <a:off x="0" y="0"/>
                      <a:ext cx="6583680" cy="2693324"/>
                    </a:xfrm>
                    <a:prstGeom prst="rect"/>
                  </pic:spPr>
                </pic:pic>
              </a:graphicData>
            </a:graphic>
          </wp:inline>
        </w:drawing>
      </w:r>
    </w:p>
    <w:p>
      <w:pPr>
        <w:pStyle w:val="Caption"/>
        <w:spacing w:after="160"/>
        <w:jc w:val="center"/>
      </w:pPr>
      <w:r>
        <w:t>Sarah inventory write denied</w:t>
      </w:r>
    </w:p>
    <w:tbl>
      <w:tblPr>
        <w:tblStyle w:val="TableGrid"/>
        <w:tblW w:type="auto" w:w="0"/>
        <w:tblLayout w:type="autofit"/>
        <w:tblLook w:firstColumn="1" w:firstRow="1" w:lastColumn="0" w:lastRow="0" w:noHBand="0" w:noVBand="1" w:val="04A0"/>
      </w:tblPr>
      <w:tblGrid>
        <w:gridCol w:w="5184"/>
        <w:gridCol w:w="5184"/>
      </w:tblGrid>
      <w:tr>
        <w:trPr>
          <w:tblHeader w:val="true"/>
        </w:trPr>
        <w:tc>
          <w:tcPr>
            <w:tcW w:type="dxa" w:w="5184"/>
            <w:shd w:fill="4A2C1A"/>
            <w:tcMar>
              <w:top w:w="100" w:type="dxa"/>
              <w:start w:w="120" w:type="dxa"/>
              <w:bottom w:w="100" w:type="dxa"/>
              <w:end w:w="120" w:type="dxa"/>
            </w:tcMar>
            <w:vAlign w:val="center"/>
          </w:tcPr>
          <w:p>
            <w:r>
              <w:rPr>
                <w:b/>
                <w:color w:val="FFFFFF"/>
                <w:sz w:val="18"/>
              </w:rPr>
              <w:t>What happened</w:t>
            </w:r>
          </w:p>
        </w:tc>
        <w:tc>
          <w:tcPr>
            <w:tcW w:type="dxa" w:w="5184"/>
            <w:shd w:fill="4A2C1A"/>
            <w:tcMar>
              <w:top w:w="100" w:type="dxa"/>
              <w:start w:w="120" w:type="dxa"/>
              <w:bottom w:w="100" w:type="dxa"/>
              <w:end w:w="120" w:type="dxa"/>
            </w:tcMar>
            <w:vAlign w:val="center"/>
          </w:tcPr>
          <w:p>
            <w:r>
              <w:rPr>
                <w:b/>
                <w:color w:val="FFFFFF"/>
                <w:sz w:val="18"/>
              </w:rPr>
              <w:t>Why</w:t>
            </w:r>
          </w:p>
        </w:tc>
      </w:tr>
      <w:tr>
        <w:trPr>
          <w:cantSplit/>
        </w:trPr>
        <w:tc>
          <w:tcPr>
            <w:tcW w:type="dxa" w:w="5184"/>
            <w:tcMar>
              <w:top w:w="100" w:type="dxa"/>
              <w:start w:w="120" w:type="dxa"/>
              <w:bottom w:w="100" w:type="dxa"/>
              <w:end w:w="120" w:type="dxa"/>
            </w:tcMar>
            <w:vAlign w:val="center"/>
          </w:tcPr>
          <w:p>
            <w:pPr>
              <w:spacing w:after="0"/>
            </w:pPr>
            <w:r>
              <w:rPr>
                <w:sz w:val="17"/>
              </w:rPr>
              <w:t>Sarah authenticated successfully.</w:t>
            </w:r>
          </w:p>
        </w:tc>
        <w:tc>
          <w:tcPr>
            <w:tcW w:type="dxa" w:w="5184"/>
            <w:tcMar>
              <w:top w:w="100" w:type="dxa"/>
              <w:start w:w="120" w:type="dxa"/>
              <w:bottom w:w="100" w:type="dxa"/>
              <w:end w:w="120" w:type="dxa"/>
            </w:tcMar>
            <w:vAlign w:val="center"/>
          </w:tcPr>
          <w:p>
            <w:pPr>
              <w:spacing w:after="0"/>
            </w:pPr>
            <w:r>
              <w:rPr>
                <w:sz w:val="17"/>
              </w:rPr>
              <w:t>Authentication proves who Sarah is; it does not grant every action.</w:t>
            </w:r>
          </w:p>
        </w:tc>
      </w:tr>
      <w:tr>
        <w:trPr>
          <w:cantSplit/>
        </w:trPr>
        <w:tc>
          <w:tcPr>
            <w:tcW w:type="dxa" w:w="5184"/>
            <w:shd w:fill="F6F8FC"/>
            <w:tcMar>
              <w:top w:w="100" w:type="dxa"/>
              <w:start w:w="120" w:type="dxa"/>
              <w:bottom w:w="100" w:type="dxa"/>
              <w:end w:w="120" w:type="dxa"/>
            </w:tcMar>
            <w:vAlign w:val="center"/>
          </w:tcPr>
          <w:p>
            <w:pPr>
              <w:spacing w:after="0"/>
            </w:pPr>
            <w:r>
              <w:rPr>
                <w:sz w:val="17"/>
              </w:rPr>
              <w:t>Her live Okta role is Sales, level 0.</w:t>
            </w:r>
          </w:p>
        </w:tc>
        <w:tc>
          <w:tcPr>
            <w:tcW w:type="dxa" w:w="5184"/>
            <w:shd w:fill="F6F8FC"/>
            <w:tcMar>
              <w:top w:w="100" w:type="dxa"/>
              <w:start w:w="120" w:type="dxa"/>
              <w:bottom w:w="100" w:type="dxa"/>
              <w:end w:w="120" w:type="dxa"/>
            </w:tcMar>
            <w:vAlign w:val="center"/>
          </w:tcPr>
          <w:p>
            <w:pPr>
              <w:spacing w:after="0"/>
            </w:pPr>
            <w:r>
              <w:rPr>
                <w:sz w:val="17"/>
              </w:rPr>
              <w:t>Sales is read-only for Inventory.</w:t>
            </w:r>
          </w:p>
        </w:tc>
      </w:tr>
      <w:tr>
        <w:trPr>
          <w:cantSplit/>
        </w:trPr>
        <w:tc>
          <w:tcPr>
            <w:tcW w:type="dxa" w:w="5184"/>
            <w:tcMar>
              <w:top w:w="100" w:type="dxa"/>
              <w:start w:w="120" w:type="dxa"/>
              <w:bottom w:w="100" w:type="dxa"/>
              <w:end w:w="120" w:type="dxa"/>
            </w:tcMar>
            <w:vAlign w:val="center"/>
          </w:tcPr>
          <w:p>
            <w:pPr>
              <w:spacing w:after="0"/>
            </w:pPr>
            <w:r>
              <w:rPr>
                <w:sz w:val="17"/>
              </w:rPr>
              <w:t>The write stops before delegated token exchange.</w:t>
            </w:r>
          </w:p>
        </w:tc>
        <w:tc>
          <w:tcPr>
            <w:tcW w:type="dxa" w:w="5184"/>
            <w:tcMar>
              <w:top w:w="100" w:type="dxa"/>
              <w:start w:w="120" w:type="dxa"/>
              <w:bottom w:w="100" w:type="dxa"/>
              <w:end w:w="120" w:type="dxa"/>
            </w:tcMar>
            <w:vAlign w:val="center"/>
          </w:tcPr>
          <w:p>
            <w:pPr>
              <w:spacing w:after="0"/>
            </w:pPr>
            <w:r>
              <w:rPr>
                <w:sz w:val="17"/>
              </w:rPr>
              <w:t>A known-ineligible write should not receive an ID-JAG or reach Inventory.</w:t>
            </w:r>
          </w:p>
        </w:tc>
      </w:tr>
      <w:tr>
        <w:trPr>
          <w:cantSplit/>
        </w:trPr>
        <w:tc>
          <w:tcPr>
            <w:tcW w:type="dxa" w:w="5184"/>
            <w:shd w:fill="F6F8FC"/>
            <w:tcMar>
              <w:top w:w="100" w:type="dxa"/>
              <w:start w:w="120" w:type="dxa"/>
              <w:bottom w:w="100" w:type="dxa"/>
              <w:end w:w="120" w:type="dxa"/>
            </w:tcMar>
            <w:vAlign w:val="center"/>
          </w:tcPr>
          <w:p>
            <w:pPr>
              <w:spacing w:after="0"/>
            </w:pPr>
            <w:r>
              <w:rPr>
                <w:sz w:val="17"/>
              </w:rPr>
              <w:t>No approval request is created.</w:t>
            </w:r>
          </w:p>
        </w:tc>
        <w:tc>
          <w:tcPr>
            <w:tcW w:type="dxa" w:w="5184"/>
            <w:shd w:fill="F6F8FC"/>
            <w:tcMar>
              <w:top w:w="100" w:type="dxa"/>
              <w:start w:w="120" w:type="dxa"/>
              <w:bottom w:w="100" w:type="dxa"/>
              <w:end w:w="120" w:type="dxa"/>
            </w:tcMar>
            <w:vAlign w:val="center"/>
          </w:tcPr>
          <w:p>
            <w:pPr>
              <w:spacing w:after="0"/>
            </w:pPr>
            <w:r>
              <w:rPr>
                <w:sz w:val="17"/>
              </w:rPr>
              <w:t>Sarah asks her Manager to perform the change; Sales cannot manufacture an escalation.</w:t>
            </w:r>
          </w:p>
        </w:tc>
      </w:tr>
    </w:tbl>
    <w:p>
      <w:pPr>
        <w:spacing w:after="0"/>
      </w:pPr>
    </w:p>
    <w:p>
      <w:pPr>
        <w:ind w:left="216" w:right="216"/>
      </w:pPr>
      <w:r>
        <w:rPr>
          <w:b/>
        </w:rPr>
        <w:t>Say:</w:t>
      </w:r>
      <w:r>
        <w:t xml:space="preserve"> “The agent understands the request, but it cannot turn Sarah's identity into write authority.”</w:t>
      </w:r>
    </w:p>
    <w:p>
      <w:r>
        <w:br w:type="page"/>
      </w:r>
    </w:p>
    <w:p>
      <w:pPr>
        <w:pStyle w:val="Heading2"/>
      </w:pPr>
      <w:r>
        <w:t>4. Mike performs a normal write</w:t>
      </w:r>
    </w:p>
    <w:p>
      <w:pPr>
        <w:pStyle w:val="ListNumber"/>
        <w:spacing w:after="40"/>
      </w:pPr>
      <w:r>
        <w:t>Sign out as Sarah.</w:t>
      </w:r>
    </w:p>
    <w:p>
      <w:pPr>
        <w:pStyle w:val="ListNumber"/>
        <w:spacing w:after="40"/>
      </w:pPr>
      <w:r>
        <w:t xml:space="preserve">Sign in as </w:t>
      </w:r>
      <w:r>
        <w:rPr>
          <w:b/>
        </w:rPr>
        <w:t>mike.manager@atko.email</w:t>
      </w:r>
      <w:r>
        <w:t>.</w:t>
      </w:r>
    </w:p>
    <w:p>
      <w:pPr>
        <w:pStyle w:val="ListNumber"/>
        <w:spacing w:after="40"/>
      </w:pPr>
      <w:r>
        <w:t xml:space="preserve">Select </w:t>
      </w:r>
      <w:r>
        <w:rPr>
          <w:b/>
        </w:rPr>
        <w:t>Can you add 50 basketballs to the inventory?</w:t>
      </w:r>
    </w:p>
    <w:p>
      <w:pPr>
        <w:ind w:left="216" w:right="216"/>
      </w:pPr>
      <w:r>
        <w:rPr>
          <w:b/>
        </w:rPr>
        <w:t>Expected:</w:t>
      </w:r>
      <w:r>
        <w:t xml:space="preserve"> The write executes. The response shows the previous count, amount added, and new total.</w:t>
      </w:r>
    </w:p>
    <w:p>
      <w:pPr>
        <w:keepNext/>
        <w:jc w:val="center"/>
      </w:pPr>
      <w:r>
        <w:drawing>
          <wp:inline xmlns:a="http://schemas.openxmlformats.org/drawingml/2006/main" xmlns:pic="http://schemas.openxmlformats.org/drawingml/2006/picture">
            <wp:extent cx="6583680" cy="2992582"/>
            <wp:docPr id="4" name="Picture 4"/>
            <wp:cNvGraphicFramePr>
              <a:graphicFrameLocks noChangeAspect="1"/>
            </wp:cNvGraphicFramePr>
            <a:graphic>
              <a:graphicData uri="http://schemas.openxmlformats.org/drawingml/2006/picture">
                <pic:pic>
                  <pic:nvPicPr>
                    <pic:cNvPr id="0" name="06-mike-write-allowed.png"/>
                    <pic:cNvPicPr/>
                  </pic:nvPicPr>
                  <pic:blipFill>
                    <a:blip r:embed="rId15"/>
                    <a:stretch>
                      <a:fillRect/>
                    </a:stretch>
                  </pic:blipFill>
                  <pic:spPr>
                    <a:xfrm>
                      <a:off x="0" y="0"/>
                      <a:ext cx="6583680" cy="2992582"/>
                    </a:xfrm>
                    <a:prstGeom prst="rect"/>
                  </pic:spPr>
                </pic:pic>
              </a:graphicData>
            </a:graphic>
          </wp:inline>
        </w:drawing>
      </w:r>
    </w:p>
    <w:p>
      <w:pPr>
        <w:pStyle w:val="Caption"/>
        <w:spacing w:after="160"/>
        <w:jc w:val="center"/>
      </w:pPr>
      <w:r>
        <w:t>Mike inventory write allowed</w:t>
      </w:r>
    </w:p>
    <w:p>
      <w:pPr>
        <w:ind w:left="216" w:right="216"/>
      </w:pPr>
      <w:r>
        <w:rPr>
          <w:b/>
        </w:rPr>
        <w:t>Say:</w:t>
      </w:r>
      <w:r>
        <w:t xml:space="preserve"> “Mike is a Manager, level 1. He may make normal inventory changes from 1 through 600 units.”</w:t>
      </w:r>
    </w:p>
    <w:p>
      <w:r>
        <w:br w:type="page"/>
      </w:r>
    </w:p>
    <w:p>
      <w:pPr>
        <w:pStyle w:val="Heading2"/>
      </w:pPr>
      <w:r>
        <w:t>5. Mike tries 601 units in simple mode</w:t>
      </w:r>
    </w:p>
    <w:p>
      <w:pPr>
        <w:pStyle w:val="ListNumber"/>
        <w:spacing w:after="40"/>
      </w:pPr>
      <w:r>
        <w:t xml:space="preserve">Select </w:t>
      </w:r>
      <w:r>
        <w:rPr>
          <w:b/>
        </w:rPr>
        <w:t>Go to Home</w:t>
      </w:r>
      <w:r>
        <w:t>.</w:t>
      </w:r>
    </w:p>
    <w:p>
      <w:pPr>
        <w:pStyle w:val="ListNumber"/>
        <w:spacing w:after="40"/>
      </w:pPr>
      <w:r>
        <w:t xml:space="preserve">Type: </w:t>
      </w:r>
      <w:r>
        <w:rPr>
          <w:b/>
        </w:rPr>
        <w:t>Can you add 601 basketballs to the inventory?</w:t>
      </w:r>
    </w:p>
    <w:p>
      <w:pPr>
        <w:pStyle w:val="ListNumber"/>
        <w:spacing w:after="40"/>
      </w:pPr>
      <w:r>
        <w:t>Send the prompt.</w:t>
      </w:r>
    </w:p>
    <w:p>
      <w:pPr>
        <w:ind w:left="216" w:right="216"/>
      </w:pPr>
      <w:r>
        <w:rPr>
          <w:b/>
        </w:rPr>
        <w:t>Expected:</w:t>
      </w:r>
      <w:r>
        <w:t xml:space="preserve"> Inventory does not change. Mike is told that VP permission is required.</w:t>
      </w:r>
    </w:p>
    <w:p>
      <w:pPr>
        <w:keepNext/>
        <w:jc w:val="center"/>
      </w:pPr>
      <w:r>
        <w:drawing>
          <wp:inline xmlns:a="http://schemas.openxmlformats.org/drawingml/2006/main" xmlns:pic="http://schemas.openxmlformats.org/drawingml/2006/picture">
            <wp:extent cx="6583680" cy="2693324"/>
            <wp:docPr id="5" name="Picture 5"/>
            <wp:cNvGraphicFramePr>
              <a:graphicFrameLocks noChangeAspect="1"/>
            </wp:cNvGraphicFramePr>
            <a:graphic>
              <a:graphicData uri="http://schemas.openxmlformats.org/drawingml/2006/picture">
                <pic:pic>
                  <pic:nvPicPr>
                    <pic:cNvPr id="0" name="07-mike-601-simple-denied.png"/>
                    <pic:cNvPicPr/>
                  </pic:nvPicPr>
                  <pic:blipFill>
                    <a:blip r:embed="rId16"/>
                    <a:stretch>
                      <a:fillRect/>
                    </a:stretch>
                  </pic:blipFill>
                  <pic:spPr>
                    <a:xfrm>
                      <a:off x="0" y="0"/>
                      <a:ext cx="6583680" cy="2693324"/>
                    </a:xfrm>
                    <a:prstGeom prst="rect"/>
                  </pic:spPr>
                </pic:pic>
              </a:graphicData>
            </a:graphic>
          </wp:inline>
        </w:drawing>
      </w:r>
    </w:p>
    <w:p>
      <w:pPr>
        <w:pStyle w:val="Caption"/>
        <w:spacing w:after="160"/>
        <w:jc w:val="center"/>
      </w:pPr>
      <w:r>
        <w:t>Mike 601-unit write denied in simple mode</w:t>
      </w:r>
    </w:p>
    <w:p>
      <w:pPr>
        <w:ind w:left="216" w:right="216"/>
      </w:pPr>
      <w:r>
        <w:rPr>
          <w:b/>
        </w:rPr>
        <w:t>Why Mike cannot execute it:</w:t>
      </w:r>
      <w:r>
        <w:t xml:space="preserve"> Mike's Manager role covers 1–600 units. A 601+ change requires level 2, the VP tier. Simple mode denies the request and creates no approval workflow. The optional FGA demo turns this same boundary into a Manager-to-VP approval route.</w:t>
      </w:r>
    </w:p>
    <w:p>
      <w:pPr>
        <w:sectPr>
          <w:headerReference w:type="default" r:id="rId9"/>
          <w:footerReference w:type="default" r:id="rId10"/>
          <w:pgSz w:w="12240" w:h="15840"/>
          <w:pgMar w:top="792" w:right="936" w:bottom="792" w:left="936" w:header="720" w:footer="720" w:gutter="0"/>
          <w:cols w:space="720"/>
          <w:titlePg/>
          <w:docGrid w:linePitch="360"/>
        </w:sectPr>
      </w:pPr>
    </w:p>
    <w:p>
      <w:pPr>
        <w:pStyle w:val="Heading2"/>
      </w:pPr>
      <w:r>
        <w:t>6. Walk through the architecture</w:t>
      </w:r>
    </w:p>
    <w:p>
      <w:r>
        <w:t xml:space="preserve">Open </w:t>
      </w:r>
      <w:r>
        <w:rPr>
          <w:b/>
        </w:rPr>
        <w:t>Architecture</w:t>
      </w:r>
      <w:r>
        <w:t>. Keep FGA off for the first walkthrough.</w:t>
      </w:r>
    </w:p>
    <w:p>
      <w:pPr>
        <w:keepNext/>
        <w:jc w:val="center"/>
      </w:pPr>
      <w:r>
        <w:drawing>
          <wp:inline xmlns:a="http://schemas.openxmlformats.org/drawingml/2006/main" xmlns:pic="http://schemas.openxmlformats.org/drawingml/2006/picture">
            <wp:extent cx="8869680" cy="5526493"/>
            <wp:docPr id="6" name="Picture 6"/>
            <wp:cNvGraphicFramePr>
              <a:graphicFrameLocks noChangeAspect="1"/>
            </wp:cNvGraphicFramePr>
            <a:graphic>
              <a:graphicData uri="http://schemas.openxmlformats.org/drawingml/2006/picture">
                <pic:pic>
                  <pic:nvPicPr>
                    <pic:cNvPr id="0" name="08-architecture.png"/>
                    <pic:cNvPicPr/>
                  </pic:nvPicPr>
                  <pic:blipFill>
                    <a:blip r:embed="rId17"/>
                    <a:stretch>
                      <a:fillRect/>
                    </a:stretch>
                  </pic:blipFill>
                  <pic:spPr>
                    <a:xfrm>
                      <a:off x="0" y="0"/>
                      <a:ext cx="8869680" cy="5526493"/>
                    </a:xfrm>
                    <a:prstGeom prst="rect"/>
                  </pic:spPr>
                </pic:pic>
              </a:graphicData>
            </a:graphic>
          </wp:inline>
        </w:drawing>
      </w:r>
    </w:p>
    <w:p>
      <w:pPr>
        <w:pStyle w:val="Caption"/>
        <w:spacing w:after="160"/>
        <w:jc w:val="center"/>
      </w:pPr>
      <w:r>
        <w:t>ProGear system architecture</w:t>
      </w:r>
    </w:p>
    <w:tbl>
      <w:tblPr>
        <w:tblStyle w:val="TableGrid"/>
        <w:tblW w:type="auto" w:w="0"/>
        <w:tblLayout w:type="autofit"/>
        <w:tblLook w:firstColumn="1" w:firstRow="1" w:lastColumn="0" w:lastRow="0" w:noHBand="0" w:noVBand="1" w:val="04A0"/>
      </w:tblPr>
      <w:tblGrid>
        <w:gridCol w:w="6984"/>
        <w:gridCol w:w="6984"/>
      </w:tblGrid>
      <w:tr>
        <w:trPr>
          <w:tblHeader w:val="true"/>
        </w:trPr>
        <w:tc>
          <w:tcPr>
            <w:tcW w:type="dxa" w:w="6984"/>
            <w:shd w:fill="4A2C1A"/>
            <w:tcMar>
              <w:top w:w="100" w:type="dxa"/>
              <w:start w:w="120" w:type="dxa"/>
              <w:bottom w:w="100" w:type="dxa"/>
              <w:end w:w="120" w:type="dxa"/>
            </w:tcMar>
            <w:vAlign w:val="center"/>
          </w:tcPr>
          <w:p>
            <w:r>
              <w:rPr>
                <w:b/>
                <w:color w:val="FFFFFF"/>
                <w:sz w:val="18"/>
              </w:rPr>
              <w:t>Diagram item</w:t>
            </w:r>
          </w:p>
        </w:tc>
        <w:tc>
          <w:tcPr>
            <w:tcW w:type="dxa" w:w="6984"/>
            <w:shd w:fill="4A2C1A"/>
            <w:tcMar>
              <w:top w:w="100" w:type="dxa"/>
              <w:start w:w="120" w:type="dxa"/>
              <w:bottom w:w="100" w:type="dxa"/>
              <w:end w:w="120" w:type="dxa"/>
            </w:tcMar>
            <w:vAlign w:val="center"/>
          </w:tcPr>
          <w:p>
            <w:r>
              <w:rPr>
                <w:b/>
                <w:color w:val="FFFFFF"/>
                <w:sz w:val="18"/>
              </w:rPr>
              <w:t>Simple talk track</w:t>
            </w:r>
          </w:p>
        </w:tc>
      </w:tr>
      <w:tr>
        <w:trPr>
          <w:cantSplit/>
        </w:trPr>
        <w:tc>
          <w:tcPr>
            <w:tcW w:type="dxa" w:w="6984"/>
            <w:tcMar>
              <w:top w:w="100" w:type="dxa"/>
              <w:start w:w="120" w:type="dxa"/>
              <w:bottom w:w="100" w:type="dxa"/>
              <w:end w:w="120" w:type="dxa"/>
            </w:tcMar>
            <w:vAlign w:val="center"/>
          </w:tcPr>
          <w:p>
            <w:pPr>
              <w:spacing w:after="0"/>
            </w:pPr>
            <w:r>
              <w:rPr>
                <w:sz w:val="17"/>
              </w:rPr>
              <w:t>Employee</w:t>
            </w:r>
          </w:p>
        </w:tc>
        <w:tc>
          <w:tcPr>
            <w:tcW w:type="dxa" w:w="6984"/>
            <w:tcMar>
              <w:top w:w="100" w:type="dxa"/>
              <w:start w:w="120" w:type="dxa"/>
              <w:bottom w:w="100" w:type="dxa"/>
              <w:end w:w="120" w:type="dxa"/>
            </w:tcMar>
            <w:vAlign w:val="center"/>
          </w:tcPr>
          <w:p>
            <w:pPr>
              <w:spacing w:after="0"/>
            </w:pPr>
            <w:r>
              <w:rPr>
                <w:sz w:val="17"/>
              </w:rPr>
              <w:t>The signed-in person remains the subject of the request.</w:t>
            </w:r>
          </w:p>
        </w:tc>
      </w:tr>
      <w:tr>
        <w:trPr>
          <w:cantSplit/>
        </w:trPr>
        <w:tc>
          <w:tcPr>
            <w:tcW w:type="dxa" w:w="6984"/>
            <w:shd w:fill="F6F8FC"/>
            <w:tcMar>
              <w:top w:w="100" w:type="dxa"/>
              <w:start w:w="120" w:type="dxa"/>
              <w:bottom w:w="100" w:type="dxa"/>
              <w:end w:w="120" w:type="dxa"/>
            </w:tcMar>
            <w:vAlign w:val="center"/>
          </w:tcPr>
          <w:p>
            <w:pPr>
              <w:spacing w:after="0"/>
            </w:pPr>
            <w:r>
              <w:rPr>
                <w:sz w:val="17"/>
              </w:rPr>
              <w:t>ProGear Agent</w:t>
            </w:r>
          </w:p>
        </w:tc>
        <w:tc>
          <w:tcPr>
            <w:tcW w:type="dxa" w:w="6984"/>
            <w:shd w:fill="F6F8FC"/>
            <w:tcMar>
              <w:top w:w="100" w:type="dxa"/>
              <w:start w:w="120" w:type="dxa"/>
              <w:bottom w:w="100" w:type="dxa"/>
              <w:end w:w="120" w:type="dxa"/>
            </w:tcMar>
            <w:vAlign w:val="center"/>
          </w:tcPr>
          <w:p>
            <w:pPr>
              <w:spacing w:after="0"/>
            </w:pPr>
            <w:r>
              <w:rPr>
                <w:sz w:val="17"/>
              </w:rPr>
              <w:t>A first-class Workload Principal with its own identity, key, owners, and lifecycle.</w:t>
            </w:r>
          </w:p>
        </w:tc>
      </w:tr>
      <w:tr>
        <w:trPr>
          <w:cantSplit/>
        </w:trPr>
        <w:tc>
          <w:tcPr>
            <w:tcW w:type="dxa" w:w="6984"/>
            <w:tcMar>
              <w:top w:w="100" w:type="dxa"/>
              <w:start w:w="120" w:type="dxa"/>
              <w:bottom w:w="100" w:type="dxa"/>
              <w:end w:w="120" w:type="dxa"/>
            </w:tcMar>
            <w:vAlign w:val="center"/>
          </w:tcPr>
          <w:p>
            <w:pPr>
              <w:spacing w:after="0"/>
            </w:pPr>
            <w:r>
              <w:rPr>
                <w:sz w:val="17"/>
              </w:rPr>
              <w:t>Okta</w:t>
            </w:r>
          </w:p>
        </w:tc>
        <w:tc>
          <w:tcPr>
            <w:tcW w:type="dxa" w:w="6984"/>
            <w:tcMar>
              <w:top w:w="100" w:type="dxa"/>
              <w:start w:w="120" w:type="dxa"/>
              <w:bottom w:w="100" w:type="dxa"/>
              <w:end w:w="120" w:type="dxa"/>
            </w:tcMar>
            <w:vAlign w:val="center"/>
          </w:tcPr>
          <w:p>
            <w:pPr>
              <w:spacing w:after="0"/>
            </w:pPr>
            <w:r>
              <w:rPr>
                <w:sz w:val="17"/>
              </w:rPr>
              <w:t>Authenticates the employee, checks live delegation context, and recognizes the agent.</w:t>
            </w:r>
          </w:p>
        </w:tc>
      </w:tr>
      <w:tr>
        <w:trPr>
          <w:cantSplit/>
        </w:trPr>
        <w:tc>
          <w:tcPr>
            <w:tcW w:type="dxa" w:w="6984"/>
            <w:shd w:fill="F6F8FC"/>
            <w:tcMar>
              <w:top w:w="100" w:type="dxa"/>
              <w:start w:w="120" w:type="dxa"/>
              <w:bottom w:w="100" w:type="dxa"/>
              <w:end w:w="120" w:type="dxa"/>
            </w:tcMar>
            <w:vAlign w:val="center"/>
          </w:tcPr>
          <w:p>
            <w:pPr>
              <w:spacing w:after="0"/>
            </w:pPr>
            <w:r>
              <w:rPr>
                <w:sz w:val="17"/>
              </w:rPr>
              <w:t>Resource AS</w:t>
            </w:r>
          </w:p>
        </w:tc>
        <w:tc>
          <w:tcPr>
            <w:tcW w:type="dxa" w:w="6984"/>
            <w:shd w:fill="F6F8FC"/>
            <w:tcMar>
              <w:top w:w="100" w:type="dxa"/>
              <w:start w:w="120" w:type="dxa"/>
              <w:bottom w:w="100" w:type="dxa"/>
              <w:end w:w="120" w:type="dxa"/>
            </w:tcMar>
            <w:vAlign w:val="center"/>
          </w:tcPr>
          <w:p>
            <w:pPr>
              <w:spacing w:after="0"/>
            </w:pPr>
            <w:r>
              <w:rPr>
                <w:sz w:val="17"/>
              </w:rPr>
              <w:t>Issues a token scoped to the requested business resource and action.</w:t>
            </w:r>
          </w:p>
        </w:tc>
      </w:tr>
      <w:tr>
        <w:trPr>
          <w:cantSplit/>
        </w:trPr>
        <w:tc>
          <w:tcPr>
            <w:tcW w:type="dxa" w:w="6984"/>
            <w:tcMar>
              <w:top w:w="100" w:type="dxa"/>
              <w:start w:w="120" w:type="dxa"/>
              <w:bottom w:w="100" w:type="dxa"/>
              <w:end w:w="120" w:type="dxa"/>
            </w:tcMar>
            <w:vAlign w:val="center"/>
          </w:tcPr>
          <w:p>
            <w:pPr>
              <w:spacing w:after="0"/>
            </w:pPr>
            <w:r>
              <w:rPr>
                <w:sz w:val="17"/>
              </w:rPr>
              <w:t>Business resources</w:t>
            </w:r>
          </w:p>
        </w:tc>
        <w:tc>
          <w:tcPr>
            <w:tcW w:type="dxa" w:w="6984"/>
            <w:tcMar>
              <w:top w:w="100" w:type="dxa"/>
              <w:start w:w="120" w:type="dxa"/>
              <w:bottom w:w="100" w:type="dxa"/>
              <w:end w:w="120" w:type="dxa"/>
            </w:tcMar>
            <w:vAlign w:val="center"/>
          </w:tcPr>
          <w:p>
            <w:pPr>
              <w:spacing w:after="0"/>
            </w:pPr>
            <w:r>
              <w:rPr>
                <w:sz w:val="17"/>
              </w:rPr>
              <w:t>Inventory, Customer, Pricing, and Sales enforce their own boundaries.</w:t>
            </w:r>
          </w:p>
        </w:tc>
      </w:tr>
      <w:tr>
        <w:trPr>
          <w:cantSplit/>
        </w:trPr>
        <w:tc>
          <w:tcPr>
            <w:tcW w:type="dxa" w:w="6984"/>
            <w:shd w:fill="F6F8FC"/>
            <w:tcMar>
              <w:top w:w="100" w:type="dxa"/>
              <w:start w:w="120" w:type="dxa"/>
              <w:bottom w:w="100" w:type="dxa"/>
              <w:end w:w="120" w:type="dxa"/>
            </w:tcMar>
            <w:vAlign w:val="center"/>
          </w:tcPr>
          <w:p>
            <w:pPr>
              <w:spacing w:after="0"/>
            </w:pPr>
            <w:r>
              <w:rPr>
                <w:sz w:val="17"/>
              </w:rPr>
              <w:t>Audit trail</w:t>
            </w:r>
          </w:p>
        </w:tc>
        <w:tc>
          <w:tcPr>
            <w:tcW w:type="dxa" w:w="6984"/>
            <w:shd w:fill="F6F8FC"/>
            <w:tcMar>
              <w:top w:w="100" w:type="dxa"/>
              <w:start w:w="120" w:type="dxa"/>
              <w:bottom w:w="100" w:type="dxa"/>
              <w:end w:w="120" w:type="dxa"/>
            </w:tcMar>
            <w:vAlign w:val="center"/>
          </w:tcPr>
          <w:p>
            <w:pPr>
              <w:spacing w:after="0"/>
            </w:pPr>
            <w:r>
              <w:rPr>
                <w:sz w:val="17"/>
              </w:rPr>
              <w:t>The chain keeps the employee, agent, resource, scope, and decision attributable.</w:t>
            </w:r>
          </w:p>
        </w:tc>
      </w:tr>
      <w:tr>
        <w:trPr>
          <w:cantSplit/>
        </w:trPr>
        <w:tc>
          <w:tcPr>
            <w:tcW w:type="dxa" w:w="6984"/>
            <w:tcMar>
              <w:top w:w="100" w:type="dxa"/>
              <w:start w:w="120" w:type="dxa"/>
              <w:bottom w:w="100" w:type="dxa"/>
              <w:end w:w="120" w:type="dxa"/>
            </w:tcMar>
            <w:vAlign w:val="center"/>
          </w:tcPr>
          <w:p>
            <w:pPr>
              <w:spacing w:after="0"/>
            </w:pPr>
            <w:r>
              <w:rPr>
                <w:sz w:val="17"/>
              </w:rPr>
              <w:t>Kill switch</w:t>
            </w:r>
          </w:p>
        </w:tc>
        <w:tc>
          <w:tcPr>
            <w:tcW w:type="dxa" w:w="6984"/>
            <w:tcMar>
              <w:top w:w="100" w:type="dxa"/>
              <w:start w:w="120" w:type="dxa"/>
              <w:bottom w:w="100" w:type="dxa"/>
              <w:end w:w="120" w:type="dxa"/>
            </w:tcMar>
            <w:vAlign w:val="center"/>
          </w:tcPr>
          <w:p>
            <w:pPr>
              <w:spacing w:after="0"/>
            </w:pPr>
            <w:r>
              <w:rPr>
                <w:sz w:val="17"/>
              </w:rPr>
              <w:t>Deactivating the agent identity prevents new token exchanges.</w:t>
            </w:r>
          </w:p>
        </w:tc>
      </w:tr>
    </w:tbl>
    <w:p>
      <w:pPr>
        <w:spacing w:after="0"/>
      </w:pPr>
    </w:p>
    <w:p>
      <w:pPr>
        <w:ind w:left="216" w:right="216"/>
      </w:pPr>
      <w:r>
        <w:rPr>
          <w:b/>
        </w:rPr>
        <w:t>Say:</w:t>
      </w:r>
      <w:r>
        <w:t xml:space="preserve"> “The agent never disappears inside the employee's identity. Okta can govern and deactivate it independently while preserving who asked it to act.”</w:t>
      </w:r>
    </w:p>
    <w:p>
      <w:r>
        <w:br w:type="page"/>
      </w:r>
    </w:p>
    <w:p>
      <w:pPr>
        <w:pStyle w:val="Heading2"/>
      </w:pPr>
      <w:r>
        <w:t>7. Walk through the sequence</w:t>
      </w:r>
    </w:p>
    <w:p>
      <w:r>
        <w:t xml:space="preserve">Scroll to </w:t>
      </w:r>
      <w:r>
        <w:rPr>
          <w:b/>
        </w:rPr>
        <w:t>Request sequence</w:t>
      </w:r>
      <w:r>
        <w:t>.</w:t>
      </w:r>
    </w:p>
    <w:p>
      <w:pPr>
        <w:keepNext/>
        <w:jc w:val="center"/>
      </w:pPr>
      <w:r>
        <w:drawing>
          <wp:inline xmlns:a="http://schemas.openxmlformats.org/drawingml/2006/main" xmlns:pic="http://schemas.openxmlformats.org/drawingml/2006/picture">
            <wp:extent cx="8869680" cy="4296251"/>
            <wp:docPr id="7" name="Picture 7"/>
            <wp:cNvGraphicFramePr>
              <a:graphicFrameLocks noChangeAspect="1"/>
            </wp:cNvGraphicFramePr>
            <a:graphic>
              <a:graphicData uri="http://schemas.openxmlformats.org/drawingml/2006/picture">
                <pic:pic>
                  <pic:nvPicPr>
                    <pic:cNvPr id="0" name="09-sequence.png"/>
                    <pic:cNvPicPr/>
                  </pic:nvPicPr>
                  <pic:blipFill>
                    <a:blip r:embed="rId18"/>
                    <a:stretch>
                      <a:fillRect/>
                    </a:stretch>
                  </pic:blipFill>
                  <pic:spPr>
                    <a:xfrm>
                      <a:off x="0" y="0"/>
                      <a:ext cx="8869680" cy="4296251"/>
                    </a:xfrm>
                    <a:prstGeom prst="rect"/>
                  </pic:spPr>
                </pic:pic>
              </a:graphicData>
            </a:graphic>
          </wp:inline>
        </w:drawing>
      </w:r>
    </w:p>
    <w:p>
      <w:pPr>
        <w:pStyle w:val="Caption"/>
        <w:spacing w:after="160"/>
        <w:jc w:val="center"/>
      </w:pPr>
      <w:r>
        <w:t>ProGear request sequence</w:t>
      </w:r>
    </w:p>
    <w:p>
      <w:r>
        <w:br w:type="page"/>
      </w:r>
    </w:p>
    <w:tbl>
      <w:tblPr>
        <w:tblStyle w:val="TableGrid"/>
        <w:tblW w:type="auto" w:w="0"/>
        <w:tblLayout w:type="autofit"/>
        <w:tblLook w:firstColumn="1" w:firstRow="1" w:lastColumn="0" w:lastRow="0" w:noHBand="0" w:noVBand="1" w:val="04A0"/>
      </w:tblPr>
      <w:tblGrid>
        <w:gridCol w:w="6984"/>
        <w:gridCol w:w="6984"/>
      </w:tblGrid>
      <w:tr>
        <w:trPr>
          <w:tblHeader w:val="true"/>
        </w:trPr>
        <w:tc>
          <w:tcPr>
            <w:tcW w:type="dxa" w:w="6984"/>
            <w:shd w:fill="4A2C1A"/>
            <w:tcMar>
              <w:top w:w="100" w:type="dxa"/>
              <w:start w:w="120" w:type="dxa"/>
              <w:bottom w:w="100" w:type="dxa"/>
              <w:end w:w="120" w:type="dxa"/>
            </w:tcMar>
            <w:vAlign w:val="center"/>
          </w:tcPr>
          <w:p>
            <w:r>
              <w:rPr>
                <w:b/>
                <w:color w:val="FFFFFF"/>
                <w:sz w:val="18"/>
              </w:rPr>
              <w:t>Step</w:t>
            </w:r>
          </w:p>
        </w:tc>
        <w:tc>
          <w:tcPr>
            <w:tcW w:type="dxa" w:w="6984"/>
            <w:shd w:fill="4A2C1A"/>
            <w:tcMar>
              <w:top w:w="100" w:type="dxa"/>
              <w:start w:w="120" w:type="dxa"/>
              <w:bottom w:w="100" w:type="dxa"/>
              <w:end w:w="120" w:type="dxa"/>
            </w:tcMar>
            <w:vAlign w:val="center"/>
          </w:tcPr>
          <w:p>
            <w:r>
              <w:rPr>
                <w:b/>
                <w:color w:val="FFFFFF"/>
                <w:sz w:val="18"/>
              </w:rPr>
              <w:t>What happens</w:t>
            </w:r>
          </w:p>
        </w:tc>
      </w:tr>
      <w:tr>
        <w:trPr>
          <w:cantSplit/>
        </w:trPr>
        <w:tc>
          <w:tcPr>
            <w:tcW w:type="dxa" w:w="6984"/>
            <w:tcMar>
              <w:top w:w="100" w:type="dxa"/>
              <w:start w:w="120" w:type="dxa"/>
              <w:bottom w:w="100" w:type="dxa"/>
              <w:end w:w="120" w:type="dxa"/>
            </w:tcMar>
            <w:vAlign w:val="center"/>
          </w:tcPr>
          <w:p>
            <w:pPr>
              <w:spacing w:after="0"/>
            </w:pPr>
            <w:r>
              <w:rPr>
                <w:sz w:val="17"/>
              </w:rPr>
              <w:t>1</w:t>
            </w:r>
          </w:p>
        </w:tc>
        <w:tc>
          <w:tcPr>
            <w:tcW w:type="dxa" w:w="6984"/>
            <w:tcMar>
              <w:top w:w="100" w:type="dxa"/>
              <w:start w:w="120" w:type="dxa"/>
              <w:bottom w:w="100" w:type="dxa"/>
              <w:end w:w="120" w:type="dxa"/>
            </w:tcMar>
            <w:vAlign w:val="center"/>
          </w:tcPr>
          <w:p>
            <w:pPr>
              <w:spacing w:after="0"/>
            </w:pPr>
            <w:r>
              <w:rPr>
                <w:sz w:val="17"/>
              </w:rPr>
              <w:t>The employee asks the ProGear agent to use Inventory.</w:t>
            </w:r>
          </w:p>
        </w:tc>
      </w:tr>
      <w:tr>
        <w:trPr>
          <w:cantSplit/>
        </w:trPr>
        <w:tc>
          <w:tcPr>
            <w:tcW w:type="dxa" w:w="6984"/>
            <w:shd w:fill="F6F8FC"/>
            <w:tcMar>
              <w:top w:w="100" w:type="dxa"/>
              <w:start w:w="120" w:type="dxa"/>
              <w:bottom w:w="100" w:type="dxa"/>
              <w:end w:w="120" w:type="dxa"/>
            </w:tcMar>
            <w:vAlign w:val="center"/>
          </w:tcPr>
          <w:p>
            <w:pPr>
              <w:spacing w:after="0"/>
            </w:pPr>
            <w:r>
              <w:rPr>
                <w:sz w:val="17"/>
              </w:rPr>
              <w:t>2</w:t>
            </w:r>
          </w:p>
        </w:tc>
        <w:tc>
          <w:tcPr>
            <w:tcW w:type="dxa" w:w="6984"/>
            <w:shd w:fill="F6F8FC"/>
            <w:tcMar>
              <w:top w:w="100" w:type="dxa"/>
              <w:start w:w="120" w:type="dxa"/>
              <w:bottom w:w="100" w:type="dxa"/>
              <w:end w:w="120" w:type="dxa"/>
            </w:tcMar>
            <w:vAlign w:val="center"/>
          </w:tcPr>
          <w:p>
            <w:pPr>
              <w:spacing w:after="0"/>
            </w:pPr>
            <w:r>
              <w:rPr>
                <w:sz w:val="17"/>
              </w:rPr>
              <w:t>The agent presents its workload identity plus the employee context.</w:t>
            </w:r>
          </w:p>
        </w:tc>
      </w:tr>
      <w:tr>
        <w:trPr>
          <w:cantSplit/>
        </w:trPr>
        <w:tc>
          <w:tcPr>
            <w:tcW w:type="dxa" w:w="6984"/>
            <w:tcMar>
              <w:top w:w="100" w:type="dxa"/>
              <w:start w:w="120" w:type="dxa"/>
              <w:bottom w:w="100" w:type="dxa"/>
              <w:end w:w="120" w:type="dxa"/>
            </w:tcMar>
            <w:vAlign w:val="center"/>
          </w:tcPr>
          <w:p>
            <w:pPr>
              <w:spacing w:after="0"/>
            </w:pPr>
            <w:r>
              <w:rPr>
                <w:sz w:val="17"/>
              </w:rPr>
              <w:t>3</w:t>
            </w:r>
          </w:p>
        </w:tc>
        <w:tc>
          <w:tcPr>
            <w:tcW w:type="dxa" w:w="6984"/>
            <w:tcMar>
              <w:top w:w="100" w:type="dxa"/>
              <w:start w:w="120" w:type="dxa"/>
              <w:bottom w:w="100" w:type="dxa"/>
              <w:end w:w="120" w:type="dxa"/>
            </w:tcMar>
            <w:vAlign w:val="center"/>
          </w:tcPr>
          <w:p>
            <w:pPr>
              <w:spacing w:after="0"/>
            </w:pPr>
            <w:r>
              <w:rPr>
                <w:sz w:val="17"/>
              </w:rPr>
              <w:t>Okta issues an Identity Assertion Grant (ID-JAG) for that user-agent-resource request.</w:t>
            </w:r>
          </w:p>
        </w:tc>
      </w:tr>
      <w:tr>
        <w:trPr>
          <w:cantSplit/>
        </w:trPr>
        <w:tc>
          <w:tcPr>
            <w:tcW w:type="dxa" w:w="6984"/>
            <w:shd w:fill="F6F8FC"/>
            <w:tcMar>
              <w:top w:w="100" w:type="dxa"/>
              <w:start w:w="120" w:type="dxa"/>
              <w:bottom w:w="100" w:type="dxa"/>
              <w:end w:w="120" w:type="dxa"/>
            </w:tcMar>
            <w:vAlign w:val="center"/>
          </w:tcPr>
          <w:p>
            <w:pPr>
              <w:spacing w:after="0"/>
            </w:pPr>
            <w:r>
              <w:rPr>
                <w:sz w:val="17"/>
              </w:rPr>
              <w:t>4</w:t>
            </w:r>
          </w:p>
        </w:tc>
        <w:tc>
          <w:tcPr>
            <w:tcW w:type="dxa" w:w="6984"/>
            <w:shd w:fill="F6F8FC"/>
            <w:tcMar>
              <w:top w:w="100" w:type="dxa"/>
              <w:start w:w="120" w:type="dxa"/>
              <w:bottom w:w="100" w:type="dxa"/>
              <w:end w:w="120" w:type="dxa"/>
            </w:tcMar>
            <w:vAlign w:val="center"/>
          </w:tcPr>
          <w:p>
            <w:pPr>
              <w:spacing w:after="0"/>
            </w:pPr>
            <w:r>
              <w:rPr>
                <w:sz w:val="17"/>
              </w:rPr>
              <w:t>The agent exchanges the ID-JAG at the Resource Authorization Server with the needed scope.</w:t>
            </w:r>
          </w:p>
        </w:tc>
      </w:tr>
      <w:tr>
        <w:trPr>
          <w:cantSplit/>
        </w:trPr>
        <w:tc>
          <w:tcPr>
            <w:tcW w:type="dxa" w:w="6984"/>
            <w:tcMar>
              <w:top w:w="100" w:type="dxa"/>
              <w:start w:w="120" w:type="dxa"/>
              <w:bottom w:w="100" w:type="dxa"/>
              <w:end w:w="120" w:type="dxa"/>
            </w:tcMar>
            <w:vAlign w:val="center"/>
          </w:tcPr>
          <w:p>
            <w:pPr>
              <w:spacing w:after="0"/>
            </w:pPr>
            <w:r>
              <w:rPr>
                <w:sz w:val="17"/>
              </w:rPr>
              <w:t>5</w:t>
            </w:r>
          </w:p>
        </w:tc>
        <w:tc>
          <w:tcPr>
            <w:tcW w:type="dxa" w:w="6984"/>
            <w:tcMar>
              <w:top w:w="100" w:type="dxa"/>
              <w:start w:w="120" w:type="dxa"/>
              <w:bottom w:w="100" w:type="dxa"/>
              <w:end w:w="120" w:type="dxa"/>
            </w:tcMar>
            <w:vAlign w:val="center"/>
          </w:tcPr>
          <w:p>
            <w:pPr>
              <w:spacing w:after="0"/>
            </w:pPr>
            <w:r>
              <w:rPr>
                <w:sz w:val="17"/>
              </w:rPr>
              <w:t>The Resource AS returns a scoped access token.</w:t>
            </w:r>
          </w:p>
        </w:tc>
      </w:tr>
      <w:tr>
        <w:trPr>
          <w:cantSplit/>
        </w:trPr>
        <w:tc>
          <w:tcPr>
            <w:tcW w:type="dxa" w:w="6984"/>
            <w:shd w:fill="F6F8FC"/>
            <w:tcMar>
              <w:top w:w="100" w:type="dxa"/>
              <w:start w:w="120" w:type="dxa"/>
              <w:bottom w:w="100" w:type="dxa"/>
              <w:end w:w="120" w:type="dxa"/>
            </w:tcMar>
            <w:vAlign w:val="center"/>
          </w:tcPr>
          <w:p>
            <w:pPr>
              <w:spacing w:after="0"/>
            </w:pPr>
            <w:r>
              <w:rPr>
                <w:sz w:val="17"/>
              </w:rPr>
              <w:t>6</w:t>
            </w:r>
          </w:p>
        </w:tc>
        <w:tc>
          <w:tcPr>
            <w:tcW w:type="dxa" w:w="6984"/>
            <w:shd w:fill="F6F8FC"/>
            <w:tcMar>
              <w:top w:w="100" w:type="dxa"/>
              <w:start w:w="120" w:type="dxa"/>
              <w:bottom w:w="100" w:type="dxa"/>
              <w:end w:w="120" w:type="dxa"/>
            </w:tcMar>
            <w:vAlign w:val="center"/>
          </w:tcPr>
          <w:p>
            <w:pPr>
              <w:spacing w:after="0"/>
            </w:pPr>
            <w:r>
              <w:rPr>
                <w:sz w:val="17"/>
              </w:rPr>
              <w:t>The agent calls Inventory with that token.</w:t>
            </w:r>
          </w:p>
        </w:tc>
      </w:tr>
      <w:tr>
        <w:trPr>
          <w:cantSplit/>
        </w:trPr>
        <w:tc>
          <w:tcPr>
            <w:tcW w:type="dxa" w:w="6984"/>
            <w:tcMar>
              <w:top w:w="100" w:type="dxa"/>
              <w:start w:w="120" w:type="dxa"/>
              <w:bottom w:w="100" w:type="dxa"/>
              <w:end w:w="120" w:type="dxa"/>
            </w:tcMar>
            <w:vAlign w:val="center"/>
          </w:tcPr>
          <w:p>
            <w:pPr>
              <w:spacing w:after="0"/>
            </w:pPr>
            <w:r>
              <w:rPr>
                <w:sz w:val="17"/>
              </w:rPr>
              <w:t>7</w:t>
            </w:r>
          </w:p>
        </w:tc>
        <w:tc>
          <w:tcPr>
            <w:tcW w:type="dxa" w:w="6984"/>
            <w:tcMar>
              <w:top w:w="100" w:type="dxa"/>
              <w:start w:w="120" w:type="dxa"/>
              <w:bottom w:w="100" w:type="dxa"/>
              <w:end w:w="120" w:type="dxa"/>
            </w:tcMar>
            <w:vAlign w:val="center"/>
          </w:tcPr>
          <w:p>
            <w:pPr>
              <w:spacing w:after="0"/>
            </w:pPr>
            <w:r>
              <w:rPr>
                <w:sz w:val="17"/>
              </w:rPr>
              <w:t>Inventory returns the result and the exchange/decision is auditable.</w:t>
            </w:r>
          </w:p>
        </w:tc>
      </w:tr>
    </w:tbl>
    <w:p>
      <w:pPr>
        <w:spacing w:after="0"/>
      </w:pPr>
    </w:p>
    <w:p>
      <w:pPr>
        <w:ind w:left="216" w:right="216"/>
      </w:pPr>
      <w:r>
        <w:rPr>
          <w:b/>
        </w:rPr>
        <w:t>Call out:</w:t>
      </w:r>
      <w:r>
        <w:t xml:space="preserve"> This screenshot shows the successful path. If </w:t>
      </w:r>
      <w:r>
        <w:rPr>
          <w:rFonts w:ascii="Aptos Mono" w:hAnsi="Aptos Mono"/>
          <w:color w:val="6437E8"/>
          <w:sz w:val="18"/>
        </w:rPr>
        <w:t>On vacation=True</w:t>
      </w:r>
      <w:r>
        <w:t>, or a simple-mode role check already knows the requested write is ineligible, the flow stops before ID-JAG.</w:t>
      </w:r>
    </w:p>
    <w:p>
      <w:pPr>
        <w:sectPr>
          <w:pgSz w:w="15840" w:h="12240" w:orient="landscape"/>
          <w:pgMar w:top="792" w:right="936" w:bottom="792" w:left="936" w:header="720" w:footer="720" w:gutter="0"/>
          <w:cols w:space="720"/>
          <w:titlePg/>
          <w:docGrid w:linePitch="360"/>
        </w:sectPr>
      </w:pPr>
    </w:p>
    <w:p>
      <w:pPr>
        <w:pStyle w:val="Heading1"/>
      </w:pPr>
      <w:r>
        <w:t>Optional advanced demo: FGA and VP approval</w:t>
      </w:r>
    </w:p>
    <w:p>
      <w:r>
        <w:rPr>
          <w:b/>
        </w:rPr>
        <w:t>Video walkthrough:</w:t>
      </w:r>
      <w:r>
        <w:t xml:space="preserve"> _Paste the Google Drive URL here_</w:t>
      </w:r>
    </w:p>
    <w:p>
      <w:pPr>
        <w:pStyle w:val="Heading2"/>
      </w:pPr>
      <w:r>
        <w:t>8. Enable FGA simulation</w:t>
      </w:r>
    </w:p>
    <w:p>
      <w:pPr>
        <w:pStyle w:val="ListNumber"/>
        <w:spacing w:after="40"/>
      </w:pPr>
      <w:r>
        <w:t xml:space="preserve">While signed in as Mike, open </w:t>
      </w:r>
      <w:r>
        <w:rPr>
          <w:b/>
        </w:rPr>
        <w:t>FGA</w:t>
      </w:r>
      <w:r>
        <w:t>.</w:t>
      </w:r>
    </w:p>
    <w:p>
      <w:pPr>
        <w:pStyle w:val="ListNumber"/>
        <w:spacing w:after="40"/>
      </w:pPr>
      <w:r>
        <w:t xml:space="preserve">Select </w:t>
      </w:r>
      <w:r>
        <w:rPr>
          <w:b/>
        </w:rPr>
        <w:t>Simulate FGA</w:t>
      </w:r>
      <w:r>
        <w:t>.</w:t>
      </w:r>
    </w:p>
    <w:p>
      <w:pPr>
        <w:pStyle w:val="ListNumber"/>
        <w:spacing w:after="40"/>
      </w:pPr>
      <w:r>
        <w:t>Confirm:</w:t>
      </w:r>
    </w:p>
    <w:p>
      <w:pPr>
        <w:pStyle w:val="ListBullet"/>
        <w:spacing w:after="40"/>
      </w:pPr>
      <w:r>
        <w:t xml:space="preserve">Current role: </w:t>
      </w:r>
      <w:r>
        <w:rPr>
          <w:b/>
        </w:rPr>
        <w:t>1 — Manager</w:t>
      </w:r>
    </w:p>
    <w:p>
      <w:pPr>
        <w:pStyle w:val="ListBullet"/>
        <w:spacing w:after="40"/>
      </w:pPr>
      <w:r>
        <w:t xml:space="preserve">Manager: </w:t>
      </w:r>
      <w:r>
        <w:rPr>
          <w:b/>
        </w:rPr>
        <w:t>True</w:t>
      </w:r>
    </w:p>
    <w:p>
      <w:pPr>
        <w:pStyle w:val="ListBullet"/>
        <w:spacing w:after="40"/>
      </w:pPr>
      <w:r>
        <w:t xml:space="preserve">On vacation: </w:t>
      </w:r>
      <w:r>
        <w:rPr>
          <w:b/>
        </w:rPr>
        <w:t>False</w:t>
      </w:r>
    </w:p>
    <w:p>
      <w:pPr>
        <w:keepNext/>
        <w:jc w:val="center"/>
      </w:pPr>
      <w:r>
        <w:drawing>
          <wp:inline xmlns:a="http://schemas.openxmlformats.org/drawingml/2006/main" xmlns:pic="http://schemas.openxmlformats.org/drawingml/2006/picture">
            <wp:extent cx="6583680" cy="5230368"/>
            <wp:docPr id="8" name="Picture 8"/>
            <wp:cNvGraphicFramePr>
              <a:graphicFrameLocks noChangeAspect="1"/>
            </wp:cNvGraphicFramePr>
            <a:graphic>
              <a:graphicData uri="http://schemas.openxmlformats.org/drawingml/2006/picture">
                <pic:pic>
                  <pic:nvPicPr>
                    <pic:cNvPr id="0" name="10-fga-controls.png"/>
                    <pic:cNvPicPr/>
                  </pic:nvPicPr>
                  <pic:blipFill>
                    <a:blip r:embed="rId19"/>
                    <a:stretch>
                      <a:fillRect/>
                    </a:stretch>
                  </pic:blipFill>
                  <pic:spPr>
                    <a:xfrm>
                      <a:off x="0" y="0"/>
                      <a:ext cx="6583680" cy="5230368"/>
                    </a:xfrm>
                    <a:prstGeom prst="rect"/>
                  </pic:spPr>
                </pic:pic>
              </a:graphicData>
            </a:graphic>
          </wp:inline>
        </w:drawing>
      </w:r>
    </w:p>
    <w:p>
      <w:pPr>
        <w:pStyle w:val="Caption"/>
        <w:spacing w:after="160"/>
        <w:jc w:val="center"/>
      </w:pPr>
      <w:r>
        <w:t>FGA controls for Mike</w:t>
      </w:r>
    </w:p>
    <w:p>
      <w:pPr>
        <w:ind w:left="216" w:right="216"/>
      </w:pPr>
      <w:r>
        <w:rPr>
          <w:b/>
        </w:rPr>
        <w:t>Important:</w:t>
      </w:r>
      <w:r>
        <w:t xml:space="preserve"> Signing out turns off FGA simulation. It does not change Mike's Okta role or vacation attribute.</w:t>
      </w:r>
    </w:p>
    <w:p>
      <w:r>
        <w:br w:type="page"/>
      </w:r>
    </w:p>
    <w:p>
      <w:pPr>
        <w:pStyle w:val="Heading2"/>
      </w:pPr>
      <w:r>
        <w:t>9. Explain the FGA policy</w:t>
      </w:r>
    </w:p>
    <w:p>
      <w:pPr>
        <w:keepNext/>
        <w:jc w:val="center"/>
      </w:pPr>
      <w:r>
        <w:drawing>
          <wp:inline xmlns:a="http://schemas.openxmlformats.org/drawingml/2006/main" xmlns:pic="http://schemas.openxmlformats.org/drawingml/2006/picture">
            <wp:extent cx="6583680" cy="5998464"/>
            <wp:docPr id="9" name="Picture 9"/>
            <wp:cNvGraphicFramePr>
              <a:graphicFrameLocks noChangeAspect="1"/>
            </wp:cNvGraphicFramePr>
            <a:graphic>
              <a:graphicData uri="http://schemas.openxmlformats.org/drawingml/2006/picture">
                <pic:pic>
                  <pic:nvPicPr>
                    <pic:cNvPr id="0" name="11-fga-policy.png"/>
                    <pic:cNvPicPr/>
                  </pic:nvPicPr>
                  <pic:blipFill>
                    <a:blip r:embed="rId20"/>
                    <a:stretch>
                      <a:fillRect/>
                    </a:stretch>
                  </pic:blipFill>
                  <pic:spPr>
                    <a:xfrm>
                      <a:off x="0" y="0"/>
                      <a:ext cx="6583680" cy="5998464"/>
                    </a:xfrm>
                    <a:prstGeom prst="rect"/>
                  </pic:spPr>
                </pic:pic>
              </a:graphicData>
            </a:graphic>
          </wp:inline>
        </w:drawing>
      </w:r>
    </w:p>
    <w:p>
      <w:pPr>
        <w:pStyle w:val="Caption"/>
        <w:spacing w:after="160"/>
        <w:jc w:val="center"/>
      </w:pPr>
      <w:r>
        <w:t>FGA decision architecture and role table</w:t>
      </w:r>
    </w:p>
    <w:tbl>
      <w:tblPr>
        <w:tblStyle w:val="TableGrid"/>
        <w:tblW w:type="auto" w:w="0"/>
        <w:tblLayout w:type="autofit"/>
        <w:tblLook w:firstColumn="1" w:firstRow="1" w:lastColumn="0" w:lastRow="0" w:noHBand="0" w:noVBand="1" w:val="04A0"/>
      </w:tblPr>
      <w:tblGrid>
        <w:gridCol w:w="5184"/>
        <w:gridCol w:w="5184"/>
      </w:tblGrid>
      <w:tr>
        <w:trPr>
          <w:tblHeader w:val="true"/>
        </w:trPr>
        <w:tc>
          <w:tcPr>
            <w:tcW w:type="dxa" w:w="5184"/>
            <w:shd w:fill="4A2C1A"/>
            <w:tcMar>
              <w:top w:w="100" w:type="dxa"/>
              <w:start w:w="120" w:type="dxa"/>
              <w:bottom w:w="100" w:type="dxa"/>
              <w:end w:w="120" w:type="dxa"/>
            </w:tcMar>
            <w:vAlign w:val="center"/>
          </w:tcPr>
          <w:p>
            <w:r>
              <w:rPr>
                <w:b/>
                <w:color w:val="FFFFFF"/>
                <w:sz w:val="18"/>
              </w:rPr>
              <w:t>Check</w:t>
            </w:r>
          </w:p>
        </w:tc>
        <w:tc>
          <w:tcPr>
            <w:tcW w:type="dxa" w:w="5184"/>
            <w:shd w:fill="4A2C1A"/>
            <w:tcMar>
              <w:top w:w="100" w:type="dxa"/>
              <w:start w:w="120" w:type="dxa"/>
              <w:bottom w:w="100" w:type="dxa"/>
              <w:end w:w="120" w:type="dxa"/>
            </w:tcMar>
            <w:vAlign w:val="center"/>
          </w:tcPr>
          <w:p>
            <w:r>
              <w:rPr>
                <w:b/>
                <w:color w:val="FFFFFF"/>
                <w:sz w:val="18"/>
              </w:rPr>
              <w:t>Meaning</w:t>
            </w:r>
          </w:p>
        </w:tc>
      </w:tr>
      <w:tr>
        <w:trPr>
          <w:cantSplit/>
        </w:trPr>
        <w:tc>
          <w:tcPr>
            <w:tcW w:type="dxa" w:w="5184"/>
            <w:tcMar>
              <w:top w:w="100" w:type="dxa"/>
              <w:start w:w="120" w:type="dxa"/>
              <w:bottom w:w="100" w:type="dxa"/>
              <w:end w:w="120" w:type="dxa"/>
            </w:tcMar>
            <w:vAlign w:val="center"/>
          </w:tcPr>
          <w:p>
            <w:pPr>
              <w:spacing w:after="0"/>
            </w:pPr>
            <w:r>
              <w:rPr>
                <w:sz w:val="17"/>
              </w:rPr>
              <w:t>Okta profile</w:t>
            </w:r>
          </w:p>
        </w:tc>
        <w:tc>
          <w:tcPr>
            <w:tcW w:type="dxa" w:w="5184"/>
            <w:tcMar>
              <w:top w:w="100" w:type="dxa"/>
              <w:start w:w="120" w:type="dxa"/>
              <w:bottom w:w="100" w:type="dxa"/>
              <w:end w:w="120" w:type="dxa"/>
            </w:tcMar>
            <w:vAlign w:val="center"/>
          </w:tcPr>
          <w:p>
            <w:pPr>
              <w:spacing w:after="0"/>
            </w:pPr>
            <w:r>
              <w:rPr>
                <w:sz w:val="17"/>
              </w:rPr>
              <w:t>Supplies the live role, synchronized Manager value, and vacation status.</w:t>
            </w:r>
          </w:p>
        </w:tc>
      </w:tr>
      <w:tr>
        <w:trPr>
          <w:cantSplit/>
        </w:trPr>
        <w:tc>
          <w:tcPr>
            <w:tcW w:type="dxa" w:w="5184"/>
            <w:shd w:fill="F6F8FC"/>
            <w:tcMar>
              <w:top w:w="100" w:type="dxa"/>
              <w:start w:w="120" w:type="dxa"/>
              <w:bottom w:w="100" w:type="dxa"/>
              <w:end w:w="120" w:type="dxa"/>
            </w:tcMar>
            <w:vAlign w:val="center"/>
          </w:tcPr>
          <w:p>
            <w:pPr>
              <w:spacing w:after="0"/>
            </w:pPr>
            <w:r>
              <w:rPr>
                <w:sz w:val="17"/>
              </w:rPr>
              <w:t>Delegation gate</w:t>
            </w:r>
          </w:p>
        </w:tc>
        <w:tc>
          <w:tcPr>
            <w:tcW w:type="dxa" w:w="5184"/>
            <w:shd w:fill="F6F8FC"/>
            <w:tcMar>
              <w:top w:w="100" w:type="dxa"/>
              <w:start w:w="120" w:type="dxa"/>
              <w:bottom w:w="100" w:type="dxa"/>
              <w:end w:w="120" w:type="dxa"/>
            </w:tcMar>
            <w:vAlign w:val="center"/>
          </w:tcPr>
          <w:p>
            <w:pPr>
              <w:spacing w:after="0"/>
            </w:pPr>
            <w:r>
              <w:rPr>
                <w:sz w:val="17"/>
              </w:rPr>
              <w:t>Vacation True stops the agent before ID-JAG.</w:t>
            </w:r>
          </w:p>
        </w:tc>
      </w:tr>
      <w:tr>
        <w:trPr>
          <w:cantSplit/>
        </w:trPr>
        <w:tc>
          <w:tcPr>
            <w:tcW w:type="dxa" w:w="5184"/>
            <w:tcMar>
              <w:top w:w="100" w:type="dxa"/>
              <w:start w:w="120" w:type="dxa"/>
              <w:bottom w:w="100" w:type="dxa"/>
              <w:end w:w="120" w:type="dxa"/>
            </w:tcMar>
            <w:vAlign w:val="center"/>
          </w:tcPr>
          <w:p>
            <w:pPr>
              <w:spacing w:after="0"/>
            </w:pPr>
            <w:r>
              <w:rPr>
                <w:sz w:val="17"/>
              </w:rPr>
              <w:t>FGA</w:t>
            </w:r>
          </w:p>
        </w:tc>
        <w:tc>
          <w:tcPr>
            <w:tcW w:type="dxa" w:w="5184"/>
            <w:tcMar>
              <w:top w:w="100" w:type="dxa"/>
              <w:start w:w="120" w:type="dxa"/>
              <w:bottom w:w="100" w:type="dxa"/>
              <w:end w:w="120" w:type="dxa"/>
            </w:tcMar>
            <w:vAlign w:val="center"/>
          </w:tcPr>
          <w:p>
            <w:pPr>
              <w:spacing w:after="0"/>
            </w:pPr>
            <w:r>
              <w:rPr>
                <w:sz w:val="17"/>
              </w:rPr>
              <w:t>Combines role, action, and quantity for this Inventory request.</w:t>
            </w:r>
          </w:p>
        </w:tc>
      </w:tr>
      <w:tr>
        <w:trPr>
          <w:cantSplit/>
        </w:trPr>
        <w:tc>
          <w:tcPr>
            <w:tcW w:type="dxa" w:w="5184"/>
            <w:shd w:fill="F6F8FC"/>
            <w:tcMar>
              <w:top w:w="100" w:type="dxa"/>
              <w:start w:w="120" w:type="dxa"/>
              <w:bottom w:w="100" w:type="dxa"/>
              <w:end w:w="120" w:type="dxa"/>
            </w:tcMar>
            <w:vAlign w:val="center"/>
          </w:tcPr>
          <w:p>
            <w:pPr>
              <w:spacing w:after="0"/>
            </w:pPr>
            <w:r>
              <w:rPr>
                <w:sz w:val="17"/>
              </w:rPr>
              <w:t>OIG</w:t>
            </w:r>
          </w:p>
        </w:tc>
        <w:tc>
          <w:tcPr>
            <w:tcW w:type="dxa" w:w="5184"/>
            <w:shd w:fill="F6F8FC"/>
            <w:tcMar>
              <w:top w:w="100" w:type="dxa"/>
              <w:start w:w="120" w:type="dxa"/>
              <w:bottom w:w="100" w:type="dxa"/>
              <w:end w:w="120" w:type="dxa"/>
            </w:tcMar>
            <w:vAlign w:val="center"/>
          </w:tcPr>
          <w:p>
            <w:pPr>
              <w:spacing w:after="0"/>
            </w:pPr>
            <w:r>
              <w:rPr>
                <w:sz w:val="17"/>
              </w:rPr>
              <w:t>Records the VP decision when a Manager requests 601+ units.</w:t>
            </w:r>
          </w:p>
        </w:tc>
      </w:tr>
    </w:tbl>
    <w:p>
      <w:pPr>
        <w:spacing w:after="0"/>
      </w:pPr>
    </w:p>
    <w:p>
      <w:r>
        <w:t>The guided prompts change to Read, 1–600, and 601+.</w:t>
      </w:r>
    </w:p>
    <w:p>
      <w:pPr>
        <w:keepNext/>
        <w:jc w:val="center"/>
      </w:pPr>
      <w:r>
        <w:drawing>
          <wp:inline xmlns:a="http://schemas.openxmlformats.org/drawingml/2006/main" xmlns:pic="http://schemas.openxmlformats.org/drawingml/2006/picture">
            <wp:extent cx="6583680" cy="3172137"/>
            <wp:docPr id="10" name="Picture 10"/>
            <wp:cNvGraphicFramePr>
              <a:graphicFrameLocks noChangeAspect="1"/>
            </wp:cNvGraphicFramePr>
            <a:graphic>
              <a:graphicData uri="http://schemas.openxmlformats.org/drawingml/2006/picture">
                <pic:pic>
                  <pic:nvPicPr>
                    <pic:cNvPr id="0" name="12-fga-prompts.png"/>
                    <pic:cNvPicPr/>
                  </pic:nvPicPr>
                  <pic:blipFill>
                    <a:blip r:embed="rId21"/>
                    <a:stretch>
                      <a:fillRect/>
                    </a:stretch>
                  </pic:blipFill>
                  <pic:spPr>
                    <a:xfrm>
                      <a:off x="0" y="0"/>
                      <a:ext cx="6583680" cy="3172137"/>
                    </a:xfrm>
                    <a:prstGeom prst="rect"/>
                  </pic:spPr>
                </pic:pic>
              </a:graphicData>
            </a:graphic>
          </wp:inline>
        </w:drawing>
      </w:r>
    </w:p>
    <w:p>
      <w:pPr>
        <w:pStyle w:val="Caption"/>
        <w:spacing w:after="160"/>
        <w:jc w:val="center"/>
      </w:pPr>
      <w:r>
        <w:t>Guided FGA prompts</w:t>
      </w:r>
    </w:p>
    <w:p>
      <w:r>
        <w:br w:type="page"/>
      </w:r>
    </w:p>
    <w:p>
      <w:pPr>
        <w:pStyle w:val="Heading2"/>
      </w:pPr>
      <w:r>
        <w:t>10. Demonstrate Manager-to-VP approval</w:t>
      </w:r>
    </w:p>
    <w:p>
      <w:pPr>
        <w:pStyle w:val="ListNumber"/>
        <w:spacing w:after="40"/>
      </w:pPr>
      <w:r>
        <w:t xml:space="preserve">As Mike with FGA enabled, select </w:t>
      </w:r>
      <w:r>
        <w:rPr>
          <w:b/>
        </w:rPr>
        <w:t>Add 601 basketballs to inventory</w:t>
      </w:r>
      <w:r>
        <w:t>.</w:t>
      </w:r>
    </w:p>
    <w:p>
      <w:pPr>
        <w:pStyle w:val="ListNumber"/>
        <w:spacing w:after="40"/>
      </w:pPr>
      <w:r>
        <w:t xml:space="preserve">Confirm the response says Inventory was not changed and an Okta request was created for </w:t>
      </w:r>
      <w:r>
        <w:rPr>
          <w:rFonts w:ascii="Aptos Mono" w:hAnsi="Aptos Mono"/>
          <w:color w:val="6437E8"/>
          <w:sz w:val="18"/>
        </w:rPr>
        <w:t>ProGear-VPs</w:t>
      </w:r>
      <w:r>
        <w:t>.</w:t>
      </w:r>
    </w:p>
    <w:p>
      <w:pPr>
        <w:pStyle w:val="ListNumber"/>
        <w:spacing w:after="40"/>
      </w:pPr>
      <w:r>
        <w:t>Copy the request ID for the team.</w:t>
      </w:r>
    </w:p>
    <w:p>
      <w:pPr>
        <w:pStyle w:val="ListNumber"/>
        <w:spacing w:after="40"/>
      </w:pPr>
      <w:r>
        <w:t xml:space="preserve">Sign in to the Okta End-User Dashboard as </w:t>
      </w:r>
      <w:r>
        <w:rPr>
          <w:b/>
        </w:rPr>
        <w:t>joe.vp@atko.email</w:t>
      </w:r>
      <w:r>
        <w:t>.</w:t>
      </w:r>
    </w:p>
    <w:p>
      <w:pPr>
        <w:pStyle w:val="ListNumber"/>
        <w:spacing w:after="40"/>
      </w:pPr>
      <w:r>
        <w:t xml:space="preserve">Open </w:t>
      </w:r>
      <w:r>
        <w:rPr>
          <w:b/>
        </w:rPr>
        <w:t>Okta Access Requests → Inbox → Open</w:t>
      </w:r>
      <w:r>
        <w:t>.</w:t>
      </w:r>
    </w:p>
    <w:p>
      <w:pPr>
        <w:pStyle w:val="ListNumber"/>
        <w:spacing w:after="40"/>
      </w:pPr>
      <w:r>
        <w:t xml:space="preserve">Open Mike's request and select </w:t>
      </w:r>
      <w:r>
        <w:rPr>
          <w:b/>
        </w:rPr>
        <w:t>Approve</w:t>
      </w:r>
      <w:r>
        <w:t>.</w:t>
      </w:r>
    </w:p>
    <w:p>
      <w:pPr>
        <w:pStyle w:val="ListNumber"/>
        <w:spacing w:after="40"/>
      </w:pPr>
      <w:r>
        <w:t>Return to ProGear. The approval card polls for the decision; the backend verifies Joe is still level 2, obtains a fresh scoped executor token, and executes the write once.</w:t>
      </w:r>
    </w:p>
    <w:tbl>
      <w:tblPr>
        <w:tblStyle w:val="TableGrid"/>
        <w:tblW w:type="auto" w:w="0"/>
        <w:tblLayout w:type="autofit"/>
        <w:tblLook w:firstColumn="1" w:firstRow="1" w:lastColumn="0" w:lastRow="0" w:noHBand="0" w:noVBand="1" w:val="04A0"/>
      </w:tblPr>
      <w:tblGrid>
        <w:gridCol w:w="5184"/>
        <w:gridCol w:w="5184"/>
      </w:tblGrid>
      <w:tr>
        <w:trPr>
          <w:tblHeader w:val="true"/>
        </w:trPr>
        <w:tc>
          <w:tcPr>
            <w:tcW w:type="dxa" w:w="5184"/>
            <w:shd w:fill="4A2C1A"/>
            <w:tcMar>
              <w:top w:w="100" w:type="dxa"/>
              <w:start w:w="120" w:type="dxa"/>
              <w:bottom w:w="100" w:type="dxa"/>
              <w:end w:w="120" w:type="dxa"/>
            </w:tcMar>
            <w:vAlign w:val="center"/>
          </w:tcPr>
          <w:p>
            <w:r>
              <w:rPr>
                <w:b/>
                <w:color w:val="FFFFFF"/>
                <w:sz w:val="18"/>
              </w:rPr>
              <w:t>FGA result</w:t>
            </w:r>
          </w:p>
        </w:tc>
        <w:tc>
          <w:tcPr>
            <w:tcW w:type="dxa" w:w="5184"/>
            <w:shd w:fill="4A2C1A"/>
            <w:tcMar>
              <w:top w:w="100" w:type="dxa"/>
              <w:start w:w="120" w:type="dxa"/>
              <w:bottom w:w="100" w:type="dxa"/>
              <w:end w:w="120" w:type="dxa"/>
            </w:tcMar>
            <w:vAlign w:val="center"/>
          </w:tcPr>
          <w:p>
            <w:r>
              <w:rPr>
                <w:b/>
                <w:color w:val="FFFFFF"/>
                <w:sz w:val="18"/>
              </w:rPr>
              <w:t>Meaning</w:t>
            </w:r>
          </w:p>
        </w:tc>
      </w:tr>
      <w:tr>
        <w:trPr>
          <w:cantSplit/>
        </w:trPr>
        <w:tc>
          <w:tcPr>
            <w:tcW w:type="dxa" w:w="5184"/>
            <w:tcMar>
              <w:top w:w="100" w:type="dxa"/>
              <w:start w:w="120" w:type="dxa"/>
              <w:bottom w:w="100" w:type="dxa"/>
              <w:end w:w="120" w:type="dxa"/>
            </w:tcMar>
            <w:vAlign w:val="center"/>
          </w:tcPr>
          <w:p>
            <w:pPr>
              <w:spacing w:after="0"/>
            </w:pPr>
            <w:r>
              <w:rPr>
                <w:sz w:val="17"/>
              </w:rPr>
              <w:t>Mike, 1–600</w:t>
            </w:r>
          </w:p>
        </w:tc>
        <w:tc>
          <w:tcPr>
            <w:tcW w:type="dxa" w:w="5184"/>
            <w:tcMar>
              <w:top w:w="100" w:type="dxa"/>
              <w:start w:w="120" w:type="dxa"/>
              <w:bottom w:w="100" w:type="dxa"/>
              <w:end w:w="120" w:type="dxa"/>
            </w:tcMar>
            <w:vAlign w:val="center"/>
          </w:tcPr>
          <w:p>
            <w:pPr>
              <w:spacing w:after="0"/>
            </w:pPr>
            <w:r>
              <w:rPr>
                <w:sz w:val="17"/>
              </w:rPr>
              <w:t>Execute directly.</w:t>
            </w:r>
          </w:p>
        </w:tc>
      </w:tr>
      <w:tr>
        <w:trPr>
          <w:cantSplit/>
        </w:trPr>
        <w:tc>
          <w:tcPr>
            <w:tcW w:type="dxa" w:w="5184"/>
            <w:shd w:fill="F6F8FC"/>
            <w:tcMar>
              <w:top w:w="100" w:type="dxa"/>
              <w:start w:w="120" w:type="dxa"/>
              <w:bottom w:w="100" w:type="dxa"/>
              <w:end w:w="120" w:type="dxa"/>
            </w:tcMar>
            <w:vAlign w:val="center"/>
          </w:tcPr>
          <w:p>
            <w:pPr>
              <w:spacing w:after="0"/>
            </w:pPr>
            <w:r>
              <w:rPr>
                <w:sz w:val="17"/>
              </w:rPr>
              <w:t>Mike, 601+</w:t>
            </w:r>
          </w:p>
        </w:tc>
        <w:tc>
          <w:tcPr>
            <w:tcW w:type="dxa" w:w="5184"/>
            <w:shd w:fill="F6F8FC"/>
            <w:tcMar>
              <w:top w:w="100" w:type="dxa"/>
              <w:start w:w="120" w:type="dxa"/>
              <w:bottom w:w="100" w:type="dxa"/>
              <w:end w:w="120" w:type="dxa"/>
            </w:tcMar>
            <w:vAlign w:val="center"/>
          </w:tcPr>
          <w:p>
            <w:pPr>
              <w:spacing w:after="0"/>
            </w:pPr>
            <w:r>
              <w:rPr>
                <w:sz w:val="17"/>
              </w:rPr>
              <w:t>Create a VP approval request; do not change Inventory while pending.</w:t>
            </w:r>
          </w:p>
        </w:tc>
      </w:tr>
      <w:tr>
        <w:trPr>
          <w:cantSplit/>
        </w:trPr>
        <w:tc>
          <w:tcPr>
            <w:tcW w:type="dxa" w:w="5184"/>
            <w:tcMar>
              <w:top w:w="100" w:type="dxa"/>
              <w:start w:w="120" w:type="dxa"/>
              <w:bottom w:w="100" w:type="dxa"/>
              <w:end w:w="120" w:type="dxa"/>
            </w:tcMar>
            <w:vAlign w:val="center"/>
          </w:tcPr>
          <w:p>
            <w:pPr>
              <w:spacing w:after="0"/>
            </w:pPr>
            <w:r>
              <w:rPr>
                <w:sz w:val="17"/>
              </w:rPr>
              <w:t>Joe, any quantity</w:t>
            </w:r>
          </w:p>
        </w:tc>
        <w:tc>
          <w:tcPr>
            <w:tcW w:type="dxa" w:w="5184"/>
            <w:tcMar>
              <w:top w:w="100" w:type="dxa"/>
              <w:start w:w="120" w:type="dxa"/>
              <w:bottom w:w="100" w:type="dxa"/>
              <w:end w:w="120" w:type="dxa"/>
            </w:tcMar>
            <w:vAlign w:val="center"/>
          </w:tcPr>
          <w:p>
            <w:pPr>
              <w:spacing w:after="0"/>
            </w:pPr>
            <w:r>
              <w:rPr>
                <w:sz w:val="17"/>
              </w:rPr>
              <w:t>Execute directly because Joe is level 2.</w:t>
            </w:r>
          </w:p>
        </w:tc>
      </w:tr>
      <w:tr>
        <w:trPr>
          <w:cantSplit/>
        </w:trPr>
        <w:tc>
          <w:tcPr>
            <w:tcW w:type="dxa" w:w="5184"/>
            <w:shd w:fill="F6F8FC"/>
            <w:tcMar>
              <w:top w:w="100" w:type="dxa"/>
              <w:start w:w="120" w:type="dxa"/>
              <w:bottom w:w="100" w:type="dxa"/>
              <w:end w:w="120" w:type="dxa"/>
            </w:tcMar>
            <w:vAlign w:val="center"/>
          </w:tcPr>
          <w:p>
            <w:pPr>
              <w:spacing w:after="0"/>
            </w:pPr>
            <w:r>
              <w:rPr>
                <w:sz w:val="17"/>
              </w:rPr>
              <w:t>Sarah, any write</w:t>
            </w:r>
          </w:p>
        </w:tc>
        <w:tc>
          <w:tcPr>
            <w:tcW w:type="dxa" w:w="5184"/>
            <w:shd w:fill="F6F8FC"/>
            <w:tcMar>
              <w:top w:w="100" w:type="dxa"/>
              <w:start w:w="120" w:type="dxa"/>
              <w:bottom w:w="100" w:type="dxa"/>
              <w:end w:w="120" w:type="dxa"/>
            </w:tcMar>
            <w:vAlign w:val="center"/>
          </w:tcPr>
          <w:p>
            <w:pPr>
              <w:spacing w:after="0"/>
            </w:pPr>
            <w:r>
              <w:rPr>
                <w:sz w:val="17"/>
              </w:rPr>
              <w:t>Deny and contact a Manager; never create an approval request.</w:t>
            </w:r>
          </w:p>
        </w:tc>
      </w:tr>
    </w:tbl>
    <w:p>
      <w:pPr>
        <w:spacing w:after="0"/>
      </w:pPr>
    </w:p>
    <w:p>
      <w:r>
        <w:br w:type="page"/>
      </w:r>
    </w:p>
    <w:p>
      <w:pPr>
        <w:pStyle w:val="Heading2"/>
      </w:pPr>
      <w:r>
        <w:t>11. Optional vacation demonstration</w:t>
      </w:r>
    </w:p>
    <w:p>
      <w:pPr>
        <w:pStyle w:val="ListNumber"/>
        <w:spacing w:after="40"/>
      </w:pPr>
      <w:r>
        <w:t xml:space="preserve">Return to </w:t>
      </w:r>
      <w:r>
        <w:rPr>
          <w:b/>
        </w:rPr>
        <w:t>FGA</w:t>
      </w:r>
      <w:r>
        <w:t xml:space="preserve"> as Mike.</w:t>
      </w:r>
    </w:p>
    <w:p>
      <w:pPr>
        <w:pStyle w:val="ListNumber"/>
        <w:spacing w:after="40"/>
      </w:pPr>
      <w:r>
        <w:t xml:space="preserve">Set </w:t>
      </w:r>
      <w:r>
        <w:rPr>
          <w:b/>
        </w:rPr>
        <w:t>On vacation</w:t>
      </w:r>
      <w:r>
        <w:t xml:space="preserve"> to </w:t>
      </w:r>
      <w:r>
        <w:rPr>
          <w:b/>
        </w:rPr>
        <w:t>True</w:t>
      </w:r>
      <w:r>
        <w:t>.</w:t>
      </w:r>
    </w:p>
    <w:p>
      <w:pPr>
        <w:pStyle w:val="ListNumber"/>
        <w:spacing w:after="40"/>
      </w:pPr>
      <w:r>
        <w:t>Return to Chat and issue the read prompt.</w:t>
      </w:r>
    </w:p>
    <w:p>
      <w:pPr>
        <w:pStyle w:val="ListNumber"/>
        <w:spacing w:after="40"/>
      </w:pPr>
      <w:r>
        <w:t>Confirm the agent refuses to act and says no delegated token was requested.</w:t>
      </w:r>
    </w:p>
    <w:p>
      <w:pPr>
        <w:pStyle w:val="ListNumber"/>
        <w:spacing w:after="40"/>
      </w:pPr>
      <w:r>
        <w:t xml:space="preserve">Open </w:t>
      </w:r>
      <w:r>
        <w:rPr>
          <w:b/>
        </w:rPr>
        <w:t>Token Flow</w:t>
      </w:r>
      <w:r>
        <w:t xml:space="preserve"> and show that the flow stopped after the employee ID token—there is no ID-JAG or scoped resource token.</w:t>
      </w:r>
    </w:p>
    <w:p>
      <w:pPr>
        <w:pStyle w:val="ListNumber"/>
        <w:spacing w:after="40"/>
      </w:pPr>
      <w:r>
        <w:t xml:space="preserve">Return to FGA and set </w:t>
      </w:r>
      <w:r>
        <w:rPr>
          <w:b/>
        </w:rPr>
        <w:t>On vacation</w:t>
      </w:r>
      <w:r>
        <w:t xml:space="preserve"> to </w:t>
      </w:r>
      <w:r>
        <w:rPr>
          <w:b/>
        </w:rPr>
        <w:t>False</w:t>
      </w:r>
      <w:r>
        <w:t xml:space="preserve">, or select </w:t>
      </w:r>
      <w:r>
        <w:rPr>
          <w:b/>
        </w:rPr>
        <w:t>Reset my demo attributes</w:t>
      </w:r>
      <w:r>
        <w:t>.</w:t>
      </w:r>
    </w:p>
    <w:p>
      <w:pPr>
        <w:ind w:left="216" w:right="216"/>
      </w:pPr>
      <w:r>
        <w:rPr>
          <w:b/>
        </w:rPr>
        <w:t>Say:</w:t>
      </w:r>
      <w:r>
        <w:t xml:space="preserve"> “Vacation does not change Mike's role. It suspends delegation. If an employee's credentials are misused while the employee is marked away, the agent cannot act on that employee's behalf.”</w:t>
      </w:r>
    </w:p>
    <w:tbl>
      <w:tblPr>
        <w:tblW w:type="auto" w:w="0"/>
        <w:tblLayout w:type="autofit"/>
        <w:tblLook w:firstColumn="1" w:firstRow="1" w:lastColumn="0" w:lastRow="0" w:noHBand="0" w:noVBand="1" w:val="04A0"/>
      </w:tblPr>
      <w:tblGrid>
        <w:gridCol w:w="10368"/>
      </w:tblGrid>
      <w:tr>
        <w:tc>
          <w:tcPr>
            <w:tcW w:type="dxa" w:w="10368"/>
            <w:shd w:fill="FFF2E8"/>
            <w:tcMar>
              <w:top w:w="140" w:type="dxa"/>
              <w:start w:w="170" w:type="dxa"/>
              <w:bottom w:w="140" w:type="dxa"/>
              <w:end w:w="170" w:type="dxa"/>
            </w:tcMar>
            <w:tcBorders>
              <w:start w:val="single" w:sz="22" w:color="E65F1B"/>
            </w:tcBorders>
          </w:tcPr>
          <w:p>
            <w:pPr>
              <w:spacing w:after="0"/>
            </w:pPr>
            <w:r>
              <w:t>Always restore Vacation to False before ending the demo. Signing out clears FGA simulation, but deliberately does not modify Okta profile attributes.</w:t>
            </w:r>
          </w:p>
        </w:tc>
      </w:tr>
    </w:tbl>
    <w:p>
      <w:r>
        <w:br w:type="page"/>
      </w:r>
    </w:p>
    <w:p>
      <w:pPr>
        <w:pStyle w:val="Heading2"/>
      </w:pPr>
      <w:r>
        <w:t>End-of-demo reset checklist</w:t>
      </w:r>
    </w:p>
    <w:p>
      <w:pPr>
        <w:pStyle w:val="ListBullet"/>
        <w:spacing w:after="40"/>
      </w:pPr>
      <w:r>
        <w:t xml:space="preserve">Set </w:t>
      </w:r>
      <w:r>
        <w:rPr>
          <w:b/>
        </w:rPr>
        <w:t>On vacation</w:t>
      </w:r>
      <w:r>
        <w:t xml:space="preserve"> to </w:t>
      </w:r>
      <w:r>
        <w:rPr>
          <w:b/>
        </w:rPr>
        <w:t>False</w:t>
      </w:r>
      <w:r>
        <w:t xml:space="preserve"> for the persona used.</w:t>
      </w:r>
    </w:p>
    <w:p>
      <w:pPr>
        <w:pStyle w:val="ListBullet"/>
        <w:spacing w:after="40"/>
      </w:pPr>
      <w:r>
        <w:t>Confirm Sarah is level 0, Mike is level 1, and Joe is level 2.</w:t>
      </w:r>
    </w:p>
    <w:p>
      <w:pPr>
        <w:pStyle w:val="ListBullet"/>
        <w:spacing w:after="40"/>
      </w:pPr>
      <w:r>
        <w:t>Confirm Manager is False for Sarah and True for Mike/Joe.</w:t>
      </w:r>
    </w:p>
    <w:p>
      <w:pPr>
        <w:pStyle w:val="ListBullet"/>
        <w:spacing w:after="40"/>
      </w:pPr>
      <w:r>
        <w:t>Resolve or deny any test OIG request that should not remain open.</w:t>
      </w:r>
    </w:p>
    <w:p>
      <w:pPr>
        <w:pStyle w:val="ListBullet"/>
        <w:spacing w:after="40"/>
      </w:pPr>
      <w:r>
        <w:t>Sign out. Confirm the next session starts with FGA simulation off.</w:t>
      </w:r>
    </w:p>
    <w:p>
      <w:pPr>
        <w:pStyle w:val="ListBullet"/>
        <w:spacing w:after="40"/>
      </w:pPr>
      <w:r>
        <w:t>Never leave a demo password or raw token visible in a recording.</w:t>
      </w:r>
    </w:p>
    <w:p>
      <w:pPr>
        <w:pStyle w:val="Heading2"/>
      </w:pPr>
      <w:r>
        <w:t>Final message</w:t>
      </w:r>
    </w:p>
    <w:p>
      <w:r>
        <w:t>“Okta treats the AI agent as a first-class identity. Cross App Access preserves both the employee and agent in the delegated token chain. Scoped resource tokens limit where the agent can act, FGA decides whether the specific Inventory action is allowed, OIG records the one required human decision, and the agent kill switch stops new exchanges.”</w:t>
      </w:r>
    </w:p>
    <w:sectPr w:rsidR="00FC693F" w:rsidRPr="0006063C" w:rsidSect="00034616">
      <w:pgSz w:w="12240" w:h="15840"/>
      <w:pgMar w:top="792" w:right="936" w:bottom="792" w:left="93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078"/>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C1A"/>
        <w:sz w:val="16"/>
      </w:rPr>
      <w:t>CourtEdge ProGear  |  Team Demo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4A2C1A"/>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E65F1B"/>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6437E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720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36078"/>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b/>
      <w:color w:val="4A2C1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gear-sales-aiagent.vercel.app"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CourtEdge ProGear Team Demo Guide</dc:title>
  <dc:subject>Step-by-step customer demo guide</dc:subject>
  <dc:creator>Johnathan Campos</dc:creator>
  <cp:keywords>Okta, AI Agent Governance, ID-JAG, FGA, OIG, ProGear</cp:keywords>
  <dc:description>generated by python-docx</dc:description>
  <cp:lastModifiedBy/>
  <cp:revision>1</cp:revision>
  <dcterms:created xsi:type="dcterms:W3CDTF">2013-12-23T23:15:00Z</dcterms:created>
  <dcterms:modified xsi:type="dcterms:W3CDTF">2013-12-23T23:15:00Z</dcterms:modified>
  <cp:category/>
</cp:coreProperties>
</file>