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Bighorn Project – 50℃ Case</w:t>
      </w:r>
    </w:p>
    <w:p>
      <w:pPr>
        <w:spacing w:after="600"/>
        <w:jc w:val="center"/>
      </w:pPr>
      <w:r>
        <w:rPr>
          <w:color w:val="404040"/>
          <w:sz w:val="28"/>
          <w:szCs w:val="28"/>
        </w:rPr>
        <w:t xml:space="preserve">PSCAD Dynamic Model Quality Testing</w:t>
      </w:r>
    </w:p>
    <w:p>
      <w:pPr>
        <w:pStyle w:val="Heading1"/>
      </w:pPr>
      <w:r>
        <w:t xml:space="preserve">Project Overview</w:t>
      </w:r>
    </w:p>
    <w:p>
      <w:pPr>
        <w:spacing w:after="240"/>
      </w:pPr>
      <w:r>
        <w:t xml:space="preserve">Performed PSCAD model dynamic compliance testing for Kindle Energy LLC's 595 MW Bighorn project at the 50 degrees Celsius ambient condition to validate whether the dynamic model meets Unity grid operator requirements. The system consists of one synchronous machine connected through one main power transformer and a 7-mile transmission line to a 500 kV substation.</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Kindle Energy LLC</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Bighorn Project (50 ℃ ambient case)</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595 MW (1 synchronous machine)</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500 kV Substation</w:t>
            </w:r>
          </w:p>
        </w:tc>
      </w:tr>
      <w:tr>
        <w:tc>
          <w:tcPr>
            <w:tcW w:type="dxa" w:w="2800"/>
            <w:shd w:fill="D5E8F0" w:val="clear"/>
            <w:tcMar>
              <w:top w:type="dxa" w:w="80"/>
              <w:left w:type="dxa" w:w="120"/>
              <w:bottom w:type="dxa" w:w="80"/>
              <w:right w:type="dxa" w:w="120"/>
            </w:tcMar>
          </w:tcPr>
          <w:p>
            <w:r>
              <w:rPr>
                <w:b/>
                <w:bCs/>
              </w:rPr>
              <w:t xml:space="preserve">Transmission Line</w:t>
            </w:r>
          </w:p>
        </w:tc>
        <w:tc>
          <w:tcPr>
            <w:tcW w:type="dxa" w:w="6560"/>
            <w:tcMar>
              <w:top w:type="dxa" w:w="80"/>
              <w:left w:type="dxa" w:w="120"/>
              <w:bottom w:type="dxa" w:w="80"/>
              <w:right w:type="dxa" w:w="120"/>
            </w:tcMar>
          </w:tcPr>
          <w:p>
            <w:r>
              <w:t xml:space="preserve">7-mile (36,960 ft) overhead line</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equivalent PSCAD model for one synchronous machine, one two-winding main power transformer (MPT), a 7-mile 500 kV overhead line, and a constant power load at 50 degree ambient conditions</w:t>
      </w:r>
    </w:p>
    <w:p>
      <w:pPr>
        <w:pStyle w:val="ListParagraph"/>
        <w:numPr>
          <w:ilvl w:val="0"/>
          <w:numId w:val="2"/>
        </w:numPr>
      </w:pPr>
      <w:r>
        <w:t xml:space="preserve">Implemented IEEE standard dynamic models: GENROU generator, ESST4B excitation system, PSS2B power system stabilizer, and GGOV1 governor model</w:t>
      </w:r>
    </w:p>
    <w:p>
      <w:pPr>
        <w:pStyle w:val="ListParagraph"/>
        <w:numPr>
          <w:ilvl w:val="0"/>
          <w:numId w:val="2"/>
        </w:numPr>
      </w:pPr>
      <w:r>
        <w:t xml:space="preserve">Executed five MQT scenarios per Unity requirements: Flat Start, Bump Test, Exciter Voltage Reference Tests with and without PSS, and Governor Reference Test</w:t>
      </w:r>
    </w:p>
    <w:p>
      <w:pPr>
        <w:pStyle w:val="ListParagraph"/>
        <w:numPr>
          <w:ilvl w:val="0"/>
          <w:numId w:val="2"/>
        </w:numPr>
      </w:pPr>
      <w:r>
        <w:t xml:space="preserve">Tuned PSCAD parameters to as-built field data for the 50 degree ambient operating condition, noting the reduced output capacity relative to the 40 degree case</w:t>
      </w:r>
    </w:p>
    <w:p>
      <w:pPr>
        <w:pStyle w:val="ListParagraph"/>
        <w:numPr>
          <w:ilvl w:val="0"/>
          <w:numId w:val="2"/>
        </w:numPr>
        <w:spacing w:after="240"/>
      </w:pPr>
      <w:r>
        <w:t xml:space="preserve">Validated active power, reactive power, and voltage waveforms at POI and generator terminals</w:t>
      </w:r>
    </w:p>
    <w:p>
      <w:pPr>
        <w:pStyle w:val="Heading2"/>
      </w:pPr>
      <w:r>
        <w:t xml:space="preserve">Technical Analysis</w:t>
      </w:r>
    </w:p>
    <w:p>
      <w:pPr>
        <w:spacing w:after="240"/>
      </w:pPr>
      <w:r>
        <w:t xml:space="preserve">All five MQT scenarios confirmed compliance at the 50 degree ambient rating. The Flat Start showed clean initialization with no deviations. The Bump Test verified fault ride-through with the machine remaining synchronous through the 6-cycle three-phase fault. Voltage step tests confirmed responsive excitation control with PSS damping oscillations. Governor testing showed non-oscillatory power response, confirming the model at 50 degrees is ready for Unity submission.</w:t>
      </w:r>
    </w:p>
    <w:p>
      <w:pPr>
        <w:pStyle w:val="Heading2"/>
      </w:pPr>
      <w:r>
        <w:t xml:space="preserve">System Configuration</w:t>
      </w:r>
    </w:p>
    <w:p>
      <w:pPr>
        <w:pStyle w:val="ListParagraph"/>
        <w:numPr>
          <w:ilvl w:val="0"/>
          <w:numId w:val="2"/>
        </w:numPr>
      </w:pPr>
      <w:r>
        <w:rPr>
          <w:b/>
          <w:bCs/>
        </w:rPr>
        <w:t xml:space="preserve">Generator: </w:t>
      </w:r>
      <w:r>
        <w:t xml:space="preserve">One synchronous machine with full IEEE dynamic models (GENROU, ESST4B, PSS2B, GGOV1)</w:t>
      </w:r>
    </w:p>
    <w:p>
      <w:pPr>
        <w:pStyle w:val="ListParagraph"/>
        <w:numPr>
          <w:ilvl w:val="0"/>
          <w:numId w:val="2"/>
        </w:numPr>
      </w:pPr>
      <w:r>
        <w:rPr>
          <w:b/>
          <w:bCs/>
        </w:rPr>
        <w:t xml:space="preserve">Main Power Transformer: </w:t>
      </w:r>
      <w:r>
        <w:t xml:space="preserve">One two-winding MPT with corresponding impedances and ratings</w:t>
      </w:r>
    </w:p>
    <w:p>
      <w:pPr>
        <w:pStyle w:val="ListParagraph"/>
        <w:numPr>
          <w:ilvl w:val="0"/>
          <w:numId w:val="2"/>
        </w:numPr>
      </w:pPr>
      <w:r>
        <w:rPr>
          <w:b/>
          <w:bCs/>
        </w:rPr>
        <w:t xml:space="preserve">Transmission Line: </w:t>
      </w:r>
      <w:r>
        <w:t xml:space="preserve">7-mile 500 kV overhead line to 500 kV Substation</w:t>
      </w:r>
    </w:p>
    <w:p>
      <w:pPr>
        <w:pStyle w:val="ListParagraph"/>
        <w:numPr>
          <w:ilvl w:val="0"/>
          <w:numId w:val="2"/>
        </w:numPr>
      </w:pPr>
      <w:r>
        <w:rPr>
          <w:b/>
          <w:bCs/>
        </w:rPr>
        <w:t xml:space="preserve">Load: </w:t>
      </w:r>
      <w:r>
        <w:t xml:space="preserve">Constant power load (3-phase real and reactive power) at 50 ℃ ambient</w:t>
      </w:r>
    </w:p>
    <w:p>
      <w:pPr>
        <w:pStyle w:val="ListParagraph"/>
        <w:numPr>
          <w:ilvl w:val="0"/>
          <w:numId w:val="2"/>
        </w:numPr>
      </w:pPr>
      <w:r>
        <w:rPr>
          <w:b/>
          <w:bCs/>
        </w:rPr>
        <w:t xml:space="preserve">Utility Source: </w:t>
      </w:r>
      <w:r>
        <w:t xml:space="preserve">Generic gencls voltage source at 500 kV with Unity-defined short-circuit MVA</w:t>
      </w:r>
    </w:p>
    <w:p/>
    <w:p>
      <w:pPr>
        <w:pStyle w:val="Heading2"/>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Flat Start Test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Bump Test (Three-Phase Fault)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(Without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Governor Reference Test</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EMT Simulation: </w:t>
      </w:r>
      <w:r>
        <w:t xml:space="preserve">PSCAD modeling for large single-unit synchronous generators at elevated ambient temperature</w:t>
      </w:r>
    </w:p>
    <w:p>
      <w:pPr>
        <w:pStyle w:val="ListParagraph"/>
        <w:numPr>
          <w:ilvl w:val="0"/>
          <w:numId w:val="2"/>
        </w:numPr>
      </w:pPr>
      <w:r>
        <w:rPr>
          <w:b/>
          <w:bCs/>
        </w:rPr>
        <w:t xml:space="preserve">Dynamic Models: </w:t>
      </w:r>
      <w:r>
        <w:t xml:space="preserve">GENROU, ESST4B, PSS2B, GGOV1 per IEEE standards</w:t>
      </w:r>
    </w:p>
    <w:p>
      <w:pPr>
        <w:pStyle w:val="ListParagraph"/>
        <w:numPr>
          <w:ilvl w:val="0"/>
          <w:numId w:val="2"/>
        </w:numPr>
      </w:pPr>
      <w:r>
        <w:rPr>
          <w:b/>
          <w:bCs/>
        </w:rPr>
        <w:t xml:space="preserve">Grid Compliance: </w:t>
      </w:r>
      <w:r>
        <w:t xml:space="preserve">Unity requirements for 500 kV systems</w:t>
      </w:r>
    </w:p>
    <w:p>
      <w:pPr>
        <w:pStyle w:val="ListParagraph"/>
        <w:numPr>
          <w:ilvl w:val="0"/>
          <w:numId w:val="2"/>
        </w:numPr>
      </w:pPr>
      <w:r>
        <w:rPr>
          <w:b/>
          <w:bCs/>
        </w:rPr>
        <w:t xml:space="preserve">Ambient-Dependent Modeling: </w:t>
      </w:r>
      <w:r>
        <w:t xml:space="preserve">Parameter tuning specific to 50 ℃ operating conditions with de-rated capacity</w:t>
      </w:r>
    </w:p>
    <w:p>
      <w:pPr>
        <w:pStyle w:val="ListParagraph"/>
        <w:numPr>
          <w:ilvl w:val="0"/>
          <w:numId w:val="2"/>
        </w:numPr>
      </w:pPr>
      <w:r>
        <w:rPr>
          <w:b/>
          <w:bCs/>
        </w:rPr>
        <w:t xml:space="preserve">Testing Standards: </w:t>
      </w:r>
      <w:r>
        <w:t xml:space="preserve">Model quality testing per utility specifications</w:t>
      </w:r>
    </w:p>
    <w:p/>
    <w:p>
      <w:pPr>
        <w:pStyle w:val="Heading2"/>
      </w:pPr>
      <w:r>
        <w:t xml:space="preserve">Deliverables</w:t>
      </w:r>
    </w:p>
    <w:p>
      <w:pPr>
        <w:pStyle w:val="ListParagraph"/>
        <w:numPr>
          <w:ilvl w:val="0"/>
          <w:numId w:val="2"/>
        </w:numPr>
      </w:pPr>
      <w:r>
        <w:t xml:space="preserve">Complete PSCAD dynamic model for Bighorn at 50 ℃ ambient with validated initialization</w:t>
      </w:r>
    </w:p>
    <w:p>
      <w:pPr>
        <w:pStyle w:val="ListParagraph"/>
        <w:numPr>
          <w:ilvl w:val="0"/>
          <w:numId w:val="2"/>
        </w:numPr>
      </w:pPr>
      <w:r>
        <w:t xml:space="preserve">PSCAD Dynamic Simulation Test Report documenting methodology, assumptions, test procedures, and results</w:t>
      </w:r>
    </w:p>
    <w:p>
      <w:pPr>
        <w:pStyle w:val="ListParagraph"/>
        <w:numPr>
          <w:ilvl w:val="0"/>
          <w:numId w:val="2"/>
        </w:numPr>
      </w:pPr>
      <w:r>
        <w:t xml:space="preserve">Time-domain waveform plots for all five test scenarios at POI and generator terminals</w:t>
      </w:r>
    </w:p>
    <w:p>
      <w:pPr>
        <w:pStyle w:val="ListParagraph"/>
        <w:numPr>
          <w:ilvl w:val="0"/>
          <w:numId w:val="2"/>
        </w:numPr>
        <w:spacing w:after="240"/>
      </w:pPr>
      <w:r>
        <w:t xml:space="preserve">PSCAD model files ready for Unity submission</w:t>
      </w:r>
    </w:p>
    <w:p>
      <w:pPr>
        <w:pStyle w:val="Heading2"/>
      </w:pPr>
      <w:r>
        <w:t xml:space="preserve">Impact</w:t>
      </w:r>
    </w:p>
    <w:p>
      <w:pPr>
        <w:spacing w:after="240"/>
      </w:pPr>
      <w:r>
        <w:t xml:space="preserve">Confirmed full compliance with Unity requirements for the Bighorn Project at the 50 degree Celsius ambient condition. All five MQT scenarios passed, enabling Kindle Energy LLC to advance interconnection approval at both rated ambient conditions (40 and 50 degrees).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