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5B6"/>
          <w:sz w:val="36"/>
          <w:szCs w:val="36"/>
        </w:rPr>
        <w:t xml:space="preserve">Crystal EGS Project</w:t>
      </w:r>
    </w:p>
    <w:p>
      <w:pPr>
        <w:spacing w:after="600"/>
        <w:jc w:val="center"/>
      </w:pPr>
      <w:r>
        <w:rPr>
          <w:color w:val="404040"/>
          <w:sz w:val="28"/>
          <w:szCs w:val="28"/>
        </w:rPr>
        <w:t xml:space="preserve">PSCAD Dynamic Model Quality Testing</w:t>
      </w:r>
    </w:p>
    <w:p>
      <w:pPr>
        <w:pStyle w:val="Heading1"/>
      </w:pPr>
      <w:r>
        <w:t xml:space="preserve">Project Overview</w:t>
      </w:r>
    </w:p>
    <w:p>
      <w:pPr>
        <w:spacing w:after="240"/>
      </w:pPr>
      <w:r>
        <w:t xml:space="preserve">Performed comprehensive PSCAD model quality testing for Invenergy's 132.94 MW Crystal EGS synchronous generator project to validate grid interconnection compliance across ERCOT, PJM, and MISO regions. Developed detailed electromagnetic transient simulation models and executed five critical test scenarios to verify dynamic performance meets utility requirements.</w:t>
      </w:r>
    </w:p>
    <w:p>
      <w:pPr>
        <w:pStyle w:val="Heading2"/>
      </w:pPr>
      <w:r>
        <w:t xml:space="preserve">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Client</w:t>
            </w:r>
          </w:p>
        </w:tc>
        <w:tc>
          <w:tcPr>
            <w:tcW w:type="dxa" w:w="6560"/>
            <w:tcMar>
              <w:top w:type="dxa" w:w="80"/>
              <w:left w:type="dxa" w:w="120"/>
              <w:bottom w:type="dxa" w:w="80"/>
              <w:right w:type="dxa" w:w="120"/>
            </w:tcMar>
          </w:tcPr>
          <w:p>
            <w:r>
              <w:t xml:space="preserve">Invenergy</w:t>
            </w:r>
          </w:p>
        </w:tc>
      </w:tr>
      <w:tr>
        <w:tc>
          <w:tcPr>
            <w:tcW w:type="dxa" w:w="2800"/>
            <w:shd w:fill="D5E8F0" w:val="clear"/>
            <w:tcMar>
              <w:top w:type="dxa" w:w="80"/>
              <w:left w:type="dxa" w:w="120"/>
              <w:bottom w:type="dxa" w:w="80"/>
              <w:right w:type="dxa" w:w="120"/>
            </w:tcMar>
          </w:tcPr>
          <w:p>
            <w:r>
              <w:rPr>
                <w:b/>
                <w:bCs/>
              </w:rPr>
              <w:t xml:space="preserve">Project</w:t>
            </w:r>
          </w:p>
        </w:tc>
        <w:tc>
          <w:tcPr>
            <w:tcW w:type="dxa" w:w="6560"/>
            <w:tcMar>
              <w:top w:type="dxa" w:w="80"/>
              <w:left w:type="dxa" w:w="120"/>
              <w:bottom w:type="dxa" w:w="80"/>
              <w:right w:type="dxa" w:w="120"/>
            </w:tcMar>
          </w:tcPr>
          <w:p>
            <w:r>
              <w:t xml:space="preserve">Crystal EGS (Enhanced Geothermal System)</w:t>
            </w:r>
          </w:p>
        </w:tc>
      </w:tr>
      <w:tr>
        <w:tc>
          <w:tcPr>
            <w:tcW w:type="dxa" w:w="2800"/>
            <w:shd w:fill="D5E8F0" w:val="clear"/>
            <w:tcMar>
              <w:top w:type="dxa" w:w="80"/>
              <w:left w:type="dxa" w:w="120"/>
              <w:bottom w:type="dxa" w:w="80"/>
              <w:right w:type="dxa" w:w="120"/>
            </w:tcMar>
          </w:tcPr>
          <w:p>
            <w:r>
              <w:rPr>
                <w:b/>
                <w:bCs/>
              </w:rPr>
              <w:t xml:space="preserve">System Capacity</w:t>
            </w:r>
          </w:p>
        </w:tc>
        <w:tc>
          <w:tcPr>
            <w:tcW w:type="dxa" w:w="6560"/>
            <w:tcMar>
              <w:top w:type="dxa" w:w="80"/>
              <w:left w:type="dxa" w:w="120"/>
              <w:bottom w:type="dxa" w:w="80"/>
              <w:right w:type="dxa" w:w="120"/>
            </w:tcMar>
          </w:tcPr>
          <w:p>
            <w:r>
              <w:t xml:space="preserve">132.94 MW (2 × 76.47 MVA synchronous generators)</w:t>
            </w:r>
          </w:p>
        </w:tc>
      </w:tr>
      <w:tr>
        <w:tc>
          <w:tcPr>
            <w:tcW w:type="dxa" w:w="2800"/>
            <w:shd w:fill="D5E8F0" w:val="clear"/>
            <w:tcMar>
              <w:top w:type="dxa" w:w="80"/>
              <w:left w:type="dxa" w:w="120"/>
              <w:bottom w:type="dxa" w:w="80"/>
              <w:right w:type="dxa" w:w="120"/>
            </w:tcMar>
          </w:tcPr>
          <w:p>
            <w:r>
              <w:rPr>
                <w:b/>
                <w:bCs/>
              </w:rPr>
              <w:t xml:space="preserve">Voltage Levels</w:t>
            </w:r>
          </w:p>
        </w:tc>
        <w:tc>
          <w:tcPr>
            <w:tcW w:type="dxa" w:w="6560"/>
            <w:tcMar>
              <w:top w:type="dxa" w:w="80"/>
              <w:left w:type="dxa" w:w="120"/>
              <w:bottom w:type="dxa" w:w="80"/>
              <w:right w:type="dxa" w:w="120"/>
            </w:tcMar>
          </w:tcPr>
          <w:p>
            <w:r>
              <w:t xml:space="preserve">230 kV / 69 kV / 13.8 kV</w:t>
            </w:r>
          </w:p>
        </w:tc>
      </w:tr>
      <w:tr>
        <w:tc>
          <w:tcPr>
            <w:tcW w:type="dxa" w:w="2800"/>
            <w:shd w:fill="D5E8F0" w:val="clear"/>
            <w:tcMar>
              <w:top w:type="dxa" w:w="80"/>
              <w:left w:type="dxa" w:w="120"/>
              <w:bottom w:type="dxa" w:w="80"/>
              <w:right w:type="dxa" w:w="120"/>
            </w:tcMar>
          </w:tcPr>
          <w:p>
            <w:r>
              <w:rPr>
                <w:b/>
                <w:bCs/>
              </w:rPr>
              <w:t xml:space="preserve">Duration</w:t>
            </w:r>
          </w:p>
        </w:tc>
        <w:tc>
          <w:tcPr>
            <w:tcW w:type="dxa" w:w="6560"/>
            <w:tcMar>
              <w:top w:type="dxa" w:w="80"/>
              <w:left w:type="dxa" w:w="120"/>
              <w:bottom w:type="dxa" w:w="80"/>
              <w:right w:type="dxa" w:w="120"/>
            </w:tcMar>
          </w:tcPr>
          <w:p>
            <w:r>
              <w:t xml:space="preserve">April 2026</w:t>
            </w:r>
          </w:p>
        </w:tc>
      </w:tr>
      <w:tr>
        <w:tc>
          <w:tcPr>
            <w:tcW w:type="dxa" w:w="2800"/>
            <w:shd w:fill="D5E8F0" w:val="clear"/>
            <w:tcMar>
              <w:top w:type="dxa" w:w="80"/>
              <w:left w:type="dxa" w:w="120"/>
              <w:bottom w:type="dxa" w:w="80"/>
              <w:right w:type="dxa" w:w="120"/>
            </w:tcMar>
          </w:tcPr>
          <w:p>
            <w:r>
              <w:rPr>
                <w:b/>
                <w:bCs/>
              </w:rPr>
              <w:t xml:space="preserve">Software</w:t>
            </w:r>
          </w:p>
        </w:tc>
        <w:tc>
          <w:tcPr>
            <w:tcW w:type="dxa" w:w="6560"/>
            <w:tcMar>
              <w:top w:type="dxa" w:w="80"/>
              <w:left w:type="dxa" w:w="120"/>
              <w:bottom w:type="dxa" w:w="80"/>
              <w:right w:type="dxa" w:w="120"/>
            </w:tcMar>
          </w:tcPr>
          <w:p>
            <w:r>
              <w:t xml:space="preserve">PSCAD v5.0.2</w:t>
            </w:r>
          </w:p>
        </w:tc>
      </w:tr>
    </w:tbl>
    <w:p/>
    <w:p>
      <w:pPr>
        <w:pStyle w:val="Heading2"/>
      </w:pPr>
      <w:r>
        <w:t xml:space="preserve">Key Responsibilities</w:t>
      </w:r>
    </w:p>
    <w:p>
      <w:pPr>
        <w:pStyle w:val="ListParagraph"/>
        <w:numPr>
          <w:ilvl w:val="0"/>
          <w:numId w:val="2"/>
        </w:numPr>
      </w:pPr>
      <w:r>
        <w:t xml:space="preserve">Developed comprehensive PSCAD electromagnetic transient models for dual generator system including main power transformer (MPT), generator step-up transformers (GSUs), 230 kV and 69 kV transmission lines</w:t>
      </w:r>
    </w:p>
    <w:p>
      <w:pPr>
        <w:pStyle w:val="ListParagraph"/>
        <w:numPr>
          <w:ilvl w:val="0"/>
          <w:numId w:val="2"/>
        </w:numPr>
      </w:pPr>
      <w:r>
        <w:t xml:space="preserve">Implemented IEEE standard compliant dynamic models provided by Baker Hughes: GENROU generator, AC7B excitation system with rotating exciter, PSS2B power system stabilizer, and TGOV1 steam turbine governor</w:t>
      </w:r>
    </w:p>
    <w:p>
      <w:pPr>
        <w:pStyle w:val="ListParagraph"/>
        <w:numPr>
          <w:ilvl w:val="0"/>
          <w:numId w:val="2"/>
        </w:numPr>
      </w:pPr>
      <w:r>
        <w:t xml:space="preserve">Executed five Model Quality Test (MQT) scenarios per Unity requirements: Flat Start initialization, Bump Test (three-phase-to-ground fault), Exciter Voltage Reference Tests (with and without PSS), and Governor Reference Test</w:t>
      </w:r>
    </w:p>
    <w:p>
      <w:pPr>
        <w:pStyle w:val="ListParagraph"/>
        <w:numPr>
          <w:ilvl w:val="0"/>
          <w:numId w:val="2"/>
        </w:numPr>
      </w:pPr>
      <w:r>
        <w:t xml:space="preserve">Tuned PSCAD model parameters to match as-built field system data ensuring accurate representation of generator control system behavior</w:t>
      </w:r>
    </w:p>
    <w:p>
      <w:pPr>
        <w:pStyle w:val="ListParagraph"/>
        <w:numPr>
          <w:ilvl w:val="0"/>
          <w:numId w:val="2"/>
        </w:numPr>
        <w:spacing w:after="240"/>
      </w:pPr>
      <w:r>
        <w:t xml:space="preserve">Validated model performance through post-processing analysis of active power, reactive power, and voltage responses at point of interconnection (POI) and individual generator terminals</w:t>
      </w:r>
    </w:p>
    <w:p>
      <w:pPr>
        <w:pStyle w:val="Heading2"/>
      </w:pPr>
      <w:r>
        <w:t xml:space="preserve">Technical Analysis</w:t>
      </w:r>
    </w:p>
    <w:p>
      <w:pPr>
        <w:spacing w:after="240"/>
      </w:pPr>
      <w:r>
        <w:t xml:space="preserve">Executed comprehensive dynamic compliance testing across all operating conditions. The Flat Start Test confirmed clean initialization with zero deviations, validating proper parameter conversion from manufacturer data. The Bump Test successfully demonstrated fault ride-through capability with both generators maintaining synchronism during 6-cycle three-phase faults. Voltage reference step tests (±3%) verified responsive excitation control with PSS effectively damping oscillations and supporting reactive power requirements. Governor reference testing confirmed smooth non-oscillatory active power response, demonstrating well-tuned control parameters suitable for grid operator submission.</w:t>
      </w:r>
    </w:p>
    <w:p>
      <w:pPr>
        <w:pStyle w:val="Heading2"/>
      </w:pPr>
      <w:r>
        <w:t xml:space="preserve">System Configuration</w:t>
      </w:r>
    </w:p>
    <w:p>
      <w:pPr>
        <w:pStyle w:val="ListParagraph"/>
        <w:numPr>
          <w:ilvl w:val="0"/>
          <w:numId w:val="2"/>
        </w:numPr>
      </w:pPr>
      <w:r>
        <w:rPr>
          <w:b/>
          <w:bCs/>
        </w:rPr>
        <w:t xml:space="preserve">Generators: </w:t>
      </w:r>
      <w:r>
        <w:t xml:space="preserve">Two 76.47 MVA, 13.8 kV, 60 Hz synchronous machines with full IEEE dynamic models</w:t>
      </w:r>
    </w:p>
    <w:p>
      <w:pPr>
        <w:pStyle w:val="ListParagraph"/>
        <w:numPr>
          <w:ilvl w:val="0"/>
          <w:numId w:val="2"/>
        </w:numPr>
      </w:pPr>
      <w:r>
        <w:rPr>
          <w:b/>
          <w:bCs/>
        </w:rPr>
        <w:t xml:space="preserve">Main Power Transformer: </w:t>
      </w:r>
      <w:r>
        <w:t xml:space="preserve">90/120/150 MVA three-winding, 230 kV Ygnd / 69 kV Ygnd / 13.8 kV Delta with OLTC (±16×0.625%)</w:t>
      </w:r>
    </w:p>
    <w:p>
      <w:pPr>
        <w:pStyle w:val="ListParagraph"/>
        <w:numPr>
          <w:ilvl w:val="0"/>
          <w:numId w:val="2"/>
        </w:numPr>
      </w:pPr>
      <w:r>
        <w:rPr>
          <w:b/>
          <w:bCs/>
        </w:rPr>
        <w:t xml:space="preserve">Generator Step-Up Transformers: </w:t>
      </w:r>
      <w:r>
        <w:t xml:space="preserve">Two 46/61/76 MVA units, 69 kV Ygnd / 13.8 kV Ygnd with DETC (±2×2.5%)</w:t>
      </w:r>
    </w:p>
    <w:p>
      <w:pPr>
        <w:pStyle w:val="ListParagraph"/>
        <w:numPr>
          <w:ilvl w:val="0"/>
          <w:numId w:val="2"/>
        </w:numPr>
      </w:pPr>
      <w:r>
        <w:rPr>
          <w:b/>
          <w:bCs/>
        </w:rPr>
        <w:t xml:space="preserve">Transmission Lines: </w:t>
      </w:r>
      <w:r>
        <w:t xml:space="preserve">5-mile 230 kV interconnection and two 1-mile 69 kV collector circuits</w:t>
      </w:r>
    </w:p>
    <w:p>
      <w:pPr>
        <w:pStyle w:val="ListParagraph"/>
        <w:numPr>
          <w:ilvl w:val="0"/>
          <w:numId w:val="2"/>
        </w:numPr>
        <w:spacing w:after="240"/>
      </w:pPr>
      <w:r>
        <w:rPr>
          <w:b/>
          <w:bCs/>
        </w:rPr>
        <w:t xml:space="preserve">Control Systems: </w:t>
      </w:r>
      <w:r>
        <w:t xml:space="preserve">Full dynamic representation including voltage regulation, power system stabilization, and frequency control</w:t>
      </w:r>
    </w:p>
    <w:p>
      <w:pPr>
        <w:pStyle w:val="Heading2"/>
      </w:pPr>
      <w:r>
        <w:t xml:space="preserve">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shd w:fill="D5E8F0" w:val="clear"/>
            <w:tcMar>
              <w:top w:type="dxa" w:w="80"/>
              <w:left w:type="dxa" w:w="120"/>
              <w:bottom w:type="dxa" w:w="80"/>
              <w:right w:type="dxa" w:w="120"/>
            </w:tcMar>
          </w:tcPr>
          <w:p>
            <w:r>
              <w:rPr>
                <w:b/>
                <w:bCs/>
              </w:rPr>
              <w:t xml:space="preserve">Test Case</w:t>
            </w:r>
          </w:p>
        </w:tc>
        <w:tc>
          <w:tcPr>
            <w:tcW w:type="dxa" w:w="2800"/>
            <w:shd w:fill="D5E8F0" w:val="clear"/>
            <w:tcMar>
              <w:top w:type="dxa" w:w="80"/>
              <w:left w:type="dxa" w:w="120"/>
              <w:bottom w:type="dxa" w:w="80"/>
              <w:right w:type="dxa" w:w="120"/>
            </w:tcMar>
          </w:tcPr>
          <w:p>
            <w:r>
              <w:rPr>
                <w:b/>
                <w:bCs/>
              </w:rPr>
              <w:t xml:space="preserve">Result</w:t>
            </w:r>
          </w:p>
        </w:tc>
      </w:tr>
      <w:tr>
        <w:tc>
          <w:tcPr>
            <w:tcW w:type="dxa" w:w="6560"/>
            <w:tcMar>
              <w:top w:type="dxa" w:w="80"/>
              <w:left w:type="dxa" w:w="120"/>
              <w:bottom w:type="dxa" w:w="80"/>
              <w:right w:type="dxa" w:w="120"/>
            </w:tcMar>
          </w:tcPr>
          <w:p>
            <w:r>
              <w:t xml:space="preserve">Flat Start Test</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Bump Test (Three-Phase Fault)</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Exciter Voltage Reference Test (With PSS)</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Exciter Voltage Reference Test (Without PSS)</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Governor Reference Test</w:t>
            </w:r>
          </w:p>
        </w:tc>
        <w:tc>
          <w:tcPr>
            <w:tcW w:type="dxa" w:w="2800"/>
            <w:tcMar>
              <w:top w:type="dxa" w:w="80"/>
              <w:left w:type="dxa" w:w="120"/>
              <w:bottom w:type="dxa" w:w="80"/>
              <w:right w:type="dxa" w:w="120"/>
            </w:tcMar>
          </w:tcPr>
          <w:p>
            <w:r>
              <w:rPr>
                <w:b/>
                <w:bCs/>
                <w:color w:val="2E7D32"/>
              </w:rPr>
              <w:t xml:space="preserve">Pass</w:t>
            </w:r>
          </w:p>
        </w:tc>
      </w:tr>
    </w:tbl>
    <w:p/>
    <w:p>
      <w:pPr>
        <w:pStyle w:val="Heading2"/>
      </w:pPr>
      <w:r>
        <w:t xml:space="preserve">Technical Skills Demonstrated</w:t>
      </w:r>
    </w:p>
    <w:p>
      <w:pPr>
        <w:pStyle w:val="ListParagraph"/>
        <w:numPr>
          <w:ilvl w:val="0"/>
          <w:numId w:val="2"/>
        </w:numPr>
      </w:pPr>
      <w:r>
        <w:rPr>
          <w:b/>
          <w:bCs/>
        </w:rPr>
        <w:t xml:space="preserve">EMT Simulation: </w:t>
      </w:r>
      <w:r>
        <w:t xml:space="preserve">PSCAD v5.0.2 electromagnetic transient modeling</w:t>
      </w:r>
    </w:p>
    <w:p>
      <w:pPr>
        <w:pStyle w:val="ListParagraph"/>
        <w:numPr>
          <w:ilvl w:val="0"/>
          <w:numId w:val="2"/>
        </w:numPr>
      </w:pPr>
      <w:r>
        <w:rPr>
          <w:b/>
          <w:bCs/>
        </w:rPr>
        <w:t xml:space="preserve">Dynamic Models: </w:t>
      </w:r>
      <w:r>
        <w:t xml:space="preserve">GENROU, AC7B, PSS2B, TGOV1 per IEEE standards</w:t>
      </w:r>
    </w:p>
    <w:p>
      <w:pPr>
        <w:pStyle w:val="ListParagraph"/>
        <w:numPr>
          <w:ilvl w:val="0"/>
          <w:numId w:val="2"/>
        </w:numPr>
      </w:pPr>
      <w:r>
        <w:rPr>
          <w:b/>
          <w:bCs/>
        </w:rPr>
        <w:t xml:space="preserve">Grid Compliance: </w:t>
      </w:r>
      <w:r>
        <w:t xml:space="preserve">ERCOT, PJM, MISO interconnection requirements</w:t>
      </w:r>
    </w:p>
    <w:p>
      <w:pPr>
        <w:pStyle w:val="ListParagraph"/>
        <w:numPr>
          <w:ilvl w:val="0"/>
          <w:numId w:val="2"/>
        </w:numPr>
      </w:pPr>
      <w:r>
        <w:rPr>
          <w:b/>
          <w:bCs/>
        </w:rPr>
        <w:t xml:space="preserve">Control Systems: </w:t>
      </w:r>
      <w:r>
        <w:t xml:space="preserve">Excitation control, governor control, power system stabilizer tuning</w:t>
      </w:r>
    </w:p>
    <w:p>
      <w:pPr>
        <w:pStyle w:val="ListParagraph"/>
        <w:numPr>
          <w:ilvl w:val="0"/>
          <w:numId w:val="2"/>
        </w:numPr>
        <w:spacing w:after="240"/>
      </w:pPr>
      <w:r>
        <w:rPr>
          <w:b/>
          <w:bCs/>
        </w:rPr>
        <w:t xml:space="preserve">Testing Standards: </w:t>
      </w:r>
      <w:r>
        <w:t xml:space="preserve">Model quality testing per utility specifications</w:t>
      </w:r>
    </w:p>
    <w:p>
      <w:pPr>
        <w:pStyle w:val="Heading2"/>
      </w:pPr>
      <w:r>
        <w:t xml:space="preserve">Deliverables</w:t>
      </w:r>
    </w:p>
    <w:p>
      <w:pPr>
        <w:pStyle w:val="ListParagraph"/>
        <w:numPr>
          <w:ilvl w:val="0"/>
          <w:numId w:val="2"/>
        </w:numPr>
      </w:pPr>
      <w:r>
        <w:t xml:space="preserve">Complete PSCAD v5.0.2 dynamic model with validated initialization</w:t>
      </w:r>
    </w:p>
    <w:p>
      <w:pPr>
        <w:pStyle w:val="ListParagraph"/>
        <w:numPr>
          <w:ilvl w:val="0"/>
          <w:numId w:val="2"/>
        </w:numPr>
      </w:pPr>
      <w:r>
        <w:t xml:space="preserve">35-page PSCAD Dynamic Simulation Test Report documenting modeling methodology, system assumptions, test procedures, and comprehensive results</w:t>
      </w:r>
    </w:p>
    <w:p>
      <w:pPr>
        <w:pStyle w:val="ListParagraph"/>
        <w:numPr>
          <w:ilvl w:val="0"/>
          <w:numId w:val="2"/>
        </w:numPr>
      </w:pPr>
      <w:r>
        <w:t xml:space="preserve">Time-domain waveform plots for all five test scenarios at POI and individual generator terminals</w:t>
      </w:r>
    </w:p>
    <w:p>
      <w:pPr>
        <w:pStyle w:val="ListParagraph"/>
        <w:numPr>
          <w:ilvl w:val="0"/>
          <w:numId w:val="2"/>
        </w:numPr>
      </w:pPr>
      <w:r>
        <w:t xml:space="preserve">Complete parameter tables for generators, transformers, transmission lines, and control systems</w:t>
      </w:r>
    </w:p>
    <w:p>
      <w:pPr>
        <w:pStyle w:val="ListParagraph"/>
        <w:numPr>
          <w:ilvl w:val="0"/>
          <w:numId w:val="2"/>
        </w:numPr>
        <w:spacing w:after="240"/>
      </w:pPr>
      <w:r>
        <w:t xml:space="preserve">PSCAD model files ready for utility submission and interconnection studies</w:t>
      </w:r>
    </w:p>
    <w:p>
      <w:pPr>
        <w:pStyle w:val="Heading2"/>
      </w:pPr>
      <w:r>
        <w:t xml:space="preserve">Impact</w:t>
      </w:r>
    </w:p>
    <w:p>
      <w:r>
        <w:t xml:space="preserve">Successfully demonstrated full compliance with Unity grid operator requirements, enabling Invenergy to proceed with interconnection approval for the 132.94 MW geothermal generation facility. The validated PSCAD model provides grid operators with confidence in dynamic performance for planning studies across ERCOT, PJM, and MISO regions.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2026-04-27T11:14:15.755Z</dcterms:created>
  <dcterms:modified xsi:type="dcterms:W3CDTF">2026-04-27T11:14:15.756Z</dcterms:modified>
</cp:coreProperties>
</file>

<file path=docProps/custom.xml><?xml version="1.0" encoding="utf-8"?>
<Properties xmlns="http://schemas.openxmlformats.org/officeDocument/2006/custom-properties" xmlns:vt="http://schemas.openxmlformats.org/officeDocument/2006/docPropsVTypes"/>
</file>