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E75B6"/>
          <w:sz w:val="36"/>
          <w:szCs w:val="36"/>
        </w:rPr>
        <w:t xml:space="preserve">El Sol Dos II Energy Storage Project</w:t>
      </w:r>
    </w:p>
    <w:p>
      <w:pPr>
        <w:spacing w:after="600"/>
        <w:jc w:val="center"/>
      </w:pPr>
      <w:r>
        <w:rPr>
          <w:color w:val="404040"/>
          <w:sz w:val="28"/>
          <w:szCs w:val="28"/>
        </w:rPr>
        <w:t xml:space="preserve">PSCAD Model Quality Testing</w:t>
      </w:r>
    </w:p>
    <w:p>
      <w:pPr>
        <w:pStyle w:val="Heading1"/>
      </w:pPr>
      <w:r>
        <w:t xml:space="preserve">Project Overview</w:t>
      </w:r>
    </w:p>
    <w:p>
      <w:pPr>
        <w:spacing w:after="240"/>
      </w:pPr>
      <w:r>
        <w:t xml:space="preserve">Performed PSCAD Model Quality Tests (MQT) for Invenergy's 150 MW El Sol Dos II Energy Storage project in Tucson County, Arizona, to validate compliance with Arizona Public Service (APS) Application Requirements. The project uses 169 Tesla Megapack 2XL inverters and 43 step-up transformers for battery energy storage, connected through a collection system and main power transformer to the APS El Sol 69 kV Substation.</w:t>
      </w:r>
    </w:p>
    <w:p>
      <w:pPr>
        <w:pStyle w:val="Heading2"/>
      </w:pPr>
      <w:r>
        <w:t xml:space="preserve">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5E8F0" w:val="clear"/>
            <w:tcMar>
              <w:top w:type="dxa" w:w="80"/>
              <w:left w:type="dxa" w:w="120"/>
              <w:bottom w:type="dxa" w:w="80"/>
              <w:right w:type="dxa" w:w="120"/>
            </w:tcMar>
          </w:tcPr>
          <w:p>
            <w:r>
              <w:rPr>
                <w:b/>
                <w:bCs/>
              </w:rPr>
              <w:t xml:space="preserve">Client</w:t>
            </w:r>
          </w:p>
        </w:tc>
        <w:tc>
          <w:tcPr>
            <w:tcW w:type="dxa" w:w="6560"/>
            <w:tcMar>
              <w:top w:type="dxa" w:w="80"/>
              <w:left w:type="dxa" w:w="120"/>
              <w:bottom w:type="dxa" w:w="80"/>
              <w:right w:type="dxa" w:w="120"/>
            </w:tcMar>
          </w:tcPr>
          <w:p>
            <w:r>
              <w:t xml:space="preserve">Invenergy</w:t>
            </w:r>
          </w:p>
        </w:tc>
      </w:tr>
      <w:tr>
        <w:tc>
          <w:tcPr>
            <w:tcW w:type="dxa" w:w="2800"/>
            <w:shd w:fill="D5E8F0" w:val="clear"/>
            <w:tcMar>
              <w:top w:type="dxa" w:w="80"/>
              <w:left w:type="dxa" w:w="120"/>
              <w:bottom w:type="dxa" w:w="80"/>
              <w:right w:type="dxa" w:w="120"/>
            </w:tcMar>
          </w:tcPr>
          <w:p>
            <w:r>
              <w:rPr>
                <w:b/>
                <w:bCs/>
              </w:rPr>
              <w:t xml:space="preserve">Project</w:t>
            </w:r>
          </w:p>
        </w:tc>
        <w:tc>
          <w:tcPr>
            <w:tcW w:type="dxa" w:w="6560"/>
            <w:tcMar>
              <w:top w:type="dxa" w:w="80"/>
              <w:left w:type="dxa" w:w="120"/>
              <w:bottom w:type="dxa" w:w="80"/>
              <w:right w:type="dxa" w:w="120"/>
            </w:tcMar>
          </w:tcPr>
          <w:p>
            <w:r>
              <w:t xml:space="preserve">El Sol Dos II Energy Storage</w:t>
            </w:r>
          </w:p>
        </w:tc>
      </w:tr>
      <w:tr>
        <w:tc>
          <w:tcPr>
            <w:tcW w:type="dxa" w:w="2800"/>
            <w:shd w:fill="D5E8F0" w:val="clear"/>
            <w:tcMar>
              <w:top w:type="dxa" w:w="80"/>
              <w:left w:type="dxa" w:w="120"/>
              <w:bottom w:type="dxa" w:w="80"/>
              <w:right w:type="dxa" w:w="120"/>
            </w:tcMar>
          </w:tcPr>
          <w:p>
            <w:r>
              <w:rPr>
                <w:b/>
                <w:bCs/>
              </w:rPr>
              <w:t xml:space="preserve">Location</w:t>
            </w:r>
          </w:p>
        </w:tc>
        <w:tc>
          <w:tcPr>
            <w:tcW w:type="dxa" w:w="6560"/>
            <w:tcMar>
              <w:top w:type="dxa" w:w="80"/>
              <w:left w:type="dxa" w:w="120"/>
              <w:bottom w:type="dxa" w:w="80"/>
              <w:right w:type="dxa" w:w="120"/>
            </w:tcMar>
          </w:tcPr>
          <w:p>
            <w:r>
              <w:t xml:space="preserve">Tucson County, Arizona</w:t>
            </w:r>
          </w:p>
        </w:tc>
      </w:tr>
      <w:tr>
        <w:tc>
          <w:tcPr>
            <w:tcW w:type="dxa" w:w="2800"/>
            <w:shd w:fill="D5E8F0" w:val="clear"/>
            <w:tcMar>
              <w:top w:type="dxa" w:w="80"/>
              <w:left w:type="dxa" w:w="120"/>
              <w:bottom w:type="dxa" w:w="80"/>
              <w:right w:type="dxa" w:w="120"/>
            </w:tcMar>
          </w:tcPr>
          <w:p>
            <w:r>
              <w:rPr>
                <w:b/>
                <w:bCs/>
              </w:rPr>
              <w:t xml:space="preserve">System Capacity</w:t>
            </w:r>
          </w:p>
        </w:tc>
        <w:tc>
          <w:tcPr>
            <w:tcW w:type="dxa" w:w="6560"/>
            <w:tcMar>
              <w:top w:type="dxa" w:w="80"/>
              <w:left w:type="dxa" w:w="120"/>
              <w:bottom w:type="dxa" w:w="80"/>
              <w:right w:type="dxa" w:w="120"/>
            </w:tcMar>
          </w:tcPr>
          <w:p>
            <w:r>
              <w:t xml:space="preserve">150 MW (169 Tesla Megapack 2XL inverters)</w:t>
            </w:r>
          </w:p>
        </w:tc>
      </w:tr>
      <w:tr>
        <w:tc>
          <w:tcPr>
            <w:tcW w:type="dxa" w:w="2800"/>
            <w:shd w:fill="D5E8F0" w:val="clear"/>
            <w:tcMar>
              <w:top w:type="dxa" w:w="80"/>
              <w:left w:type="dxa" w:w="120"/>
              <w:bottom w:type="dxa" w:w="80"/>
              <w:right w:type="dxa" w:w="120"/>
            </w:tcMar>
          </w:tcPr>
          <w:p>
            <w:r>
              <w:rPr>
                <w:b/>
                <w:bCs/>
              </w:rPr>
              <w:t xml:space="preserve">Inverters</w:t>
            </w:r>
          </w:p>
        </w:tc>
        <w:tc>
          <w:tcPr>
            <w:tcW w:type="dxa" w:w="6560"/>
            <w:tcMar>
              <w:top w:type="dxa" w:w="80"/>
              <w:left w:type="dxa" w:w="120"/>
              <w:bottom w:type="dxa" w:w="80"/>
              <w:right w:type="dxa" w:w="120"/>
            </w:tcMar>
          </w:tcPr>
          <w:p>
            <w:r>
              <w:t xml:space="preserve">169 Tesla Megapack 2XL BESS inverters</w:t>
            </w:r>
          </w:p>
        </w:tc>
      </w:tr>
      <w:tr>
        <w:tc>
          <w:tcPr>
            <w:tcW w:type="dxa" w:w="2800"/>
            <w:shd w:fill="D5E8F0" w:val="clear"/>
            <w:tcMar>
              <w:top w:type="dxa" w:w="80"/>
              <w:left w:type="dxa" w:w="120"/>
              <w:bottom w:type="dxa" w:w="80"/>
              <w:right w:type="dxa" w:w="120"/>
            </w:tcMar>
          </w:tcPr>
          <w:p>
            <w:r>
              <w:rPr>
                <w:b/>
                <w:bCs/>
              </w:rPr>
              <w:t xml:space="preserve">Transformers</w:t>
            </w:r>
          </w:p>
        </w:tc>
        <w:tc>
          <w:tcPr>
            <w:tcW w:type="dxa" w:w="6560"/>
            <w:tcMar>
              <w:top w:type="dxa" w:w="80"/>
              <w:left w:type="dxa" w:w="120"/>
              <w:bottom w:type="dxa" w:w="80"/>
              <w:right w:type="dxa" w:w="120"/>
            </w:tcMar>
          </w:tcPr>
          <w:p>
            <w:r>
              <w:t xml:space="preserve">43 step-up transformers (GSUs) + 1 MPT (three-winding)</w:t>
            </w:r>
          </w:p>
        </w:tc>
      </w:tr>
      <w:tr>
        <w:tc>
          <w:tcPr>
            <w:tcW w:type="dxa" w:w="2800"/>
            <w:shd w:fill="D5E8F0" w:val="clear"/>
            <w:tcMar>
              <w:top w:type="dxa" w:w="80"/>
              <w:left w:type="dxa" w:w="120"/>
              <w:bottom w:type="dxa" w:w="80"/>
              <w:right w:type="dxa" w:w="120"/>
            </w:tcMar>
          </w:tcPr>
          <w:p>
            <w:r>
              <w:rPr>
                <w:b/>
                <w:bCs/>
              </w:rPr>
              <w:t xml:space="preserve">Voltage Level</w:t>
            </w:r>
          </w:p>
        </w:tc>
        <w:tc>
          <w:tcPr>
            <w:tcW w:type="dxa" w:w="6560"/>
            <w:tcMar>
              <w:top w:type="dxa" w:w="80"/>
              <w:left w:type="dxa" w:w="120"/>
              <w:bottom w:type="dxa" w:w="80"/>
              <w:right w:type="dxa" w:w="120"/>
            </w:tcMar>
          </w:tcPr>
          <w:p>
            <w:r>
              <w:t xml:space="preserve">69 kV (APS El Sol Substation)</w:t>
            </w:r>
          </w:p>
        </w:tc>
      </w:tr>
      <w:tr>
        <w:tc>
          <w:tcPr>
            <w:tcW w:type="dxa" w:w="2800"/>
            <w:shd w:fill="D5E8F0" w:val="clear"/>
            <w:tcMar>
              <w:top w:type="dxa" w:w="80"/>
              <w:left w:type="dxa" w:w="120"/>
              <w:bottom w:type="dxa" w:w="80"/>
              <w:right w:type="dxa" w:w="120"/>
            </w:tcMar>
          </w:tcPr>
          <w:p>
            <w:r>
              <w:rPr>
                <w:b/>
                <w:bCs/>
              </w:rPr>
              <w:t xml:space="preserve">Transmission Line</w:t>
            </w:r>
          </w:p>
        </w:tc>
        <w:tc>
          <w:tcPr>
            <w:tcW w:type="dxa" w:w="6560"/>
            <w:tcMar>
              <w:top w:type="dxa" w:w="80"/>
              <w:left w:type="dxa" w:w="120"/>
              <w:bottom w:type="dxa" w:w="80"/>
              <w:right w:type="dxa" w:w="120"/>
            </w:tcMar>
          </w:tcPr>
          <w:p>
            <w:r>
              <w:t xml:space="preserve">0.3-mile (1,584 ft) overhead line</w:t>
            </w:r>
          </w:p>
        </w:tc>
      </w:tr>
      <w:tr>
        <w:tc>
          <w:tcPr>
            <w:tcW w:type="dxa" w:w="2800"/>
            <w:shd w:fill="D5E8F0" w:val="clear"/>
            <w:tcMar>
              <w:top w:type="dxa" w:w="80"/>
              <w:left w:type="dxa" w:w="120"/>
              <w:bottom w:type="dxa" w:w="80"/>
              <w:right w:type="dxa" w:w="120"/>
            </w:tcMar>
          </w:tcPr>
          <w:p>
            <w:r>
              <w:rPr>
                <w:b/>
                <w:bCs/>
              </w:rPr>
              <w:t xml:space="preserve">Grid Code</w:t>
            </w:r>
          </w:p>
        </w:tc>
        <w:tc>
          <w:tcPr>
            <w:tcW w:type="dxa" w:w="6560"/>
            <w:tcMar>
              <w:top w:type="dxa" w:w="80"/>
              <w:left w:type="dxa" w:w="120"/>
              <w:bottom w:type="dxa" w:w="80"/>
              <w:right w:type="dxa" w:w="120"/>
            </w:tcMar>
          </w:tcPr>
          <w:p>
            <w:r>
              <w:t xml:space="preserve">APS Application Requirements</w:t>
            </w:r>
          </w:p>
        </w:tc>
      </w:tr>
      <w:tr>
        <w:tc>
          <w:tcPr>
            <w:tcW w:type="dxa" w:w="2800"/>
            <w:shd w:fill="D5E8F0" w:val="clear"/>
            <w:tcMar>
              <w:top w:type="dxa" w:w="80"/>
              <w:left w:type="dxa" w:w="120"/>
              <w:bottom w:type="dxa" w:w="80"/>
              <w:right w:type="dxa" w:w="120"/>
            </w:tcMar>
          </w:tcPr>
          <w:p>
            <w:r>
              <w:rPr>
                <w:b/>
                <w:bCs/>
              </w:rPr>
              <w:t xml:space="preserve">Date</w:t>
            </w:r>
          </w:p>
        </w:tc>
        <w:tc>
          <w:tcPr>
            <w:tcW w:type="dxa" w:w="6560"/>
            <w:tcMar>
              <w:top w:type="dxa" w:w="80"/>
              <w:left w:type="dxa" w:w="120"/>
              <w:bottom w:type="dxa" w:w="80"/>
              <w:right w:type="dxa" w:w="120"/>
            </w:tcMar>
          </w:tcPr>
          <w:p>
            <w:r>
              <w:t xml:space="preserve">April 2026</w:t>
            </w:r>
          </w:p>
        </w:tc>
      </w:tr>
      <w:tr>
        <w:tc>
          <w:tcPr>
            <w:tcW w:type="dxa" w:w="2800"/>
            <w:shd w:fill="D5E8F0" w:val="clear"/>
            <w:tcMar>
              <w:top w:type="dxa" w:w="80"/>
              <w:left w:type="dxa" w:w="120"/>
              <w:bottom w:type="dxa" w:w="80"/>
              <w:right w:type="dxa" w:w="120"/>
            </w:tcMar>
          </w:tcPr>
          <w:p>
            <w:r>
              <w:rPr>
                <w:b/>
                <w:bCs/>
              </w:rPr>
              <w:t xml:space="preserve">Software</w:t>
            </w:r>
          </w:p>
        </w:tc>
        <w:tc>
          <w:tcPr>
            <w:tcW w:type="dxa" w:w="6560"/>
            <w:tcMar>
              <w:top w:type="dxa" w:w="80"/>
              <w:left w:type="dxa" w:w="120"/>
              <w:bottom w:type="dxa" w:w="80"/>
              <w:right w:type="dxa" w:w="120"/>
            </w:tcMar>
          </w:tcPr>
          <w:p>
            <w:r>
              <w:t xml:space="preserve">PSCAD v5.0.2</w:t>
            </w:r>
          </w:p>
        </w:tc>
      </w:tr>
    </w:tbl>
    <w:p/>
    <w:p>
      <w:pPr>
        <w:pStyle w:val="Heading2"/>
      </w:pPr>
      <w:r>
        <w:t xml:space="preserve">Key Responsibilities</w:t>
      </w:r>
    </w:p>
    <w:p>
      <w:pPr>
        <w:pStyle w:val="ListParagraph"/>
        <w:numPr>
          <w:ilvl w:val="0"/>
          <w:numId w:val="2"/>
        </w:numPr>
      </w:pPr>
      <w:r>
        <w:t xml:space="preserve">Built equivalent PSCAD model for 169 Tesla Megapack 2XL inverters aggregated using industry standard procedures, 43 step-up transformers, one collection system, one three-winding MPT, and a 0.3-mile 69 kV line to APS El Sol Substation</w:t>
      </w:r>
    </w:p>
    <w:p>
      <w:pPr>
        <w:pStyle w:val="ListParagraph"/>
        <w:numPr>
          <w:ilvl w:val="0"/>
          <w:numId w:val="2"/>
        </w:numPr>
      </w:pPr>
      <w:r>
        <w:t xml:space="preserve">Implemented Tesla manufacturer-supplied dynamic models for the BESS inverters and power plant controller (PPC) in both discharging and charging modes</w:t>
      </w:r>
    </w:p>
    <w:p>
      <w:pPr>
        <w:pStyle w:val="ListParagraph"/>
        <w:numPr>
          <w:ilvl w:val="0"/>
          <w:numId w:val="2"/>
        </w:numPr>
      </w:pPr>
      <w:r>
        <w:t xml:space="preserve">Ran ten MQT scenarios per APS requirements in both charging and discharging modes: Initialization, Balanced Fault Ride-through, Unbalanced Fault Ride-through, High-Voltage Ride-through, Low-Voltage Ride-through, Voltage Reference Step Change, Active Power Reference Step Change, Grid Frequency Response and Ride-through, Short-Circuit Ratio Test, and Phase Angle Change Tests</w:t>
      </w:r>
    </w:p>
    <w:p>
      <w:pPr>
        <w:pStyle w:val="ListParagraph"/>
        <w:numPr>
          <w:ilvl w:val="0"/>
          <w:numId w:val="2"/>
        </w:numPr>
      </w:pPr>
      <w:r>
        <w:t xml:space="preserve">Modeled underground cables using industry-standard equivalent cable calculations, and utility source as a slack bus Thevenin equivalent generator</w:t>
      </w:r>
    </w:p>
    <w:p>
      <w:pPr>
        <w:pStyle w:val="ListParagraph"/>
        <w:numPr>
          <w:ilvl w:val="0"/>
          <w:numId w:val="2"/>
        </w:numPr>
        <w:spacing w:after="240"/>
      </w:pPr>
      <w:r>
        <w:t xml:space="preserve">Validated active power, reactive power, voltage, and frequency responses at POI and BESS terminals for all scenarios in both modes</w:t>
      </w:r>
    </w:p>
    <w:p>
      <w:pPr>
        <w:pStyle w:val="Heading2"/>
      </w:pPr>
      <w:r>
        <w:t xml:space="preserve">Technical Analysis</w:t>
      </w:r>
    </w:p>
    <w:p>
      <w:pPr>
        <w:spacing w:after="240"/>
      </w:pPr>
      <w:r>
        <w:t xml:space="preserve">All ten MQT scenarios passed in both discharging and charging modes. The Initialization Test confirmed stable flat start. Fault ride-through tests covered balanced (3PHG) and multiple unbalanced fault types at various fault durations and impedances. High and low voltage ride-through tests verified inverter response across the APS voltage envelope. Active and voltage reference step change tests confirmed PPC control accuracy. Grid frequency tests covered over-frequency up to 61.8 Hz and under-frequency down to 57.0 Hz. Short-circuit ratio testing was completed at SCR values of 5.0, 3.0, 2.5, 1.5, and 1.2. Phase angle change tests confirmed ride-through at plus and minus 25 degree jumps. All results demonstrate full APS compliance for grid-scale BESS interconnection.</w:t>
      </w:r>
    </w:p>
    <w:p>
      <w:pPr>
        <w:pStyle w:val="Heading2"/>
      </w:pPr>
      <w:r>
        <w:t xml:space="preserve">System Configuration</w:t>
      </w:r>
    </w:p>
    <w:p>
      <w:pPr>
        <w:pStyle w:val="ListParagraph"/>
        <w:numPr>
          <w:ilvl w:val="0"/>
          <w:numId w:val="2"/>
        </w:numPr>
      </w:pPr>
      <w:r>
        <w:rPr>
          <w:b/>
          <w:bCs/>
        </w:rPr>
        <w:t xml:space="preserve">BESS Inverters: </w:t>
      </w:r>
      <w:r>
        <w:t xml:space="preserve">169 Tesla Megapack 2XL units aggregated per industry standard, modeled with Tesla manufacturer dynamic models and PPC</w:t>
      </w:r>
    </w:p>
    <w:p>
      <w:pPr>
        <w:pStyle w:val="ListParagraph"/>
        <w:numPr>
          <w:ilvl w:val="0"/>
          <w:numId w:val="2"/>
        </w:numPr>
      </w:pPr>
      <w:r>
        <w:rPr>
          <w:b/>
          <w:bCs/>
        </w:rPr>
        <w:t xml:space="preserve">Step-Up Transformers: </w:t>
      </w:r>
      <w:r>
        <w:t xml:space="preserve">43 equivalent two-winding GSUs with corresponding impedances</w:t>
      </w:r>
    </w:p>
    <w:p>
      <w:pPr>
        <w:pStyle w:val="ListParagraph"/>
        <w:numPr>
          <w:ilvl w:val="0"/>
          <w:numId w:val="2"/>
        </w:numPr>
      </w:pPr>
      <w:r>
        <w:rPr>
          <w:b/>
          <w:bCs/>
        </w:rPr>
        <w:t xml:space="preserve">Main Power Transformer: </w:t>
      </w:r>
      <w:r>
        <w:t xml:space="preserve">One three-winding MPT with corresponding impedances and ratings</w:t>
      </w:r>
    </w:p>
    <w:p>
      <w:pPr>
        <w:pStyle w:val="ListParagraph"/>
        <w:numPr>
          <w:ilvl w:val="0"/>
          <w:numId w:val="2"/>
        </w:numPr>
      </w:pPr>
      <w:r>
        <w:rPr>
          <w:b/>
          <w:bCs/>
        </w:rPr>
        <w:t xml:space="preserve">Collection System: </w:t>
      </w:r>
      <w:r>
        <w:t xml:space="preserve">One collection feeder aggregated using industry standard procedures; underground cables modeled as equivalent cables</w:t>
      </w:r>
    </w:p>
    <w:p>
      <w:pPr>
        <w:pStyle w:val="ListParagraph"/>
        <w:numPr>
          <w:ilvl w:val="0"/>
          <w:numId w:val="2"/>
        </w:numPr>
      </w:pPr>
      <w:r>
        <w:rPr>
          <w:b/>
          <w:bCs/>
        </w:rPr>
        <w:t xml:space="preserve">Transmission Line: </w:t>
      </w:r>
      <w:r>
        <w:t xml:space="preserve">0.3-mile 69 kV line to APS El Sol Substation</w:t>
      </w:r>
    </w:p>
    <w:p/>
    <w:p>
      <w:pPr>
        <w:pStyle w:val="Heading2"/>
      </w:pPr>
      <w:r>
        <w:t xml:space="preserve">Test Results Summary (Discharging / Charging)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shd w:fill="D5E8F0" w:val="clear"/>
            <w:tcMar>
              <w:top w:type="dxa" w:w="80"/>
              <w:left w:type="dxa" w:w="120"/>
              <w:bottom w:type="dxa" w:w="80"/>
              <w:right w:type="dxa" w:w="120"/>
            </w:tcMar>
          </w:tcPr>
          <w:p>
            <w:r>
              <w:rPr>
                <w:b/>
                <w:bCs/>
              </w:rPr>
              <w:t xml:space="preserve">Test Case</w:t>
            </w:r>
          </w:p>
        </w:tc>
        <w:tc>
          <w:tcPr>
            <w:tcW w:type="dxa" w:w="2800"/>
            <w:shd w:fill="D5E8F0" w:val="clear"/>
            <w:tcMar>
              <w:top w:type="dxa" w:w="80"/>
              <w:left w:type="dxa" w:w="120"/>
              <w:bottom w:type="dxa" w:w="80"/>
              <w:right w:type="dxa" w:w="120"/>
            </w:tcMar>
          </w:tcPr>
          <w:p>
            <w:r>
              <w:rPr>
                <w:b/>
                <w:bCs/>
              </w:rPr>
              <w:t xml:space="preserve">Discharging / Charging</w:t>
            </w:r>
          </w:p>
        </w:tc>
      </w:tr>
      <w:tr>
        <w:tc>
          <w:tcPr>
            <w:tcW w:type="dxa" w:w="6560"/>
            <w:tcMar>
              <w:top w:type="dxa" w:w="80"/>
              <w:left w:type="dxa" w:w="120"/>
              <w:bottom w:type="dxa" w:w="80"/>
              <w:right w:type="dxa" w:w="120"/>
            </w:tcMar>
          </w:tcPr>
          <w:p>
            <w:r>
              <w:t xml:space="preserve">Initialization Test</w:t>
            </w:r>
          </w:p>
        </w:tc>
        <w:tc>
          <w:tcPr>
            <w:tcW w:type="dxa" w:w="2800"/>
            <w:tcMar>
              <w:top w:type="dxa" w:w="80"/>
              <w:left w:type="dxa" w:w="120"/>
              <w:bottom w:type="dxa" w:w="80"/>
              <w:right w:type="dxa" w:w="120"/>
            </w:tcMar>
          </w:tcPr>
          <w:p>
            <w:r>
              <w:rPr>
                <w:b/>
                <w:bCs/>
                <w:color w:val="2E7D32"/>
              </w:rPr>
              <w:t xml:space="preserve">Pass / Pass</w:t>
            </w:r>
          </w:p>
        </w:tc>
      </w:tr>
      <w:tr>
        <w:tc>
          <w:tcPr>
            <w:tcW w:type="dxa" w:w="6560"/>
            <w:tcMar>
              <w:top w:type="dxa" w:w="80"/>
              <w:left w:type="dxa" w:w="120"/>
              <w:bottom w:type="dxa" w:w="80"/>
              <w:right w:type="dxa" w:w="120"/>
            </w:tcMar>
          </w:tcPr>
          <w:p>
            <w:r>
              <w:t xml:space="preserve">Balanced Fault Ride-through Test</w:t>
            </w:r>
          </w:p>
        </w:tc>
        <w:tc>
          <w:tcPr>
            <w:tcW w:type="dxa" w:w="2800"/>
            <w:tcMar>
              <w:top w:type="dxa" w:w="80"/>
              <w:left w:type="dxa" w:w="120"/>
              <w:bottom w:type="dxa" w:w="80"/>
              <w:right w:type="dxa" w:w="120"/>
            </w:tcMar>
          </w:tcPr>
          <w:p>
            <w:r>
              <w:rPr>
                <w:b/>
                <w:bCs/>
                <w:color w:val="2E7D32"/>
              </w:rPr>
              <w:t xml:space="preserve">Pass / Pass</w:t>
            </w:r>
          </w:p>
        </w:tc>
      </w:tr>
      <w:tr>
        <w:tc>
          <w:tcPr>
            <w:tcW w:type="dxa" w:w="6560"/>
            <w:tcMar>
              <w:top w:type="dxa" w:w="80"/>
              <w:left w:type="dxa" w:w="120"/>
              <w:bottom w:type="dxa" w:w="80"/>
              <w:right w:type="dxa" w:w="120"/>
            </w:tcMar>
          </w:tcPr>
          <w:p>
            <w:r>
              <w:t xml:space="preserve">Unbalanced Fault Ride-through Test</w:t>
            </w:r>
          </w:p>
        </w:tc>
        <w:tc>
          <w:tcPr>
            <w:tcW w:type="dxa" w:w="2800"/>
            <w:tcMar>
              <w:top w:type="dxa" w:w="80"/>
              <w:left w:type="dxa" w:w="120"/>
              <w:bottom w:type="dxa" w:w="80"/>
              <w:right w:type="dxa" w:w="120"/>
            </w:tcMar>
          </w:tcPr>
          <w:p>
            <w:r>
              <w:rPr>
                <w:b/>
                <w:bCs/>
                <w:color w:val="2E7D32"/>
              </w:rPr>
              <w:t xml:space="preserve">Pass / Pass</w:t>
            </w:r>
          </w:p>
        </w:tc>
      </w:tr>
      <w:tr>
        <w:tc>
          <w:tcPr>
            <w:tcW w:type="dxa" w:w="6560"/>
            <w:tcMar>
              <w:top w:type="dxa" w:w="80"/>
              <w:left w:type="dxa" w:w="120"/>
              <w:bottom w:type="dxa" w:w="80"/>
              <w:right w:type="dxa" w:w="120"/>
            </w:tcMar>
          </w:tcPr>
          <w:p>
            <w:r>
              <w:t xml:space="preserve">High-Voltage Ride-through Test</w:t>
            </w:r>
          </w:p>
        </w:tc>
        <w:tc>
          <w:tcPr>
            <w:tcW w:type="dxa" w:w="2800"/>
            <w:tcMar>
              <w:top w:type="dxa" w:w="80"/>
              <w:left w:type="dxa" w:w="120"/>
              <w:bottom w:type="dxa" w:w="80"/>
              <w:right w:type="dxa" w:w="120"/>
            </w:tcMar>
          </w:tcPr>
          <w:p>
            <w:r>
              <w:rPr>
                <w:b/>
                <w:bCs/>
                <w:color w:val="2E7D32"/>
              </w:rPr>
              <w:t xml:space="preserve">Pass / Pass</w:t>
            </w:r>
          </w:p>
        </w:tc>
      </w:tr>
      <w:tr>
        <w:tc>
          <w:tcPr>
            <w:tcW w:type="dxa" w:w="6560"/>
            <w:tcMar>
              <w:top w:type="dxa" w:w="80"/>
              <w:left w:type="dxa" w:w="120"/>
              <w:bottom w:type="dxa" w:w="80"/>
              <w:right w:type="dxa" w:w="120"/>
            </w:tcMar>
          </w:tcPr>
          <w:p>
            <w:r>
              <w:t xml:space="preserve">Low-Voltage Ride-through Test</w:t>
            </w:r>
          </w:p>
        </w:tc>
        <w:tc>
          <w:tcPr>
            <w:tcW w:type="dxa" w:w="2800"/>
            <w:tcMar>
              <w:top w:type="dxa" w:w="80"/>
              <w:left w:type="dxa" w:w="120"/>
              <w:bottom w:type="dxa" w:w="80"/>
              <w:right w:type="dxa" w:w="120"/>
            </w:tcMar>
          </w:tcPr>
          <w:p>
            <w:r>
              <w:rPr>
                <w:b/>
                <w:bCs/>
                <w:color w:val="2E7D32"/>
              </w:rPr>
              <w:t xml:space="preserve">Pass / Pass</w:t>
            </w:r>
          </w:p>
        </w:tc>
      </w:tr>
      <w:tr>
        <w:tc>
          <w:tcPr>
            <w:tcW w:type="dxa" w:w="6560"/>
            <w:tcMar>
              <w:top w:type="dxa" w:w="80"/>
              <w:left w:type="dxa" w:w="120"/>
              <w:bottom w:type="dxa" w:w="80"/>
              <w:right w:type="dxa" w:w="120"/>
            </w:tcMar>
          </w:tcPr>
          <w:p>
            <w:r>
              <w:t xml:space="preserve">Voltage Reference Step Change Test</w:t>
            </w:r>
          </w:p>
        </w:tc>
        <w:tc>
          <w:tcPr>
            <w:tcW w:type="dxa" w:w="2800"/>
            <w:tcMar>
              <w:top w:type="dxa" w:w="80"/>
              <w:left w:type="dxa" w:w="120"/>
              <w:bottom w:type="dxa" w:w="80"/>
              <w:right w:type="dxa" w:w="120"/>
            </w:tcMar>
          </w:tcPr>
          <w:p>
            <w:r>
              <w:rPr>
                <w:b/>
                <w:bCs/>
                <w:color w:val="2E7D32"/>
              </w:rPr>
              <w:t xml:space="preserve">Pass / Pass</w:t>
            </w:r>
          </w:p>
        </w:tc>
      </w:tr>
      <w:tr>
        <w:tc>
          <w:tcPr>
            <w:tcW w:type="dxa" w:w="6560"/>
            <w:tcMar>
              <w:top w:type="dxa" w:w="80"/>
              <w:left w:type="dxa" w:w="120"/>
              <w:bottom w:type="dxa" w:w="80"/>
              <w:right w:type="dxa" w:w="120"/>
            </w:tcMar>
          </w:tcPr>
          <w:p>
            <w:r>
              <w:t xml:space="preserve">Active Power Reference Step Change Test</w:t>
            </w:r>
          </w:p>
        </w:tc>
        <w:tc>
          <w:tcPr>
            <w:tcW w:type="dxa" w:w="2800"/>
            <w:tcMar>
              <w:top w:type="dxa" w:w="80"/>
              <w:left w:type="dxa" w:w="120"/>
              <w:bottom w:type="dxa" w:w="80"/>
              <w:right w:type="dxa" w:w="120"/>
            </w:tcMar>
          </w:tcPr>
          <w:p>
            <w:r>
              <w:rPr>
                <w:b/>
                <w:bCs/>
                <w:color w:val="2E7D32"/>
              </w:rPr>
              <w:t xml:space="preserve">Pass / Pass</w:t>
            </w:r>
          </w:p>
        </w:tc>
      </w:tr>
      <w:tr>
        <w:tc>
          <w:tcPr>
            <w:tcW w:type="dxa" w:w="6560"/>
            <w:tcMar>
              <w:top w:type="dxa" w:w="80"/>
              <w:left w:type="dxa" w:w="120"/>
              <w:bottom w:type="dxa" w:w="80"/>
              <w:right w:type="dxa" w:w="120"/>
            </w:tcMar>
          </w:tcPr>
          <w:p>
            <w:r>
              <w:t xml:space="preserve">Grid Frequency Response and Ride-through</w:t>
            </w:r>
          </w:p>
        </w:tc>
        <w:tc>
          <w:tcPr>
            <w:tcW w:type="dxa" w:w="2800"/>
            <w:tcMar>
              <w:top w:type="dxa" w:w="80"/>
              <w:left w:type="dxa" w:w="120"/>
              <w:bottom w:type="dxa" w:w="80"/>
              <w:right w:type="dxa" w:w="120"/>
            </w:tcMar>
          </w:tcPr>
          <w:p>
            <w:r>
              <w:rPr>
                <w:b/>
                <w:bCs/>
                <w:color w:val="2E7D32"/>
              </w:rPr>
              <w:t xml:space="preserve">Pass / Pass</w:t>
            </w:r>
          </w:p>
        </w:tc>
      </w:tr>
      <w:tr>
        <w:tc>
          <w:tcPr>
            <w:tcW w:type="dxa" w:w="6560"/>
            <w:tcMar>
              <w:top w:type="dxa" w:w="80"/>
              <w:left w:type="dxa" w:w="120"/>
              <w:bottom w:type="dxa" w:w="80"/>
              <w:right w:type="dxa" w:w="120"/>
            </w:tcMar>
          </w:tcPr>
          <w:p>
            <w:r>
              <w:t xml:space="preserve">Short-Circuit Ratio Test</w:t>
            </w:r>
          </w:p>
        </w:tc>
        <w:tc>
          <w:tcPr>
            <w:tcW w:type="dxa" w:w="2800"/>
            <w:tcMar>
              <w:top w:type="dxa" w:w="80"/>
              <w:left w:type="dxa" w:w="120"/>
              <w:bottom w:type="dxa" w:w="80"/>
              <w:right w:type="dxa" w:w="120"/>
            </w:tcMar>
          </w:tcPr>
          <w:p>
            <w:r>
              <w:rPr>
                <w:b/>
                <w:bCs/>
                <w:color w:val="2E7D32"/>
              </w:rPr>
              <w:t xml:space="preserve">Pass / Pass</w:t>
            </w:r>
          </w:p>
        </w:tc>
      </w:tr>
      <w:tr>
        <w:tc>
          <w:tcPr>
            <w:tcW w:type="dxa" w:w="6560"/>
            <w:tcMar>
              <w:top w:type="dxa" w:w="80"/>
              <w:left w:type="dxa" w:w="120"/>
              <w:bottom w:type="dxa" w:w="80"/>
              <w:right w:type="dxa" w:w="120"/>
            </w:tcMar>
          </w:tcPr>
          <w:p>
            <w:r>
              <w:t xml:space="preserve">Phase Angle Change Tests</w:t>
            </w:r>
          </w:p>
        </w:tc>
        <w:tc>
          <w:tcPr>
            <w:tcW w:type="dxa" w:w="2800"/>
            <w:tcMar>
              <w:top w:type="dxa" w:w="80"/>
              <w:left w:type="dxa" w:w="120"/>
              <w:bottom w:type="dxa" w:w="80"/>
              <w:right w:type="dxa" w:w="120"/>
            </w:tcMar>
          </w:tcPr>
          <w:p>
            <w:r>
              <w:rPr>
                <w:b/>
                <w:bCs/>
                <w:color w:val="2E7D32"/>
              </w:rPr>
              <w:t xml:space="preserve">Pass / Pass</w:t>
            </w:r>
          </w:p>
        </w:tc>
      </w:tr>
    </w:tbl>
    <w:p/>
    <w:p>
      <w:pPr>
        <w:pStyle w:val="Heading2"/>
      </w:pPr>
      <w:r>
        <w:t xml:space="preserve">Technical Skills Demonstrated</w:t>
      </w:r>
    </w:p>
    <w:p>
      <w:pPr>
        <w:pStyle w:val="ListParagraph"/>
        <w:numPr>
          <w:ilvl w:val="0"/>
          <w:numId w:val="2"/>
        </w:numPr>
      </w:pPr>
      <w:r>
        <w:rPr>
          <w:b/>
          <w:bCs/>
        </w:rPr>
        <w:t xml:space="preserve">BESS Modeling: </w:t>
      </w:r>
      <w:r>
        <w:t xml:space="preserve">Grid-scale battery energy storage system modeling with manufacturer-provided Tesla inverter models</w:t>
      </w:r>
    </w:p>
    <w:p>
      <w:pPr>
        <w:pStyle w:val="ListParagraph"/>
        <w:numPr>
          <w:ilvl w:val="0"/>
          <w:numId w:val="2"/>
        </w:numPr>
      </w:pPr>
      <w:r>
        <w:rPr>
          <w:b/>
          <w:bCs/>
        </w:rPr>
        <w:t xml:space="preserve">MQT Testing: </w:t>
      </w:r>
      <w:r>
        <w:t xml:space="preserve">Ten-scenario APS model quality test protocol in both discharging and charging modes</w:t>
      </w:r>
    </w:p>
    <w:p>
      <w:pPr>
        <w:pStyle w:val="ListParagraph"/>
        <w:numPr>
          <w:ilvl w:val="0"/>
          <w:numId w:val="2"/>
        </w:numPr>
      </w:pPr>
      <w:r>
        <w:rPr>
          <w:b/>
          <w:bCs/>
        </w:rPr>
        <w:t xml:space="preserve">Fault Analysis: </w:t>
      </w:r>
      <w:r>
        <w:t xml:space="preserve">Balanced and unbalanced fault ride-through, high and low voltage ride-through</w:t>
      </w:r>
    </w:p>
    <w:p>
      <w:pPr>
        <w:pStyle w:val="ListParagraph"/>
        <w:numPr>
          <w:ilvl w:val="0"/>
          <w:numId w:val="2"/>
        </w:numPr>
      </w:pPr>
      <w:r>
        <w:rPr>
          <w:b/>
          <w:bCs/>
        </w:rPr>
        <w:t xml:space="preserve">Grid Code Compliance: </w:t>
      </w:r>
      <w:r>
        <w:t xml:space="preserve">APS Application Requirements for inverter-based resources</w:t>
      </w:r>
    </w:p>
    <w:p>
      <w:pPr>
        <w:pStyle w:val="ListParagraph"/>
        <w:numPr>
          <w:ilvl w:val="0"/>
          <w:numId w:val="2"/>
        </w:numPr>
      </w:pPr>
      <w:r>
        <w:rPr>
          <w:b/>
          <w:bCs/>
        </w:rPr>
        <w:t xml:space="preserve">SCR and Phase Angle Testing: </w:t>
      </w:r>
      <w:r>
        <w:t xml:space="preserve">Weak grid and phase angle change ride-through at multiple operating points</w:t>
      </w:r>
    </w:p>
    <w:p/>
    <w:p>
      <w:pPr>
        <w:pStyle w:val="Heading2"/>
      </w:pPr>
      <w:r>
        <w:t xml:space="preserve">Deliverables</w:t>
      </w:r>
    </w:p>
    <w:p>
      <w:pPr>
        <w:pStyle w:val="ListParagraph"/>
        <w:numPr>
          <w:ilvl w:val="0"/>
          <w:numId w:val="2"/>
        </w:numPr>
      </w:pPr>
      <w:r>
        <w:t xml:space="preserve">Complete PSCAD MQT model for El Sol Dos II in both discharging and charging modes with validated initialization</w:t>
      </w:r>
    </w:p>
    <w:p>
      <w:pPr>
        <w:pStyle w:val="ListParagraph"/>
        <w:numPr>
          <w:ilvl w:val="0"/>
          <w:numId w:val="2"/>
        </w:numPr>
      </w:pPr>
      <w:r>
        <w:t xml:space="preserve">PSCAD Model Quality Test Report documenting methodology, system assumptions, test procedures, and comprehensive results for all ten scenarios</w:t>
      </w:r>
    </w:p>
    <w:p>
      <w:pPr>
        <w:pStyle w:val="ListParagraph"/>
        <w:numPr>
          <w:ilvl w:val="0"/>
          <w:numId w:val="2"/>
        </w:numPr>
      </w:pPr>
      <w:r>
        <w:t xml:space="preserve">Time-domain waveform plots for all scenarios at POI and BESS terminals in both operating modes</w:t>
      </w:r>
    </w:p>
    <w:p>
      <w:pPr>
        <w:pStyle w:val="ListParagraph"/>
        <w:numPr>
          <w:ilvl w:val="0"/>
          <w:numId w:val="2"/>
        </w:numPr>
        <w:spacing w:after="240"/>
      </w:pPr>
      <w:r>
        <w:t xml:space="preserve">PSCAD model files ready for APS submission and interconnection studies</w:t>
      </w:r>
    </w:p>
    <w:p>
      <w:pPr>
        <w:pStyle w:val="Heading2"/>
      </w:pPr>
      <w:r>
        <w:t xml:space="preserve">Impact</w:t>
      </w:r>
    </w:p>
    <w:p>
      <w:pPr>
        <w:spacing w:after="240"/>
      </w:pPr>
      <w:r>
        <w:t xml:space="preserve">Confirmed full compliance with APS Application Requirements for the 150 MW El Sol Dos II Energy Storage project. All ten MQT scenarios passed in both discharging and charging modes, enabling Invenergy to proceed with interconnection approval for one of the largest grid-scale BESS projects in Arizona.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2026-04-27T11:14:15.755Z</dcterms:created>
  <dcterms:modified xsi:type="dcterms:W3CDTF">2026-04-27T11:14:15.756Z</dcterms:modified>
</cp:coreProperties>
</file>

<file path=docProps/custom.xml><?xml version="1.0" encoding="utf-8"?>
<Properties xmlns="http://schemas.openxmlformats.org/officeDocument/2006/custom-properties" xmlns:vt="http://schemas.openxmlformats.org/officeDocument/2006/docPropsVTypes"/>
</file>