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E75B6"/>
          <w:sz w:val="36"/>
          <w:szCs w:val="36"/>
        </w:rPr>
        <w:t xml:space="preserve">Grand View EGS I Project</w:t>
      </w:r>
    </w:p>
    <w:p>
      <w:pPr>
        <w:spacing w:after="600"/>
        <w:jc w:val="center"/>
      </w:pPr>
      <w:r>
        <w:rPr>
          <w:color w:val="404040"/>
          <w:sz w:val="28"/>
          <w:szCs w:val="28"/>
        </w:rPr>
        <w:t xml:space="preserve">PSCAD Dynamic Model Quality Testing</w:t>
      </w:r>
    </w:p>
    <w:p>
      <w:pPr>
        <w:pStyle w:val="Heading1"/>
      </w:pPr>
      <w:r>
        <w:t xml:space="preserve">Project Overview</w:t>
      </w:r>
    </w:p>
    <w:p>
      <w:pPr>
        <w:spacing w:after="240"/>
      </w:pPr>
      <w:r>
        <w:t xml:space="preserve">Performed PSCAD model dynamic compliance testing for Invenergy's 265.88 MW Grand View EGS I project to validate grid interconnection compliance per Unity requirements. The system uses four synchronous machines connected through one main power transformer and four generator step-up transformers to the 230 kV Hemingway Substation via a 35-mile transmission line.</w:t>
      </w:r>
    </w:p>
    <w:p>
      <w:pPr>
        <w:pStyle w:val="Heading2"/>
      </w:pPr>
      <w:r>
        <w:t xml:space="preserve">Project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Client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Invenergy</w:t>
            </w:r>
          </w:p>
        </w:tc>
      </w:tr>
      <w:tr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Grand View EGS I (Enhanced Geothermal System)</w:t>
            </w:r>
          </w:p>
        </w:tc>
      </w:tr>
      <w:tr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System Capacity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265.88 MW (4 synchronous machines)</w:t>
            </w:r>
          </w:p>
        </w:tc>
      </w:tr>
      <w:tr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Voltage Levels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230 kV / 69 kV</w:t>
            </w:r>
          </w:p>
        </w:tc>
      </w:tr>
      <w:tr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Transmission Lines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35-mile 230 kV line; four 1-mile 69 kV collector lines</w:t>
            </w:r>
          </w:p>
        </w:tc>
      </w:tr>
      <w:tr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Substation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230 kV Hemingway Substation</w:t>
            </w:r>
          </w:p>
        </w:tc>
      </w:tr>
      <w:tr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April 2026</w:t>
            </w:r>
          </w:p>
        </w:tc>
      </w:tr>
      <w:tr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Software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PSCAD v5.0.2</w:t>
            </w:r>
          </w:p>
        </w:tc>
      </w:tr>
    </w:tbl>
    <w:p/>
    <w:p>
      <w:pPr>
        <w:pStyle w:val="Heading2"/>
      </w:pPr>
      <w:r>
        <w:t xml:space="preserve">Key Responsibilities</w:t>
      </w:r>
    </w:p>
    <w:p>
      <w:pPr>
        <w:pStyle w:val="ListParagraph"/>
        <w:numPr>
          <w:ilvl w:val="0"/>
          <w:numId w:val="2"/>
        </w:numPr>
      </w:pPr>
      <w:r>
        <w:t xml:space="preserve">Developed equivalent PSCAD model for four synchronous machines, one main power transformer (MPT), four generator step-up transformers (GSUs), a 35-mile 230 kV line, and four 1-mile 69 kV collector lines</w:t>
      </w:r>
    </w:p>
    <w:p>
      <w:pPr>
        <w:pStyle w:val="ListParagraph"/>
        <w:numPr>
          <w:ilvl w:val="0"/>
          <w:numId w:val="2"/>
        </w:numPr>
      </w:pPr>
      <w:r>
        <w:t xml:space="preserve">Implemented IEEE standard dynamic models: GENROU generator, AC7B excitation system with rotating exciter, PSS2B power system stabilizer, and TGOV1 steam turbine governor</w:t>
      </w:r>
    </w:p>
    <w:p>
      <w:pPr>
        <w:pStyle w:val="ListParagraph"/>
        <w:numPr>
          <w:ilvl w:val="0"/>
          <w:numId w:val="2"/>
        </w:numPr>
      </w:pPr>
      <w:r>
        <w:t xml:space="preserve">Executed five MQT scenarios per Unity requirements: Flat Start, Bump Test, Exciter Voltage Reference Tests with and without PSS, and Governor Reference Test</w:t>
      </w:r>
    </w:p>
    <w:p>
      <w:pPr>
        <w:pStyle w:val="ListParagraph"/>
        <w:numPr>
          <w:ilvl w:val="0"/>
          <w:numId w:val="2"/>
        </w:numPr>
      </w:pPr>
      <w:r>
        <w:t xml:space="preserve">Tuned PSCAD model parameters to match as-built field data for accurate representation of each generator control system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Validated active power, reactive power, and voltage responses at POI and at each individual generator terminal</w:t>
      </w:r>
    </w:p>
    <w:p>
      <w:pPr>
        <w:pStyle w:val="Heading2"/>
      </w:pPr>
      <w:r>
        <w:t xml:space="preserve">Technical Analysis</w:t>
      </w:r>
    </w:p>
    <w:p>
      <w:pPr>
        <w:spacing w:after="240"/>
      </w:pPr>
      <w:r>
        <w:t xml:space="preserve">The Flat Start Test confirmed clean initialization with no deviations across all four machines. The Bump Test demonstrated fault ride-through with all generators maintaining synchronism during the 6-cycle three-phase fault. Voltage reference step tests at plus and minus 3 percent verified responsive excitation control, with PSS damping oscillations effectively. Governor reference testing confirmed smooth active power response across all units, showing the model is ready for Unity submission.</w:t>
      </w:r>
    </w:p>
    <w:p>
      <w:pPr>
        <w:pStyle w:val="Heading2"/>
      </w:pPr>
      <w:r>
        <w:t xml:space="preserve">System Configuration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Generators: </w:t>
      </w:r>
      <w:r>
        <w:t xml:space="preserve">Four synchronous machines with full IEEE dynamic models (GENROU, AC7B, PSS2B, TGOV1)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Main Power Transformer: </w:t>
      </w:r>
      <w:r>
        <w:t xml:space="preserve">One three-winding MPT at 230 kV / 69 kV with corresponding impedances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Generator Step-Up Transformers: </w:t>
      </w:r>
      <w:r>
        <w:t xml:space="preserve">Four two-winding GSUs at 69 kV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Transmission Lines: </w:t>
      </w:r>
      <w:r>
        <w:t xml:space="preserve">One 35-mile 230 kV line and four 1-mile 69 kV collector circuits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Utility Source: </w:t>
      </w:r>
      <w:r>
        <w:t xml:space="preserve">Generic gencls voltage source at 230 kV with Unity-defined short-circuit MVA</w:t>
      </w:r>
    </w:p>
    <w:p/>
    <w:p>
      <w:pPr>
        <w:pStyle w:val="Heading2"/>
      </w:pPr>
      <w:r>
        <w:t xml:space="preserve">Test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c>
          <w:tcPr>
            <w:tcW w:type="dxa" w:w="656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 Case</w:t>
            </w:r>
          </w:p>
        </w:tc>
        <w:tc>
          <w:tcPr>
            <w:tcW w:type="dxa" w:w="28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Flat Start Test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</w:tr>
      <w:tr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Bump Test (Three-Phase Fault)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</w:tr>
      <w:tr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Exciter Voltage Reference Test (With PSS)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</w:tr>
      <w:tr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Exciter Voltage Reference Test (Without PSS)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</w:tr>
      <w:tr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Governor Reference Test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D32"/>
              </w:rPr>
              <w:t xml:space="preserve">Pass</w:t>
            </w:r>
          </w:p>
        </w:tc>
      </w:tr>
    </w:tbl>
    <w:p/>
    <w:p>
      <w:pPr>
        <w:pStyle w:val="Heading2"/>
      </w:pPr>
      <w:r>
        <w:t xml:space="preserve">Technical Skills Demonstrated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EMT Simulation: </w:t>
      </w:r>
      <w:r>
        <w:t xml:space="preserve">PSCAD modeling for multi-machine geothermal systems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Dynamic Models: </w:t>
      </w:r>
      <w:r>
        <w:t xml:space="preserve">GENROU, AC7B, PSS2B, TGOV1 per IEEE standards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Grid Compliance: </w:t>
      </w:r>
      <w:r>
        <w:t xml:space="preserve">Unity requirements for 230 kV / 69 kV systems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Multi-Machine Modeling: </w:t>
      </w:r>
      <w:r>
        <w:t xml:space="preserve">Four-generator synchronous system with shared MPT and individual GSUs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Testing Standards: </w:t>
      </w:r>
      <w:r>
        <w:t xml:space="preserve">Model quality testing per utility specifications</w:t>
      </w:r>
    </w:p>
    <w:p/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t xml:space="preserve">Complete PSCAD dynamic model with validated initialization for all four generators</w:t>
      </w:r>
    </w:p>
    <w:p>
      <w:pPr>
        <w:pStyle w:val="ListParagraph"/>
        <w:numPr>
          <w:ilvl w:val="0"/>
          <w:numId w:val="2"/>
        </w:numPr>
      </w:pPr>
      <w:r>
        <w:t xml:space="preserve">PSCAD Dynamic Simulation Test Report documenting modeling methodology, assumptions, test procedures, and results</w:t>
      </w:r>
    </w:p>
    <w:p>
      <w:pPr>
        <w:pStyle w:val="ListParagraph"/>
        <w:numPr>
          <w:ilvl w:val="0"/>
          <w:numId w:val="2"/>
        </w:numPr>
      </w:pPr>
      <w:r>
        <w:t xml:space="preserve">Time-domain waveform plots for all five test scenarios at POI and each generator terminal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PSCAD model files ready for Unity submission and interconnection studies</w:t>
      </w:r>
    </w:p>
    <w:p>
      <w:pPr>
        <w:pStyle w:val="Heading2"/>
      </w:pPr>
      <w:r>
        <w:t xml:space="preserve">Impact</w:t>
      </w:r>
    </w:p>
    <w:p>
      <w:pPr>
        <w:spacing w:after="240"/>
      </w:pPr>
      <w:r>
        <w:t xml:space="preserve">Confirmed full compliance with Unity requirements for the 265.88 MW Grand View EGS I project. All five MQT scenarios passed, enabling Invenergy to advance the interconnection approval process for this four-unit enhanced geothermal facility.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2026-04-27T11:14:15.755Z</dcterms:created>
  <dcterms:modified xsi:type="dcterms:W3CDTF">2026-04-27T11:14:15.756Z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