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Iron Peak Energy Center Project</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PSCAD model dynamic compliance testing for Invenergy's 706.404 MW Iron Peak Energy Center project to validate compliance with Unity grid operator requirements. The plant consists of one combustion turbine and one steam turbine connected through two main power transformers to the Mayfield 500 kV Substation via a 1.10-mile transmission line.</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Invenergy</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Iron Peak Energy Center</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706.404 MW (combustion turbine + steam turbine)</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500 kV (Mayfield Substation)</w:t>
            </w:r>
          </w:p>
        </w:tc>
      </w:tr>
      <w:tr>
        <w:tc>
          <w:tcPr>
            <w:tcW w:type="dxa" w:w="2800"/>
            <w:shd w:fill="D5E8F0" w:val="clear"/>
            <w:tcMar>
              <w:top w:type="dxa" w:w="80"/>
              <w:left w:type="dxa" w:w="120"/>
              <w:bottom w:type="dxa" w:w="80"/>
              <w:right w:type="dxa" w:w="120"/>
            </w:tcMar>
          </w:tcPr>
          <w:p>
            <w:r>
              <w:rPr>
                <w:b/>
                <w:bCs/>
              </w:rPr>
              <w:t xml:space="preserve">Transmission Line</w:t>
            </w:r>
          </w:p>
        </w:tc>
        <w:tc>
          <w:tcPr>
            <w:tcW w:type="dxa" w:w="6560"/>
            <w:tcMar>
              <w:top w:type="dxa" w:w="80"/>
              <w:left w:type="dxa" w:w="120"/>
              <w:bottom w:type="dxa" w:w="80"/>
              <w:right w:type="dxa" w:w="120"/>
            </w:tcMar>
          </w:tcPr>
          <w:p>
            <w:r>
              <w:t xml:space="preserve">1.10-mile (5,808 ft) overhead line</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one combustion turbine (CT) and one steam turbine (ST), two main power transformers (MPTs), and a 1.10-mile 500 kV overhead line to the Mayfield Substation</w:t>
      </w:r>
    </w:p>
    <w:p>
      <w:pPr>
        <w:pStyle w:val="ListParagraph"/>
        <w:numPr>
          <w:ilvl w:val="0"/>
          <w:numId w:val="2"/>
        </w:numPr>
      </w:pPr>
      <w:r>
        <w:t xml:space="preserve">Implemented IEEE standard dynamic models provided by the manufacturer: GENROU generator, ESST4B excitation system, PSS2B power system stabilizer, and GGOV1 governor</w:t>
      </w:r>
    </w:p>
    <w:p>
      <w:pPr>
        <w:pStyle w:val="ListParagraph"/>
        <w:numPr>
          <w:ilvl w:val="0"/>
          <w:numId w:val="2"/>
        </w:numPr>
      </w:pPr>
      <w:r>
        <w:t xml:space="preserve">Executed five MQT scenarios per Unity requirements: Flat Start, Bump Test, Exciter Voltage Reference Tests with and without PSS, and Governor Reference Test</w:t>
      </w:r>
    </w:p>
    <w:p>
      <w:pPr>
        <w:pStyle w:val="ListParagraph"/>
        <w:numPr>
          <w:ilvl w:val="0"/>
          <w:numId w:val="2"/>
        </w:numPr>
      </w:pPr>
      <w:r>
        <w:t xml:space="preserve">Performed PSCAD model tuning to match as-built field system data for accurate representation of combined-cycle plant dynamics</w:t>
      </w:r>
    </w:p>
    <w:p>
      <w:pPr>
        <w:pStyle w:val="ListParagraph"/>
        <w:numPr>
          <w:ilvl w:val="0"/>
          <w:numId w:val="2"/>
        </w:numPr>
        <w:spacing w:after="240"/>
      </w:pPr>
      <w:r>
        <w:t xml:space="preserve">Validated model performance through post-processing of active power, reactive power, and voltage waveforms at POI and individual machine terminals</w:t>
      </w:r>
    </w:p>
    <w:p>
      <w:pPr>
        <w:pStyle w:val="Heading2"/>
      </w:pPr>
      <w:r>
        <w:t xml:space="preserve">Technical Analysis</w:t>
      </w:r>
    </w:p>
    <w:p>
      <w:pPr>
        <w:spacing w:after="240"/>
      </w:pPr>
      <w:r>
        <w:t xml:space="preserve">Testing confirmed full dynamic compliance across all five scenarios. The Flat Start Test showed clean initialization with no deviations for both machines. The Bump Test verified fault ride-through capability during the 6-cycle three-phase fault. Voltage reference step tests confirmed responsive excitation control with PSS damping power swings. Governor response testing showed non-oscillatory active power control, confirming the combined-cycle model is accurate and submission-ready.</w:t>
      </w:r>
    </w:p>
    <w:p>
      <w:pPr>
        <w:pStyle w:val="Heading2"/>
      </w:pPr>
      <w:r>
        <w:t xml:space="preserve">System Configuration</w:t>
      </w:r>
    </w:p>
    <w:p>
      <w:pPr>
        <w:pStyle w:val="ListParagraph"/>
        <w:numPr>
          <w:ilvl w:val="0"/>
          <w:numId w:val="2"/>
        </w:numPr>
      </w:pPr>
      <w:r>
        <w:rPr>
          <w:b/>
          <w:bCs/>
        </w:rPr>
        <w:t xml:space="preserve">Prime Movers: </w:t>
      </w:r>
      <w:r>
        <w:t xml:space="preserve">One combustion turbine (CT) and one steam turbine (ST) with full IEEE dynamic models</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Main Power Transformers: </w:t>
      </w:r>
      <w:r>
        <w:t xml:space="preserve">Two three-winding MPTs with corresponding impedances and ratings</w:t>
      </w:r>
    </w:p>
    <w:p>
      <w:pPr>
        <w:pStyle w:val="ListParagraph"/>
        <w:numPr>
          <w:ilvl w:val="0"/>
          <w:numId w:val="2"/>
        </w:numPr>
      </w:pPr>
      <w:r>
        <w:rPr>
          <w:b/>
          <w:bCs/>
        </w:rPr>
        <w:t xml:space="preserve">Transmission Line: </w:t>
      </w:r>
      <w:r>
        <w:t xml:space="preserve">1.10-mile 500 kV overhead line to Mayfield 500 kV Substation</w:t>
      </w:r>
    </w:p>
    <w:p>
      <w:pPr>
        <w:pStyle w:val="ListParagraph"/>
        <w:numPr>
          <w:ilvl w:val="0"/>
          <w:numId w:val="2"/>
        </w:numPr>
      </w:pPr>
      <w:r>
        <w:rPr>
          <w:b/>
          <w:bCs/>
        </w:rPr>
        <w:t xml:space="preserve">Utility Source: </w:t>
      </w:r>
      <w:r>
        <w:t xml:space="preserve">Generic gencls voltage source at 500 kV with Unity-defined short-circuit MVA</w:t>
      </w:r>
    </w:p>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modeling for combined-cycle (CT + ST) power plant systems</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Grid Compliance: </w:t>
      </w:r>
      <w:r>
        <w:t xml:space="preserve">Unity requirements for 500 kV systems</w:t>
      </w:r>
    </w:p>
    <w:p>
      <w:pPr>
        <w:pStyle w:val="ListParagraph"/>
        <w:numPr>
          <w:ilvl w:val="0"/>
          <w:numId w:val="2"/>
        </w:numPr>
      </w:pPr>
      <w:r>
        <w:rPr>
          <w:b/>
          <w:bCs/>
        </w:rPr>
        <w:t xml:space="preserve">Combined-Cycle Modeling: </w:t>
      </w:r>
      <w:r>
        <w:t xml:space="preserve">Combustion and steam turbine dynamics in a single PSCAD network</w:t>
      </w:r>
    </w:p>
    <w:p>
      <w:pPr>
        <w:pStyle w:val="ListParagraph"/>
        <w:numPr>
          <w:ilvl w:val="0"/>
          <w:numId w:val="2"/>
        </w:numPr>
      </w:pPr>
      <w:r>
        <w:rPr>
          <w:b/>
          <w:bCs/>
        </w:rPr>
        <w:t xml:space="preserve">Testing Standards: </w:t>
      </w:r>
      <w:r>
        <w:t xml:space="preserve">Model quality testing per utility specifications</w:t>
      </w:r>
    </w:p>
    <w:p/>
    <w:p>
      <w:pPr>
        <w:pStyle w:val="Heading2"/>
      </w:pPr>
      <w:r>
        <w:t xml:space="preserve">Deliverables</w:t>
      </w:r>
    </w:p>
    <w:p>
      <w:pPr>
        <w:pStyle w:val="ListParagraph"/>
        <w:numPr>
          <w:ilvl w:val="0"/>
          <w:numId w:val="2"/>
        </w:numPr>
      </w:pPr>
      <w:r>
        <w:t xml:space="preserve">Complete PSCAD dynamic model with validated initialization for the Iron Peak combined-cycle plant</w:t>
      </w:r>
    </w:p>
    <w:p>
      <w:pPr>
        <w:pStyle w:val="ListParagraph"/>
        <w:numPr>
          <w:ilvl w:val="0"/>
          <w:numId w:val="2"/>
        </w:numPr>
      </w:pPr>
      <w:r>
        <w:t xml:space="preserve">PSCAD Dynamic Simulation Test Report documenting methodology, assumptions, test procedures, and results</w:t>
      </w:r>
    </w:p>
    <w:p>
      <w:pPr>
        <w:pStyle w:val="ListParagraph"/>
        <w:numPr>
          <w:ilvl w:val="0"/>
          <w:numId w:val="2"/>
        </w:numPr>
      </w:pPr>
      <w:r>
        <w:t xml:space="preserve">Time-domain waveform plots for all five test scenarios at POI and each machine terminal</w:t>
      </w:r>
    </w:p>
    <w:p>
      <w:pPr>
        <w:pStyle w:val="ListParagraph"/>
        <w:numPr>
          <w:ilvl w:val="0"/>
          <w:numId w:val="2"/>
        </w:numPr>
        <w:spacing w:after="240"/>
      </w:pPr>
      <w:r>
        <w:t xml:space="preserve">PSCAD model files ready for Unity submission and interconnection studies</w:t>
      </w:r>
    </w:p>
    <w:p>
      <w:pPr>
        <w:pStyle w:val="Heading2"/>
      </w:pPr>
      <w:r>
        <w:t xml:space="preserve">Impact</w:t>
      </w:r>
    </w:p>
    <w:p>
      <w:pPr>
        <w:spacing w:after="240"/>
      </w:pPr>
      <w:r>
        <w:t xml:space="preserve">Confirmed full compliance with Unity requirements for the 706.404 MW Iron Peak Energy Center. Passing all five MQT scenarios allows Invenergy to proceed with interconnection approval for this large combined-cycle facility connected to the Mayfield 500 kV Substation.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