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Linxon Microgrid – Austin, TX</w:t>
      </w:r>
    </w:p>
    <w:p>
      <w:pPr>
        <w:spacing w:after="600"/>
        <w:jc w:val="center"/>
      </w:pPr>
      <w:r>
        <w:rPr>
          <w:color w:val="404040"/>
          <w:sz w:val="28"/>
          <w:szCs w:val="28"/>
        </w:rPr>
        <w:t xml:space="preserve">PSCAD Microgrid Simulation Study</w:t>
      </w:r>
    </w:p>
    <w:p>
      <w:pPr>
        <w:pStyle w:val="Heading1"/>
      </w:pPr>
      <w:r>
        <w:t xml:space="preserve">Project Overview</w:t>
      </w:r>
    </w:p>
    <w:p>
      <w:pPr>
        <w:spacing w:after="240"/>
      </w:pPr>
      <w:r>
        <w:t xml:space="preserve">Performed a comprehensive PSCAD electromagnetic transient simulation study for Linxon's microgrid at an Austin, TX data center. The study modeled islanded and grid-connected operation for a gas turbine generator (GTG), battery energy storage system (BESS), and synchronous condenser (Syncon) under various fault and switching scenarios. The work assessed system stability, fault ride-through, and load-following performance to support data center power reliability.</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Linxon</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Linxon Microgrid – Austin, TX Data Center</w:t>
            </w:r>
          </w:p>
        </w:tc>
      </w:tr>
      <w:tr>
        <w:tc>
          <w:tcPr>
            <w:tcW w:type="dxa" w:w="2800"/>
            <w:shd w:fill="D5E8F0" w:val="clear"/>
            <w:tcMar>
              <w:top w:type="dxa" w:w="80"/>
              <w:left w:type="dxa" w:w="120"/>
              <w:bottom w:type="dxa" w:w="80"/>
              <w:right w:type="dxa" w:w="120"/>
            </w:tcMar>
          </w:tcPr>
          <w:p>
            <w:r>
              <w:rPr>
                <w:b/>
                <w:bCs/>
              </w:rPr>
              <w:t xml:space="preserve">System Type</w:t>
            </w:r>
          </w:p>
        </w:tc>
        <w:tc>
          <w:tcPr>
            <w:tcW w:type="dxa" w:w="6560"/>
            <w:tcMar>
              <w:top w:type="dxa" w:w="80"/>
              <w:left w:type="dxa" w:w="120"/>
              <w:bottom w:type="dxa" w:w="80"/>
              <w:right w:type="dxa" w:w="120"/>
            </w:tcMar>
          </w:tcPr>
          <w:p>
            <w:r>
              <w:t xml:space="preserve">Islanded microgrid (GTG + BESS + Synchronous Condenser)</w:t>
            </w:r>
          </w:p>
        </w:tc>
      </w:tr>
      <w:tr>
        <w:tc>
          <w:tcPr>
            <w:tcW w:type="dxa" w:w="2800"/>
            <w:shd w:fill="D5E8F0" w:val="clear"/>
            <w:tcMar>
              <w:top w:type="dxa" w:w="80"/>
              <w:left w:type="dxa" w:w="120"/>
              <w:bottom w:type="dxa" w:w="80"/>
              <w:right w:type="dxa" w:w="120"/>
            </w:tcMar>
          </w:tcPr>
          <w:p>
            <w:r>
              <w:rPr>
                <w:b/>
                <w:bCs/>
              </w:rPr>
              <w:t xml:space="preserve">Key Components</w:t>
            </w:r>
          </w:p>
        </w:tc>
        <w:tc>
          <w:tcPr>
            <w:tcW w:type="dxa" w:w="6560"/>
            <w:tcMar>
              <w:top w:type="dxa" w:w="80"/>
              <w:left w:type="dxa" w:w="120"/>
              <w:bottom w:type="dxa" w:w="80"/>
              <w:right w:type="dxa" w:w="120"/>
            </w:tcMar>
          </w:tcPr>
          <w:p>
            <w:r>
              <w:t xml:space="preserve">Gas Turbine Generator, Grid-Forming BESS, Synchronous Condenser</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PSCAD microgrid model including a gas turbine generator (GTG), a grid-forming battery energy storage system (BESS), a synchronous condenser (Syncon), and AI-varying loads representing data center demand</w:t>
      </w:r>
    </w:p>
    <w:p>
      <w:pPr>
        <w:pStyle w:val="ListParagraph"/>
        <w:numPr>
          <w:ilvl w:val="0"/>
          <w:numId w:val="2"/>
        </w:numPr>
      </w:pPr>
      <w:r>
        <w:t xml:space="preserve">Simulated base-case steady-state performance plots for active power, reactive power, voltage, and frequency at GTG, BESS, and Syncon, with and without the synchronous condenser, and as an overlay comparison</w:t>
      </w:r>
    </w:p>
    <w:p>
      <w:pPr>
        <w:pStyle w:val="ListParagraph"/>
        <w:numPr>
          <w:ilvl w:val="0"/>
          <w:numId w:val="2"/>
        </w:numPr>
      </w:pPr>
      <w:r>
        <w:t xml:space="preserve">Executed three-line-to-ground (3LG) fault tests at the POI, BESS, Syncon, and GTG buses at two load levels (65 percent and 100 percent load) to evaluate fault ride-through and islanding behavior</w:t>
      </w:r>
    </w:p>
    <w:p>
      <w:pPr>
        <w:pStyle w:val="ListParagraph"/>
        <w:numPr>
          <w:ilvl w:val="0"/>
          <w:numId w:val="2"/>
        </w:numPr>
      </w:pPr>
      <w:r>
        <w:t xml:space="preserve">Simulated switching events: open-circuit switching at GTG and Syncon buses to assess voltage and frequency stability after equipment loss</w:t>
      </w:r>
    </w:p>
    <w:p>
      <w:pPr>
        <w:pStyle w:val="ListParagraph"/>
        <w:numPr>
          <w:ilvl w:val="0"/>
          <w:numId w:val="2"/>
        </w:numPr>
      </w:pPr>
      <w:r>
        <w:t xml:space="preserve">Ran GTG active power ramp tests at 100 MW, 80 MW, and 60 MW to verify ramp-rate control and system stability</w:t>
      </w:r>
    </w:p>
    <w:p>
      <w:pPr>
        <w:pStyle w:val="ListParagraph"/>
        <w:numPr>
          <w:ilvl w:val="0"/>
          <w:numId w:val="2"/>
        </w:numPr>
        <w:spacing w:after="240"/>
      </w:pPr>
      <w:r>
        <w:t xml:space="preserve">Studied fault ride-through at different clearing times (9-cycle fault) at the POI under two load levels to identify stability margins</w:t>
      </w:r>
    </w:p>
    <w:p>
      <w:pPr>
        <w:pStyle w:val="Heading2"/>
      </w:pPr>
      <w:r>
        <w:t xml:space="preserve">Technical Analysis</w:t>
      </w:r>
    </w:p>
    <w:p>
      <w:pPr>
        <w:spacing w:after="240"/>
      </w:pPr>
      <w:r>
        <w:t xml:space="preserve">The base case confirmed stable steady-state operation with and without the synchronous condenser. Overlay comparison showed that the Syncon provides meaningful reactive power support and improves voltage stability during transients. All 3LG fault cases showed the grid-forming BESS recovering and maintaining islanded frequency within acceptable bounds. Switching events at the GTG and Syncon buses demonstrated that the remaining resources could sustain the data center load. The ramp tests confirmed that the GTG governor control tracks large active power reference changes without instability.</w:t>
      </w:r>
    </w:p>
    <w:p>
      <w:pPr>
        <w:pStyle w:val="Heading2"/>
      </w:pPr>
      <w:r>
        <w:t xml:space="preserve">Simulation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Simulation Scenario</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Base Case (with Syncon)</w:t>
            </w:r>
          </w:p>
        </w:tc>
        <w:tc>
          <w:tcPr>
            <w:tcW w:type="dxa" w:w="2800"/>
            <w:tcMar>
              <w:top w:type="dxa" w:w="80"/>
              <w:left w:type="dxa" w:w="120"/>
              <w:bottom w:type="dxa" w:w="80"/>
              <w:right w:type="dxa" w:w="120"/>
            </w:tcMar>
          </w:tcPr>
          <w:p>
            <w:r>
              <w:rPr>
                <w:b/>
                <w:bCs/>
                <w:color w:val="2E7D32"/>
              </w:rPr>
              <w:t xml:space="preserve">Stable</w:t>
            </w:r>
          </w:p>
        </w:tc>
      </w:tr>
      <w:tr>
        <w:tc>
          <w:tcPr>
            <w:tcW w:type="dxa" w:w="6560"/>
            <w:tcMar>
              <w:top w:type="dxa" w:w="80"/>
              <w:left w:type="dxa" w:w="120"/>
              <w:bottom w:type="dxa" w:w="80"/>
              <w:right w:type="dxa" w:w="120"/>
            </w:tcMar>
          </w:tcPr>
          <w:p>
            <w:r>
              <w:t xml:space="preserve">Base Case (without Syncon)</w:t>
            </w:r>
          </w:p>
        </w:tc>
        <w:tc>
          <w:tcPr>
            <w:tcW w:type="dxa" w:w="2800"/>
            <w:tcMar>
              <w:top w:type="dxa" w:w="80"/>
              <w:left w:type="dxa" w:w="120"/>
              <w:bottom w:type="dxa" w:w="80"/>
              <w:right w:type="dxa" w:w="120"/>
            </w:tcMar>
          </w:tcPr>
          <w:p>
            <w:r>
              <w:rPr>
                <w:b/>
                <w:bCs/>
                <w:color w:val="2E7D32"/>
              </w:rPr>
              <w:t xml:space="preserve">Stable</w:t>
            </w:r>
          </w:p>
        </w:tc>
      </w:tr>
      <w:tr>
        <w:tc>
          <w:tcPr>
            <w:tcW w:type="dxa" w:w="6560"/>
            <w:tcMar>
              <w:top w:type="dxa" w:w="80"/>
              <w:left w:type="dxa" w:w="120"/>
              <w:bottom w:type="dxa" w:w="80"/>
              <w:right w:type="dxa" w:w="120"/>
            </w:tcMar>
          </w:tcPr>
          <w:p>
            <w:r>
              <w:t xml:space="preserve">3LG at POI – 65% load</w:t>
            </w:r>
          </w:p>
        </w:tc>
        <w:tc>
          <w:tcPr>
            <w:tcW w:type="dxa" w:w="2800"/>
            <w:tcMar>
              <w:top w:type="dxa" w:w="80"/>
              <w:left w:type="dxa" w:w="120"/>
              <w:bottom w:type="dxa" w:w="80"/>
              <w:right w:type="dxa" w:w="120"/>
            </w:tcMar>
          </w:tcPr>
          <w:p>
            <w:r>
              <w:rPr>
                <w:b/>
                <w:bCs/>
                <w:color w:val="2E7D32"/>
              </w:rPr>
              <w:t xml:space="preserve">Ride-through</w:t>
            </w:r>
          </w:p>
        </w:tc>
      </w:tr>
      <w:tr>
        <w:tc>
          <w:tcPr>
            <w:tcW w:type="dxa" w:w="6560"/>
            <w:tcMar>
              <w:top w:type="dxa" w:w="80"/>
              <w:left w:type="dxa" w:w="120"/>
              <w:bottom w:type="dxa" w:w="80"/>
              <w:right w:type="dxa" w:w="120"/>
            </w:tcMar>
          </w:tcPr>
          <w:p>
            <w:r>
              <w:t xml:space="preserve">3LG at POI – 100% load</w:t>
            </w:r>
          </w:p>
        </w:tc>
        <w:tc>
          <w:tcPr>
            <w:tcW w:type="dxa" w:w="2800"/>
            <w:tcMar>
              <w:top w:type="dxa" w:w="80"/>
              <w:left w:type="dxa" w:w="120"/>
              <w:bottom w:type="dxa" w:w="80"/>
              <w:right w:type="dxa" w:w="120"/>
            </w:tcMar>
          </w:tcPr>
          <w:p>
            <w:r>
              <w:rPr>
                <w:b/>
                <w:bCs/>
                <w:color w:val="2E7D32"/>
              </w:rPr>
              <w:t xml:space="preserve">Ride-through</w:t>
            </w:r>
          </w:p>
        </w:tc>
      </w:tr>
      <w:tr>
        <w:tc>
          <w:tcPr>
            <w:tcW w:type="dxa" w:w="6560"/>
            <w:tcMar>
              <w:top w:type="dxa" w:w="80"/>
              <w:left w:type="dxa" w:w="120"/>
              <w:bottom w:type="dxa" w:w="80"/>
              <w:right w:type="dxa" w:w="120"/>
            </w:tcMar>
          </w:tcPr>
          <w:p>
            <w:r>
              <w:t xml:space="preserve">3LG at BESS – 65% / 100% load</w:t>
            </w:r>
          </w:p>
        </w:tc>
        <w:tc>
          <w:tcPr>
            <w:tcW w:type="dxa" w:w="2800"/>
            <w:tcMar>
              <w:top w:type="dxa" w:w="80"/>
              <w:left w:type="dxa" w:w="120"/>
              <w:bottom w:type="dxa" w:w="80"/>
              <w:right w:type="dxa" w:w="120"/>
            </w:tcMar>
          </w:tcPr>
          <w:p>
            <w:r>
              <w:rPr>
                <w:b/>
                <w:bCs/>
                <w:color w:val="2E7D32"/>
              </w:rPr>
              <w:t xml:space="preserve">Ride-through</w:t>
            </w:r>
          </w:p>
        </w:tc>
      </w:tr>
      <w:tr>
        <w:tc>
          <w:tcPr>
            <w:tcW w:type="dxa" w:w="6560"/>
            <w:tcMar>
              <w:top w:type="dxa" w:w="80"/>
              <w:left w:type="dxa" w:w="120"/>
              <w:bottom w:type="dxa" w:w="80"/>
              <w:right w:type="dxa" w:w="120"/>
            </w:tcMar>
          </w:tcPr>
          <w:p>
            <w:r>
              <w:t xml:space="preserve">3LG at Syncon – 65% / 100% load</w:t>
            </w:r>
          </w:p>
        </w:tc>
        <w:tc>
          <w:tcPr>
            <w:tcW w:type="dxa" w:w="2800"/>
            <w:tcMar>
              <w:top w:type="dxa" w:w="80"/>
              <w:left w:type="dxa" w:w="120"/>
              <w:bottom w:type="dxa" w:w="80"/>
              <w:right w:type="dxa" w:w="120"/>
            </w:tcMar>
          </w:tcPr>
          <w:p>
            <w:r>
              <w:rPr>
                <w:b/>
                <w:bCs/>
                <w:color w:val="2E7D32"/>
              </w:rPr>
              <w:t xml:space="preserve">Ride-through</w:t>
            </w:r>
          </w:p>
        </w:tc>
      </w:tr>
      <w:tr>
        <w:tc>
          <w:tcPr>
            <w:tcW w:type="dxa" w:w="6560"/>
            <w:tcMar>
              <w:top w:type="dxa" w:w="80"/>
              <w:left w:type="dxa" w:w="120"/>
              <w:bottom w:type="dxa" w:w="80"/>
              <w:right w:type="dxa" w:w="120"/>
            </w:tcMar>
          </w:tcPr>
          <w:p>
            <w:r>
              <w:t xml:space="preserve">3LG at GTG – 65% / 100% load</w:t>
            </w:r>
          </w:p>
        </w:tc>
        <w:tc>
          <w:tcPr>
            <w:tcW w:type="dxa" w:w="2800"/>
            <w:tcMar>
              <w:top w:type="dxa" w:w="80"/>
              <w:left w:type="dxa" w:w="120"/>
              <w:bottom w:type="dxa" w:w="80"/>
              <w:right w:type="dxa" w:w="120"/>
            </w:tcMar>
          </w:tcPr>
          <w:p>
            <w:r>
              <w:rPr>
                <w:b/>
                <w:bCs/>
                <w:color w:val="2E7D32"/>
              </w:rPr>
              <w:t xml:space="preserve">Ride-through</w:t>
            </w:r>
          </w:p>
        </w:tc>
      </w:tr>
      <w:tr>
        <w:tc>
          <w:tcPr>
            <w:tcW w:type="dxa" w:w="6560"/>
            <w:tcMar>
              <w:top w:type="dxa" w:w="80"/>
              <w:left w:type="dxa" w:w="120"/>
              <w:bottom w:type="dxa" w:w="80"/>
              <w:right w:type="dxa" w:w="120"/>
            </w:tcMar>
          </w:tcPr>
          <w:p>
            <w:r>
              <w:t xml:space="preserve">Switching at GTG bus</w:t>
            </w:r>
          </w:p>
        </w:tc>
        <w:tc>
          <w:tcPr>
            <w:tcW w:type="dxa" w:w="2800"/>
            <w:tcMar>
              <w:top w:type="dxa" w:w="80"/>
              <w:left w:type="dxa" w:w="120"/>
              <w:bottom w:type="dxa" w:w="80"/>
              <w:right w:type="dxa" w:w="120"/>
            </w:tcMar>
          </w:tcPr>
          <w:p>
            <w:r>
              <w:rPr>
                <w:b/>
                <w:bCs/>
                <w:color w:val="2E7D32"/>
              </w:rPr>
              <w:t xml:space="preserve">Stable</w:t>
            </w:r>
          </w:p>
        </w:tc>
      </w:tr>
      <w:tr>
        <w:tc>
          <w:tcPr>
            <w:tcW w:type="dxa" w:w="6560"/>
            <w:tcMar>
              <w:top w:type="dxa" w:w="80"/>
              <w:left w:type="dxa" w:w="120"/>
              <w:bottom w:type="dxa" w:w="80"/>
              <w:right w:type="dxa" w:w="120"/>
            </w:tcMar>
          </w:tcPr>
          <w:p>
            <w:r>
              <w:t xml:space="preserve">Switching at Syncon bus</w:t>
            </w:r>
          </w:p>
        </w:tc>
        <w:tc>
          <w:tcPr>
            <w:tcW w:type="dxa" w:w="2800"/>
            <w:tcMar>
              <w:top w:type="dxa" w:w="80"/>
              <w:left w:type="dxa" w:w="120"/>
              <w:bottom w:type="dxa" w:w="80"/>
              <w:right w:type="dxa" w:w="120"/>
            </w:tcMar>
          </w:tcPr>
          <w:p>
            <w:r>
              <w:rPr>
                <w:b/>
                <w:bCs/>
                <w:color w:val="2E7D32"/>
              </w:rPr>
              <w:t xml:space="preserve">Stable</w:t>
            </w:r>
          </w:p>
        </w:tc>
      </w:tr>
      <w:tr>
        <w:tc>
          <w:tcPr>
            <w:tcW w:type="dxa" w:w="6560"/>
            <w:tcMar>
              <w:top w:type="dxa" w:w="80"/>
              <w:left w:type="dxa" w:w="120"/>
              <w:bottom w:type="dxa" w:w="80"/>
              <w:right w:type="dxa" w:w="120"/>
            </w:tcMar>
          </w:tcPr>
          <w:p>
            <w:r>
              <w:t xml:space="preserve">GTG ramp 100/80/60 MW</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9-cycle fault at POI – 65% / 100%</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Microgrid Modeling: </w:t>
      </w:r>
      <w:r>
        <w:t xml:space="preserve">Islanded operation with grid-forming BESS, GTG, and synchronous condenser in PSCAD</w:t>
      </w:r>
    </w:p>
    <w:p>
      <w:pPr>
        <w:pStyle w:val="ListParagraph"/>
        <w:numPr>
          <w:ilvl w:val="0"/>
          <w:numId w:val="2"/>
        </w:numPr>
      </w:pPr>
      <w:r>
        <w:rPr>
          <w:b/>
          <w:bCs/>
        </w:rPr>
        <w:t xml:space="preserve">Fault Analysis: </w:t>
      </w:r>
      <w:r>
        <w:t xml:space="preserve">Three-line-to-ground fault ride-through at multiple buses and load levels</w:t>
      </w:r>
    </w:p>
    <w:p>
      <w:pPr>
        <w:pStyle w:val="ListParagraph"/>
        <w:numPr>
          <w:ilvl w:val="0"/>
          <w:numId w:val="2"/>
        </w:numPr>
      </w:pPr>
      <w:r>
        <w:rPr>
          <w:b/>
          <w:bCs/>
        </w:rPr>
        <w:t xml:space="preserve">Stability Studies: </w:t>
      </w:r>
      <w:r>
        <w:t xml:space="preserve">Frequency and voltage stability under switching events and loss-of-generation scenarios</w:t>
      </w:r>
    </w:p>
    <w:p>
      <w:pPr>
        <w:pStyle w:val="ListParagraph"/>
        <w:numPr>
          <w:ilvl w:val="0"/>
          <w:numId w:val="2"/>
        </w:numPr>
      </w:pPr>
      <w:r>
        <w:rPr>
          <w:b/>
          <w:bCs/>
        </w:rPr>
        <w:t xml:space="preserve">Load-Following: </w:t>
      </w:r>
      <w:r>
        <w:t xml:space="preserve">Active power ramp testing and governor response verification</w:t>
      </w:r>
    </w:p>
    <w:p>
      <w:pPr>
        <w:pStyle w:val="ListParagraph"/>
        <w:numPr>
          <w:ilvl w:val="0"/>
          <w:numId w:val="2"/>
        </w:numPr>
      </w:pPr>
      <w:r>
        <w:rPr>
          <w:b/>
          <w:bCs/>
        </w:rPr>
        <w:t xml:space="preserve">Data Center Applications: </w:t>
      </w:r>
      <w:r>
        <w:t xml:space="preserve">Power reliability modeling for critical AI and compute infrastructure</w:t>
      </w:r>
    </w:p>
    <w:p/>
    <w:p>
      <w:pPr>
        <w:pStyle w:val="Heading2"/>
      </w:pPr>
      <w:r>
        <w:t xml:space="preserve">Deliverables</w:t>
      </w:r>
    </w:p>
    <w:p>
      <w:pPr>
        <w:pStyle w:val="ListParagraph"/>
        <w:numPr>
          <w:ilvl w:val="0"/>
          <w:numId w:val="2"/>
        </w:numPr>
      </w:pPr>
      <w:r>
        <w:t xml:space="preserve">Complete PSCAD microgrid model with GTG, grid-forming BESS, synchronous condenser, and variable load representation</w:t>
      </w:r>
    </w:p>
    <w:p>
      <w:pPr>
        <w:pStyle w:val="ListParagraph"/>
        <w:numPr>
          <w:ilvl w:val="0"/>
          <w:numId w:val="2"/>
        </w:numPr>
      </w:pPr>
      <w:r>
        <w:t xml:space="preserve">Simulation report with time-domain waveform plots for all 11 test scenarios across base case, fault, switching, and ramp conditions</w:t>
      </w:r>
    </w:p>
    <w:p>
      <w:pPr>
        <w:pStyle w:val="ListParagraph"/>
        <w:numPr>
          <w:ilvl w:val="0"/>
          <w:numId w:val="2"/>
        </w:numPr>
      </w:pPr>
      <w:r>
        <w:t xml:space="preserve">Overlay comparison plots for base case with and without synchronous condenser</w:t>
      </w:r>
    </w:p>
    <w:p>
      <w:pPr>
        <w:pStyle w:val="ListParagraph"/>
        <w:numPr>
          <w:ilvl w:val="0"/>
          <w:numId w:val="2"/>
        </w:numPr>
        <w:spacing w:after="240"/>
      </w:pPr>
      <w:r>
        <w:t xml:space="preserve">PSCAD model files and supporting data for client review and future studies</w:t>
      </w:r>
    </w:p>
    <w:p>
      <w:pPr>
        <w:pStyle w:val="Heading2"/>
      </w:pPr>
      <w:r>
        <w:t xml:space="preserve">Impact</w:t>
      </w:r>
    </w:p>
    <w:p>
      <w:pPr>
        <w:spacing w:after="240"/>
      </w:pPr>
      <w:r>
        <w:t xml:space="preserve">Provided Linxon with a validated electromagnetic transient model and simulation results covering the full range of operating and fault conditions for their Austin data center microgrid. The study confirmed system resilience under loss of generation, fault events, and heavy load ramps, supporting the design team's confidence in power reliability for critical data center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