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Synchronous Condenser</w:t>
      </w:r>
    </w:p>
    <w:p>
      <w:pPr>
        <w:spacing w:after="600"/>
        <w:jc w:val="center"/>
      </w:pPr>
      <w:r>
        <w:rPr>
          <w:color w:val="404040"/>
          <w:sz w:val="28"/>
          <w:szCs w:val="28"/>
        </w:rPr>
        <w:t xml:space="preserve">Benchmarking DIgSILENT PowerFactory to PSLF Dynamic Model Development</w:t>
      </w:r>
    </w:p>
    <w:p>
      <w:pPr>
        <w:pStyle w:val="Heading1"/>
      </w:pPr>
      <w:r>
        <w:t xml:space="preserve">Project Overview</w:t>
      </w:r>
    </w:p>
    <w:p>
      <w:pPr>
        <w:spacing w:after="240"/>
      </w:pPr>
      <w:r>
        <w:t xml:space="preserve">Led the development and validation of a 149 MVA synchronous condenser PSLF dynamic model for Linxon's El Rio Sol project by benchmarking against DIgSILENT PowerFactory reference models. This critical work enables grid interconnection compliance studies across ERCOT, PJM, and MISO regions for a 345 kV transmission system.</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Linxon</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El Rio Sol Synchronous Condenser</w:t>
            </w:r>
          </w:p>
        </w:tc>
      </w:tr>
      <w:tr>
        <w:tc>
          <w:tcPr>
            <w:tcW w:type="dxa" w:w="2800"/>
            <w:shd w:fill="D5E8F0" w:val="clear"/>
            <w:tcMar>
              <w:top w:type="dxa" w:w="80"/>
              <w:left w:type="dxa" w:w="120"/>
              <w:bottom w:type="dxa" w:w="80"/>
              <w:right w:type="dxa" w:w="120"/>
            </w:tcMar>
          </w:tcPr>
          <w:p>
            <w:r>
              <w:rPr>
                <w:b/>
                <w:bCs/>
              </w:rPr>
              <w:t xml:space="preserve">System Rating</w:t>
            </w:r>
          </w:p>
        </w:tc>
        <w:tc>
          <w:tcPr>
            <w:tcW w:type="dxa" w:w="6560"/>
            <w:tcMar>
              <w:top w:type="dxa" w:w="80"/>
              <w:left w:type="dxa" w:w="120"/>
              <w:bottom w:type="dxa" w:w="80"/>
              <w:right w:type="dxa" w:w="120"/>
            </w:tcMar>
          </w:tcPr>
          <w:p>
            <w:r>
              <w:t xml:space="preserve">149 MVA</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345 kV / 14.5 kV</w:t>
            </w:r>
          </w:p>
        </w:tc>
      </w:tr>
      <w:tr>
        <w:tc>
          <w:tcPr>
            <w:tcW w:type="dxa" w:w="2800"/>
            <w:shd w:fill="D5E8F0" w:val="clear"/>
            <w:tcMar>
              <w:top w:type="dxa" w:w="80"/>
              <w:left w:type="dxa" w:w="120"/>
              <w:bottom w:type="dxa" w:w="80"/>
              <w:right w:type="dxa" w:w="120"/>
            </w:tcMar>
          </w:tcPr>
          <w:p>
            <w:r>
              <w:rPr>
                <w:b/>
                <w:bCs/>
              </w:rPr>
              <w:t xml:space="preserve">Transformer</w:t>
            </w:r>
          </w:p>
        </w:tc>
        <w:tc>
          <w:tcPr>
            <w:tcW w:type="dxa" w:w="6560"/>
            <w:tcMar>
              <w:top w:type="dxa" w:w="80"/>
              <w:left w:type="dxa" w:w="120"/>
              <w:bottom w:type="dxa" w:w="80"/>
              <w:right w:type="dxa" w:w="120"/>
            </w:tcMar>
          </w:tcPr>
          <w:p>
            <w:r>
              <w:t xml:space="preserve">170 MVA with OLTC (±16×0.625%)</w:t>
            </w:r>
          </w:p>
        </w:tc>
      </w:tr>
      <w:tr>
        <w:tc>
          <w:tcPr>
            <w:tcW w:type="dxa" w:w="2800"/>
            <w:shd w:fill="D5E8F0" w:val="clear"/>
            <w:tcMar>
              <w:top w:type="dxa" w:w="80"/>
              <w:left w:type="dxa" w:w="120"/>
              <w:bottom w:type="dxa" w:w="80"/>
              <w:right w:type="dxa" w:w="120"/>
            </w:tcMar>
          </w:tcPr>
          <w:p>
            <w:r>
              <w:rPr>
                <w:b/>
                <w:bCs/>
              </w:rPr>
              <w:t xml:space="preserve">Duration</w:t>
            </w:r>
          </w:p>
        </w:tc>
        <w:tc>
          <w:tcPr>
            <w:tcW w:type="dxa" w:w="6560"/>
            <w:tcMar>
              <w:top w:type="dxa" w:w="80"/>
              <w:left w:type="dxa" w:w="120"/>
              <w:bottom w:type="dxa" w:w="80"/>
              <w:right w:type="dxa" w:w="120"/>
            </w:tcMar>
          </w:tcPr>
          <w:p>
            <w:r>
              <w:t xml:space="preserve">March 2026</w:t>
            </w:r>
          </w:p>
        </w:tc>
      </w:tr>
    </w:tbl>
    <w:p/>
    <w:p>
      <w:pPr>
        <w:pStyle w:val="Heading2"/>
      </w:pPr>
      <w:r>
        <w:t xml:space="preserve">Key Responsibilities</w:t>
      </w:r>
    </w:p>
    <w:p>
      <w:pPr>
        <w:pStyle w:val="ListParagraph"/>
        <w:numPr>
          <w:ilvl w:val="0"/>
          <w:numId w:val="2"/>
        </w:numPr>
      </w:pPr>
      <w:r>
        <w:t xml:space="preserve">Translated complex DIgSILENT PowerFactory dynamic models to PSLF v23 platform while maintaining model fidelity and control system accuracy</w:t>
      </w:r>
    </w:p>
    <w:p>
      <w:pPr>
        <w:pStyle w:val="ListParagraph"/>
        <w:numPr>
          <w:ilvl w:val="0"/>
          <w:numId w:val="2"/>
        </w:numPr>
      </w:pPr>
      <w:r>
        <w:t xml:space="preserve">Implemented IEEE 421.5-2016 compliant models including GENQEC generator representation, ESAC7C excitation system with AC rotating exciter, OEL2C overexcitation limiter with thermal tracking, and UEL2C underexcitation limiter with capability curve logic</w:t>
      </w:r>
    </w:p>
    <w:p>
      <w:pPr>
        <w:pStyle w:val="ListParagraph"/>
        <w:numPr>
          <w:ilvl w:val="0"/>
          <w:numId w:val="2"/>
        </w:numPr>
      </w:pPr>
      <w:r>
        <w:t xml:space="preserve">Designed and executed comprehensive benchmarking test suite covering flat start initialization, voltage reference step changes (±2%), and three-phase-to-ground fault scenarios</w:t>
      </w:r>
    </w:p>
    <w:p>
      <w:pPr>
        <w:pStyle w:val="ListParagraph"/>
        <w:numPr>
          <w:ilvl w:val="0"/>
          <w:numId w:val="2"/>
        </w:numPr>
      </w:pPr>
      <w:r>
        <w:t xml:space="preserve">Conducted detailed root cause analysis of platform-specific modeling differences affecting reactive power response during voltage regulation</w:t>
      </w:r>
    </w:p>
    <w:p>
      <w:pPr>
        <w:pStyle w:val="ListParagraph"/>
        <w:numPr>
          <w:ilvl w:val="0"/>
          <w:numId w:val="2"/>
        </w:numPr>
        <w:spacing w:after="240"/>
      </w:pPr>
      <w:r>
        <w:t xml:space="preserve">Generated V-Q capability curves spanning -88 to +165 MVAr with 15 validated operating points across 0.9–1.1 pu voltage range</w:t>
      </w:r>
    </w:p>
    <w:p>
      <w:pPr>
        <w:pStyle w:val="Heading2"/>
      </w:pPr>
      <w:r>
        <w:t xml:space="preserve">Technical Analysis &amp; Problem Solving</w:t>
      </w:r>
    </w:p>
    <w:p>
      <w:pPr>
        <w:spacing w:after="240"/>
      </w:pPr>
      <w:r>
        <w:t xml:space="preserve">Identified fundamental structural difference between PSLF ESAC7C and PowerFactory AC7C implementations in the KF3 stabilizing feedback path. The PSLF implementation places KF3 feedback inside the VRMAX saturation boundary, causing field voltage to settle at 2.50 pu versus PowerFactory's 1.65 pu during positive voltage reference steps. This resulted in reactive power differences (35 MVAr PSLF vs 40 MVAr PowerFactory) that I thoroughly documented and explained as platform-specific IEEE standard interpretations rather than parameter errors.</w:t>
      </w:r>
    </w:p>
    <w:p>
      <w:pPr>
        <w:pStyle w:val="Heading2"/>
      </w:pPr>
      <w:r>
        <w:t xml:space="preserve">Validation Results</w:t>
      </w:r>
    </w:p>
    <w:p>
      <w:pPr>
        <w:pStyle w:val="ListParagraph"/>
        <w:numPr>
          <w:ilvl w:val="0"/>
          <w:numId w:val="2"/>
        </w:numPr>
      </w:pPr>
      <w:r>
        <w:rPr>
          <w:b/>
          <w:bCs/>
        </w:rPr>
        <w:t xml:space="preserve">Initialization Test: </w:t>
      </w:r>
      <w:r>
        <w:t xml:space="preserve">Model achieved steady-state convergence with zero deviations</w:t>
      </w:r>
    </w:p>
    <w:p>
      <w:pPr>
        <w:pStyle w:val="ListParagraph"/>
        <w:numPr>
          <w:ilvl w:val="0"/>
          <w:numId w:val="2"/>
        </w:numPr>
      </w:pPr>
      <w:r>
        <w:rPr>
          <w:b/>
          <w:bCs/>
        </w:rPr>
        <w:t xml:space="preserve">Voltage Reference Test: </w:t>
      </w:r>
      <w:r>
        <w:t xml:space="preserve">Documented expected behavioral differences with detailed technical explanation</w:t>
      </w:r>
    </w:p>
    <w:p>
      <w:pPr>
        <w:pStyle w:val="ListParagraph"/>
        <w:numPr>
          <w:ilvl w:val="0"/>
          <w:numId w:val="2"/>
        </w:numPr>
      </w:pPr>
      <w:r>
        <w:rPr>
          <w:b/>
          <w:bCs/>
        </w:rPr>
        <w:t xml:space="preserve">Fault Response Test: </w:t>
      </w:r>
      <w:r>
        <w:t xml:space="preserve">Accurate reproduction of voltage support and reactive power injection during grid disturbances</w:t>
      </w:r>
    </w:p>
    <w:p>
      <w:pPr>
        <w:pStyle w:val="ListParagraph"/>
        <w:numPr>
          <w:ilvl w:val="0"/>
          <w:numId w:val="2"/>
        </w:numPr>
        <w:spacing w:after="240"/>
      </w:pPr>
      <w:r>
        <w:rPr>
          <w:b/>
          <w:bCs/>
        </w:rPr>
        <w:t xml:space="preserve">Model Acceptance: </w:t>
      </w:r>
      <w:r>
        <w:t xml:space="preserve">Client approved model for grid operator submission</w:t>
      </w:r>
    </w:p>
    <w:p>
      <w:pPr>
        <w:pStyle w:val="Heading2"/>
      </w:pPr>
      <w:r>
        <w:t xml:space="preserve">Technical Skills Demonstrated</w:t>
      </w:r>
    </w:p>
    <w:p>
      <w:pPr>
        <w:pStyle w:val="ListParagraph"/>
        <w:numPr>
          <w:ilvl w:val="0"/>
          <w:numId w:val="2"/>
        </w:numPr>
      </w:pPr>
      <w:r>
        <w:rPr>
          <w:b/>
          <w:bCs/>
        </w:rPr>
        <w:t xml:space="preserve">Software Platforms: </w:t>
      </w:r>
      <w:r>
        <w:t xml:space="preserve">PSLF v23, DIgSILENT PowerFactory</w:t>
      </w:r>
    </w:p>
    <w:p>
      <w:pPr>
        <w:pStyle w:val="ListParagraph"/>
        <w:numPr>
          <w:ilvl w:val="0"/>
          <w:numId w:val="2"/>
        </w:numPr>
      </w:pPr>
      <w:r>
        <w:rPr>
          <w:b/>
          <w:bCs/>
        </w:rPr>
        <w:t xml:space="preserve">Standards Compliance: </w:t>
      </w:r>
      <w:r>
        <w:t xml:space="preserve">IEEE 421.5-2016, NERC MOD standards</w:t>
      </w:r>
    </w:p>
    <w:p>
      <w:pPr>
        <w:pStyle w:val="ListParagraph"/>
        <w:numPr>
          <w:ilvl w:val="0"/>
          <w:numId w:val="2"/>
        </w:numPr>
      </w:pPr>
      <w:r>
        <w:rPr>
          <w:b/>
          <w:bCs/>
        </w:rPr>
        <w:t xml:space="preserve">Dynamic Modeling: </w:t>
      </w:r>
      <w:r>
        <w:t xml:space="preserve">Synchronous machine modeling, excitation systems, limiter coordination, saturation characteristics</w:t>
      </w:r>
    </w:p>
    <w:p>
      <w:pPr>
        <w:pStyle w:val="ListParagraph"/>
        <w:numPr>
          <w:ilvl w:val="0"/>
          <w:numId w:val="2"/>
        </w:numPr>
      </w:pPr>
      <w:r>
        <w:rPr>
          <w:b/>
          <w:bCs/>
        </w:rPr>
        <w:t xml:space="preserve">Control Systems: </w:t>
      </w:r>
      <w:r>
        <w:t xml:space="preserve">PI/PID regulators, lead-lag compensation, inverse-time characteristics, thermal modeling</w:t>
      </w:r>
    </w:p>
    <w:p>
      <w:pPr>
        <w:pStyle w:val="ListParagraph"/>
        <w:numPr>
          <w:ilvl w:val="0"/>
          <w:numId w:val="2"/>
        </w:numPr>
        <w:spacing w:after="240"/>
      </w:pPr>
      <w:r>
        <w:rPr>
          <w:b/>
          <w:bCs/>
        </w:rPr>
        <w:t xml:space="preserve">Analysis Methods: </w:t>
      </w:r>
      <w:r>
        <w:t xml:space="preserve">Time-domain simulation, model benchmarking, root cause analysis, parametric studies</w:t>
      </w:r>
    </w:p>
    <w:p>
      <w:pPr>
        <w:pStyle w:val="Heading2"/>
      </w:pPr>
      <w:r>
        <w:t xml:space="preserve">Deliverables</w:t>
      </w:r>
    </w:p>
    <w:p>
      <w:pPr>
        <w:pStyle w:val="ListParagraph"/>
        <w:numPr>
          <w:ilvl w:val="0"/>
          <w:numId w:val="2"/>
        </w:numPr>
      </w:pPr>
      <w:r>
        <w:t xml:space="preserve">Complete PSLF dynamic model with verified initialization</w:t>
      </w:r>
    </w:p>
    <w:p>
      <w:pPr>
        <w:pStyle w:val="ListParagraph"/>
        <w:numPr>
          <w:ilvl w:val="0"/>
          <w:numId w:val="2"/>
        </w:numPr>
      </w:pPr>
      <w:r>
        <w:t xml:space="preserve">35-page technical report including executive summary, model description, benchmarking results, and parameter appendices</w:t>
      </w:r>
    </w:p>
    <w:p>
      <w:pPr>
        <w:pStyle w:val="ListParagraph"/>
        <w:numPr>
          <w:ilvl w:val="0"/>
          <w:numId w:val="2"/>
        </w:numPr>
      </w:pPr>
      <w:r>
        <w:t xml:space="preserve">Block diagrams for all control systems (GENQEC, ESAC7C, OEL2C, UEL2C)</w:t>
      </w:r>
    </w:p>
    <w:p>
      <w:pPr>
        <w:pStyle w:val="ListParagraph"/>
        <w:numPr>
          <w:ilvl w:val="0"/>
          <w:numId w:val="2"/>
        </w:numPr>
      </w:pPr>
      <w:r>
        <w:t xml:space="preserve">Comprehensive parameter tables with EPCL variable mapping</w:t>
      </w:r>
    </w:p>
    <w:p>
      <w:pPr>
        <w:pStyle w:val="ListParagraph"/>
        <w:numPr>
          <w:ilvl w:val="0"/>
          <w:numId w:val="2"/>
        </w:numPr>
      </w:pPr>
      <w:r>
        <w:t xml:space="preserve">V-Q capability curve with operating point validation</w:t>
      </w:r>
    </w:p>
    <w:p>
      <w:pPr>
        <w:pStyle w:val="ListParagraph"/>
        <w:numPr>
          <w:ilvl w:val="0"/>
          <w:numId w:val="2"/>
        </w:numPr>
        <w:spacing w:after="240"/>
      </w:pPr>
      <w:r>
        <w:t xml:space="preserve">Model files ready for utility submission</w:t>
      </w:r>
    </w:p>
    <w:p>
      <w:pPr>
        <w:pStyle w:val="Heading2"/>
      </w:pPr>
      <w:r>
        <w:t xml:space="preserve">Impact</w:t>
      </w:r>
    </w:p>
    <w:p>
      <w:r>
        <w:t xml:space="preserve">Enabled Linxon to meet grid operator requirements for dynamic model submission, supporting the interconnection approval process for critical grid stability equipment. The thorough benchmarking and documentation provides confidence to system operators regarding model accuracy for planning studies.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2026-04-27T10:41:55.607Z</dcterms:created>
  <dcterms:modified xsi:type="dcterms:W3CDTF">2026-04-27T10:41:55.608Z</dcterms:modified>
</cp:coreProperties>
</file>

<file path=docProps/custom.xml><?xml version="1.0" encoding="utf-8"?>
<Properties xmlns="http://schemas.openxmlformats.org/officeDocument/2006/custom-properties" xmlns:vt="http://schemas.openxmlformats.org/officeDocument/2006/docPropsVTypes"/>
</file>