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36"/>
          <w:szCs w:val="36"/>
        </w:rPr>
        <w:t xml:space="preserve">Tonopash Sands Energy Center Project</w:t>
      </w:r>
    </w:p>
    <w:p>
      <w:pPr>
        <w:spacing w:after="600"/>
        <w:jc w:val="center"/>
      </w:pPr>
      <w:r>
        <w:rPr>
          <w:color w:val="404040"/>
          <w:sz w:val="28"/>
          <w:szCs w:val="28"/>
        </w:rPr>
        <w:t xml:space="preserve">PSCAD Dynamic Model Quality Testing</w:t>
      </w:r>
    </w:p>
    <w:p>
      <w:pPr>
        <w:pStyle w:val="Heading1"/>
      </w:pPr>
      <w:r>
        <w:t xml:space="preserve">Project Overview</w:t>
      </w:r>
    </w:p>
    <w:p>
      <w:pPr>
        <w:spacing w:after="240"/>
      </w:pPr>
      <w:r>
        <w:t xml:space="preserve">Performed PSCAD model dynamic compliance testing for Invenergy's 729.0871 MW Tonopash Sands Energy Center project to validate compliance with Unity grid operator requirements. The system consists of two synchronous machines connected through two main power transformers to the APS Delaney-Sun Valley 500 kV Substation via a 9-mile transmission line.</w:t>
      </w:r>
    </w:p>
    <w:p>
      <w:pPr>
        <w:pStyle w:val="Heading2"/>
      </w:pPr>
      <w:r>
        <w:t xml:space="preserve">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D5E8F0" w:val="clear"/>
            <w:tcMar>
              <w:top w:type="dxa" w:w="80"/>
              <w:left w:type="dxa" w:w="120"/>
              <w:bottom w:type="dxa" w:w="80"/>
              <w:right w:type="dxa" w:w="120"/>
            </w:tcMar>
          </w:tcPr>
          <w:p>
            <w:r>
              <w:rPr>
                <w:b/>
                <w:bCs/>
              </w:rPr>
              <w:t xml:space="preserve">Client</w:t>
            </w:r>
          </w:p>
        </w:tc>
        <w:tc>
          <w:tcPr>
            <w:tcW w:type="dxa" w:w="6560"/>
            <w:tcMar>
              <w:top w:type="dxa" w:w="80"/>
              <w:left w:type="dxa" w:w="120"/>
              <w:bottom w:type="dxa" w:w="80"/>
              <w:right w:type="dxa" w:w="120"/>
            </w:tcMar>
          </w:tcPr>
          <w:p>
            <w:r>
              <w:t xml:space="preserve">Invenergy</w:t>
            </w:r>
          </w:p>
        </w:tc>
      </w:tr>
      <w:tr>
        <w:tc>
          <w:tcPr>
            <w:tcW w:type="dxa" w:w="2800"/>
            <w:shd w:fill="D5E8F0" w:val="clear"/>
            <w:tcMar>
              <w:top w:type="dxa" w:w="80"/>
              <w:left w:type="dxa" w:w="120"/>
              <w:bottom w:type="dxa" w:w="80"/>
              <w:right w:type="dxa" w:w="120"/>
            </w:tcMar>
          </w:tcPr>
          <w:p>
            <w:r>
              <w:rPr>
                <w:b/>
                <w:bCs/>
              </w:rPr>
              <w:t xml:space="preserve">Project</w:t>
            </w:r>
          </w:p>
        </w:tc>
        <w:tc>
          <w:tcPr>
            <w:tcW w:type="dxa" w:w="6560"/>
            <w:tcMar>
              <w:top w:type="dxa" w:w="80"/>
              <w:left w:type="dxa" w:w="120"/>
              <w:bottom w:type="dxa" w:w="80"/>
              <w:right w:type="dxa" w:w="120"/>
            </w:tcMar>
          </w:tcPr>
          <w:p>
            <w:r>
              <w:t xml:space="preserve">Tonopash Sands Energy Center</w:t>
            </w:r>
          </w:p>
        </w:tc>
      </w:tr>
      <w:tr>
        <w:tc>
          <w:tcPr>
            <w:tcW w:type="dxa" w:w="2800"/>
            <w:shd w:fill="D5E8F0" w:val="clear"/>
            <w:tcMar>
              <w:top w:type="dxa" w:w="80"/>
              <w:left w:type="dxa" w:w="120"/>
              <w:bottom w:type="dxa" w:w="80"/>
              <w:right w:type="dxa" w:w="120"/>
            </w:tcMar>
          </w:tcPr>
          <w:p>
            <w:r>
              <w:rPr>
                <w:b/>
                <w:bCs/>
              </w:rPr>
              <w:t xml:space="preserve">System Capacity</w:t>
            </w:r>
          </w:p>
        </w:tc>
        <w:tc>
          <w:tcPr>
            <w:tcW w:type="dxa" w:w="6560"/>
            <w:tcMar>
              <w:top w:type="dxa" w:w="80"/>
              <w:left w:type="dxa" w:w="120"/>
              <w:bottom w:type="dxa" w:w="80"/>
              <w:right w:type="dxa" w:w="120"/>
            </w:tcMar>
          </w:tcPr>
          <w:p>
            <w:r>
              <w:t xml:space="preserve">729.0871 MW (2 synchronous machines)</w:t>
            </w:r>
          </w:p>
        </w:tc>
      </w:tr>
      <w:tr>
        <w:tc>
          <w:tcPr>
            <w:tcW w:type="dxa" w:w="2800"/>
            <w:shd w:fill="D5E8F0" w:val="clear"/>
            <w:tcMar>
              <w:top w:type="dxa" w:w="80"/>
              <w:left w:type="dxa" w:w="120"/>
              <w:bottom w:type="dxa" w:w="80"/>
              <w:right w:type="dxa" w:w="120"/>
            </w:tcMar>
          </w:tcPr>
          <w:p>
            <w:r>
              <w:rPr>
                <w:b/>
                <w:bCs/>
              </w:rPr>
              <w:t xml:space="preserve">Voltage Level</w:t>
            </w:r>
          </w:p>
        </w:tc>
        <w:tc>
          <w:tcPr>
            <w:tcW w:type="dxa" w:w="6560"/>
            <w:tcMar>
              <w:top w:type="dxa" w:w="80"/>
              <w:left w:type="dxa" w:w="120"/>
              <w:bottom w:type="dxa" w:w="80"/>
              <w:right w:type="dxa" w:w="120"/>
            </w:tcMar>
          </w:tcPr>
          <w:p>
            <w:r>
              <w:t xml:space="preserve">500 kV (APS Delaney-Sun Valley Substation)</w:t>
            </w:r>
          </w:p>
        </w:tc>
      </w:tr>
      <w:tr>
        <w:tc>
          <w:tcPr>
            <w:tcW w:type="dxa" w:w="2800"/>
            <w:shd w:fill="D5E8F0" w:val="clear"/>
            <w:tcMar>
              <w:top w:type="dxa" w:w="80"/>
              <w:left w:type="dxa" w:w="120"/>
              <w:bottom w:type="dxa" w:w="80"/>
              <w:right w:type="dxa" w:w="120"/>
            </w:tcMar>
          </w:tcPr>
          <w:p>
            <w:r>
              <w:rPr>
                <w:b/>
                <w:bCs/>
              </w:rPr>
              <w:t xml:space="preserve">Transmission Line</w:t>
            </w:r>
          </w:p>
        </w:tc>
        <w:tc>
          <w:tcPr>
            <w:tcW w:type="dxa" w:w="6560"/>
            <w:tcMar>
              <w:top w:type="dxa" w:w="80"/>
              <w:left w:type="dxa" w:w="120"/>
              <w:bottom w:type="dxa" w:w="80"/>
              <w:right w:type="dxa" w:w="120"/>
            </w:tcMar>
          </w:tcPr>
          <w:p>
            <w:r>
              <w:t xml:space="preserve">9-mile (47,520 ft) overhead line</w:t>
            </w:r>
          </w:p>
        </w:tc>
      </w:tr>
      <w:tr>
        <w:tc>
          <w:tcPr>
            <w:tcW w:type="dxa" w:w="2800"/>
            <w:shd w:fill="D5E8F0" w:val="clear"/>
            <w:tcMar>
              <w:top w:type="dxa" w:w="80"/>
              <w:left w:type="dxa" w:w="120"/>
              <w:bottom w:type="dxa" w:w="80"/>
              <w:right w:type="dxa" w:w="120"/>
            </w:tcMar>
          </w:tcPr>
          <w:p>
            <w:r>
              <w:rPr>
                <w:b/>
                <w:bCs/>
              </w:rPr>
              <w:t xml:space="preserve">Date</w:t>
            </w:r>
          </w:p>
        </w:tc>
        <w:tc>
          <w:tcPr>
            <w:tcW w:type="dxa" w:w="6560"/>
            <w:tcMar>
              <w:top w:type="dxa" w:w="80"/>
              <w:left w:type="dxa" w:w="120"/>
              <w:bottom w:type="dxa" w:w="80"/>
              <w:right w:type="dxa" w:w="120"/>
            </w:tcMar>
          </w:tcPr>
          <w:p>
            <w:r>
              <w:t xml:space="preserve">April 2026</w:t>
            </w:r>
          </w:p>
        </w:tc>
      </w:tr>
      <w:tr>
        <w:tc>
          <w:tcPr>
            <w:tcW w:type="dxa" w:w="2800"/>
            <w:shd w:fill="D5E8F0" w:val="clear"/>
            <w:tcMar>
              <w:top w:type="dxa" w:w="80"/>
              <w:left w:type="dxa" w:w="120"/>
              <w:bottom w:type="dxa" w:w="80"/>
              <w:right w:type="dxa" w:w="120"/>
            </w:tcMar>
          </w:tcPr>
          <w:p>
            <w:r>
              <w:rPr>
                <w:b/>
                <w:bCs/>
              </w:rPr>
              <w:t xml:space="preserve">Software</w:t>
            </w:r>
          </w:p>
        </w:tc>
        <w:tc>
          <w:tcPr>
            <w:tcW w:type="dxa" w:w="6560"/>
            <w:tcMar>
              <w:top w:type="dxa" w:w="80"/>
              <w:left w:type="dxa" w:w="120"/>
              <w:bottom w:type="dxa" w:w="80"/>
              <w:right w:type="dxa" w:w="120"/>
            </w:tcMar>
          </w:tcPr>
          <w:p>
            <w:r>
              <w:t xml:space="preserve">PSCAD v5.0.2</w:t>
            </w:r>
          </w:p>
        </w:tc>
      </w:tr>
    </w:tbl>
    <w:p/>
    <w:p>
      <w:pPr>
        <w:pStyle w:val="Heading2"/>
      </w:pPr>
      <w:r>
        <w:t xml:space="preserve">Key Responsibilities</w:t>
      </w:r>
    </w:p>
    <w:p>
      <w:pPr>
        <w:pStyle w:val="ListParagraph"/>
        <w:numPr>
          <w:ilvl w:val="0"/>
          <w:numId w:val="2"/>
        </w:numPr>
      </w:pPr>
      <w:r>
        <w:t xml:space="preserve">Built equivalent PSCAD model for two synchronous machines, two three-winding main power transformers (MPTs), and a 9-mile 500 kV overhead line to the APS Delaney-Sun Valley Substation</w:t>
      </w:r>
    </w:p>
    <w:p>
      <w:pPr>
        <w:pStyle w:val="ListParagraph"/>
        <w:numPr>
          <w:ilvl w:val="0"/>
          <w:numId w:val="2"/>
        </w:numPr>
      </w:pPr>
      <w:r>
        <w:t xml:space="preserve">Implemented IEEE standard dynamic models provided by the manufacturer: GENROU generator, ESST4B excitation system, PSS2B power system stabilizer, and GGOV1 governor</w:t>
      </w:r>
    </w:p>
    <w:p>
      <w:pPr>
        <w:pStyle w:val="ListParagraph"/>
        <w:numPr>
          <w:ilvl w:val="0"/>
          <w:numId w:val="2"/>
        </w:numPr>
      </w:pPr>
      <w:r>
        <w:t xml:space="preserve">Executed five MQT scenarios per Unity requirements: Flat Start, Bump Test, Exciter Voltage Reference Tests with and without PSS, and Governor Reference Test</w:t>
      </w:r>
    </w:p>
    <w:p>
      <w:pPr>
        <w:pStyle w:val="ListParagraph"/>
        <w:numPr>
          <w:ilvl w:val="0"/>
          <w:numId w:val="2"/>
        </w:numPr>
      </w:pPr>
      <w:r>
        <w:t xml:space="preserve">Tuned PSCAD model parameters to match as-built field system data for accurate representation of generator dynamics at 500 kV</w:t>
      </w:r>
    </w:p>
    <w:p>
      <w:pPr>
        <w:pStyle w:val="ListParagraph"/>
        <w:numPr>
          <w:ilvl w:val="0"/>
          <w:numId w:val="2"/>
        </w:numPr>
        <w:spacing w:after="240"/>
      </w:pPr>
      <w:r>
        <w:t xml:space="preserve">Validated active power, reactive power, and voltage responses at POI and individual generator terminals</w:t>
      </w:r>
    </w:p>
    <w:p>
      <w:pPr>
        <w:pStyle w:val="Heading2"/>
      </w:pPr>
      <w:r>
        <w:t xml:space="preserve">Technical Analysis</w:t>
      </w:r>
    </w:p>
    <w:p>
      <w:pPr>
        <w:spacing w:after="240"/>
      </w:pPr>
      <w:r>
        <w:t xml:space="preserve">All five MQT scenarios confirmed compliance. The Flat Start Test showed clean initialization with no deviations for both machines. The Bump Test verified fault ride-through with both machines maintaining synchronism through the 6-cycle three-phase fault. Voltage reference step tests at plus and minus 3 percent confirmed responsive excitation with effective PSS damping. Governor reference testing showed smooth, non-oscillatory active power response from both machines, confirming the model is ready for Unity submission.</w:t>
      </w:r>
    </w:p>
    <w:p>
      <w:pPr>
        <w:pStyle w:val="Heading2"/>
      </w:pPr>
      <w:r>
        <w:t xml:space="preserve">System Configuration</w:t>
      </w:r>
    </w:p>
    <w:p>
      <w:pPr>
        <w:pStyle w:val="ListParagraph"/>
        <w:numPr>
          <w:ilvl w:val="0"/>
          <w:numId w:val="2"/>
        </w:numPr>
      </w:pPr>
      <w:r>
        <w:rPr>
          <w:b/>
          <w:bCs/>
        </w:rPr>
        <w:t xml:space="preserve">Generators: </w:t>
      </w:r>
      <w:r>
        <w:t xml:space="preserve">Two synchronous machines with full IEEE dynamic models (GENROU, ESST4B, PSS2B, GGOV1)</w:t>
      </w:r>
    </w:p>
    <w:p>
      <w:pPr>
        <w:pStyle w:val="ListParagraph"/>
        <w:numPr>
          <w:ilvl w:val="0"/>
          <w:numId w:val="2"/>
        </w:numPr>
      </w:pPr>
      <w:r>
        <w:rPr>
          <w:b/>
          <w:bCs/>
        </w:rPr>
        <w:t xml:space="preserve">Main Power Transformers: </w:t>
      </w:r>
      <w:r>
        <w:t xml:space="preserve">Two three-winding MPTs with corresponding impedances and ratings</w:t>
      </w:r>
    </w:p>
    <w:p>
      <w:pPr>
        <w:pStyle w:val="ListParagraph"/>
        <w:numPr>
          <w:ilvl w:val="0"/>
          <w:numId w:val="2"/>
        </w:numPr>
      </w:pPr>
      <w:r>
        <w:rPr>
          <w:b/>
          <w:bCs/>
        </w:rPr>
        <w:t xml:space="preserve">Transmission Line: </w:t>
      </w:r>
      <w:r>
        <w:t xml:space="preserve">9-mile 500 kV overhead line to APS Delaney-Sun Valley Substation</w:t>
      </w:r>
    </w:p>
    <w:p>
      <w:pPr>
        <w:pStyle w:val="ListParagraph"/>
        <w:numPr>
          <w:ilvl w:val="0"/>
          <w:numId w:val="2"/>
        </w:numPr>
      </w:pPr>
      <w:r>
        <w:rPr>
          <w:b/>
          <w:bCs/>
        </w:rPr>
        <w:t xml:space="preserve">Utility Source: </w:t>
      </w:r>
      <w:r>
        <w:t xml:space="preserve">Generic gencls voltage source at 500 kV with Unity-defined short-circuit MVA</w:t>
      </w:r>
    </w:p>
    <w:p>
      <w:pPr>
        <w:pStyle w:val="ListParagraph"/>
        <w:numPr>
          <w:ilvl w:val="0"/>
          <w:numId w:val="2"/>
        </w:numPr>
      </w:pPr>
      <w:r>
        <w:rPr>
          <w:b/>
          <w:bCs/>
        </w:rPr>
        <w:t xml:space="preserve">Control Systems: </w:t>
      </w:r>
      <w:r>
        <w:t xml:space="preserve">Full dynamic representation including voltage regulation, power system stabilization, and frequency control</w:t>
      </w:r>
    </w:p>
    <w:p/>
    <w:p>
      <w:pPr>
        <w:pStyle w:val="Heading2"/>
      </w:pPr>
      <w:r>
        <w:t xml:space="preserve">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shd w:fill="D5E8F0" w:val="clear"/>
            <w:tcMar>
              <w:top w:type="dxa" w:w="80"/>
              <w:left w:type="dxa" w:w="120"/>
              <w:bottom w:type="dxa" w:w="80"/>
              <w:right w:type="dxa" w:w="120"/>
            </w:tcMar>
          </w:tcPr>
          <w:p>
            <w:r>
              <w:rPr>
                <w:b/>
                <w:bCs/>
              </w:rPr>
              <w:t xml:space="preserve">Test Case</w:t>
            </w:r>
          </w:p>
        </w:tc>
        <w:tc>
          <w:tcPr>
            <w:tcW w:type="dxa" w:w="2800"/>
            <w:shd w:fill="D5E8F0" w:val="clear"/>
            <w:tcMar>
              <w:top w:type="dxa" w:w="80"/>
              <w:left w:type="dxa" w:w="120"/>
              <w:bottom w:type="dxa" w:w="80"/>
              <w:right w:type="dxa" w:w="120"/>
            </w:tcMar>
          </w:tcPr>
          <w:p>
            <w:r>
              <w:rPr>
                <w:b/>
                <w:bCs/>
              </w:rPr>
              <w:t xml:space="preserve">Result</w:t>
            </w:r>
          </w:p>
        </w:tc>
      </w:tr>
      <w:tr>
        <w:tc>
          <w:tcPr>
            <w:tcW w:type="dxa" w:w="6560"/>
            <w:tcMar>
              <w:top w:type="dxa" w:w="80"/>
              <w:left w:type="dxa" w:w="120"/>
              <w:bottom w:type="dxa" w:w="80"/>
              <w:right w:type="dxa" w:w="120"/>
            </w:tcMar>
          </w:tcPr>
          <w:p>
            <w:r>
              <w:t xml:space="preserve">Flat Start Test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Bump Test (Three-Phase Fault)</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Exciter Voltage Reference Test (Without PSS)</w:t>
            </w:r>
          </w:p>
        </w:tc>
        <w:tc>
          <w:tcPr>
            <w:tcW w:type="dxa" w:w="2800"/>
            <w:tcMar>
              <w:top w:type="dxa" w:w="80"/>
              <w:left w:type="dxa" w:w="120"/>
              <w:bottom w:type="dxa" w:w="80"/>
              <w:right w:type="dxa" w:w="120"/>
            </w:tcMar>
          </w:tcPr>
          <w:p>
            <w:r>
              <w:rPr>
                <w:b/>
                <w:bCs/>
                <w:color w:val="2E7D32"/>
              </w:rPr>
              <w:t xml:space="preserve">Pass</w:t>
            </w:r>
          </w:p>
        </w:tc>
      </w:tr>
      <w:tr>
        <w:tc>
          <w:tcPr>
            <w:tcW w:type="dxa" w:w="6560"/>
            <w:tcMar>
              <w:top w:type="dxa" w:w="80"/>
              <w:left w:type="dxa" w:w="120"/>
              <w:bottom w:type="dxa" w:w="80"/>
              <w:right w:type="dxa" w:w="120"/>
            </w:tcMar>
          </w:tcPr>
          <w:p>
            <w:r>
              <w:t xml:space="preserve">Governor Reference Test</w:t>
            </w:r>
          </w:p>
        </w:tc>
        <w:tc>
          <w:tcPr>
            <w:tcW w:type="dxa" w:w="2800"/>
            <w:tcMar>
              <w:top w:type="dxa" w:w="80"/>
              <w:left w:type="dxa" w:w="120"/>
              <w:bottom w:type="dxa" w:w="80"/>
              <w:right w:type="dxa" w:w="120"/>
            </w:tcMar>
          </w:tcPr>
          <w:p>
            <w:r>
              <w:rPr>
                <w:b/>
                <w:bCs/>
                <w:color w:val="2E7D32"/>
              </w:rPr>
              <w:t xml:space="preserve">Pass</w:t>
            </w:r>
          </w:p>
        </w:tc>
      </w:tr>
    </w:tbl>
    <w:p/>
    <w:p>
      <w:pPr>
        <w:pStyle w:val="Heading2"/>
      </w:pPr>
      <w:r>
        <w:t xml:space="preserve">Technical Skills Demonstrated</w:t>
      </w:r>
    </w:p>
    <w:p>
      <w:pPr>
        <w:pStyle w:val="ListParagraph"/>
        <w:numPr>
          <w:ilvl w:val="0"/>
          <w:numId w:val="2"/>
        </w:numPr>
      </w:pPr>
      <w:r>
        <w:rPr>
          <w:b/>
          <w:bCs/>
        </w:rPr>
        <w:t xml:space="preserve">EMT Simulation: </w:t>
      </w:r>
      <w:r>
        <w:t xml:space="preserve">PSCAD modeling for dual-unit synchronous generator systems at 500 kV</w:t>
      </w:r>
    </w:p>
    <w:p>
      <w:pPr>
        <w:pStyle w:val="ListParagraph"/>
        <w:numPr>
          <w:ilvl w:val="0"/>
          <w:numId w:val="2"/>
        </w:numPr>
      </w:pPr>
      <w:r>
        <w:rPr>
          <w:b/>
          <w:bCs/>
        </w:rPr>
        <w:t xml:space="preserve">Dynamic Models: </w:t>
      </w:r>
      <w:r>
        <w:t xml:space="preserve">GENROU, ESST4B, PSS2B, GGOV1 per IEEE standards</w:t>
      </w:r>
    </w:p>
    <w:p>
      <w:pPr>
        <w:pStyle w:val="ListParagraph"/>
        <w:numPr>
          <w:ilvl w:val="0"/>
          <w:numId w:val="2"/>
        </w:numPr>
      </w:pPr>
      <w:r>
        <w:rPr>
          <w:b/>
          <w:bCs/>
        </w:rPr>
        <w:t xml:space="preserve">Grid Compliance: </w:t>
      </w:r>
      <w:r>
        <w:t xml:space="preserve">Unity requirements for 500 kV interconnection with APS</w:t>
      </w:r>
    </w:p>
    <w:p>
      <w:pPr>
        <w:pStyle w:val="ListParagraph"/>
        <w:numPr>
          <w:ilvl w:val="0"/>
          <w:numId w:val="2"/>
        </w:numPr>
      </w:pPr>
      <w:r>
        <w:rPr>
          <w:b/>
          <w:bCs/>
        </w:rPr>
        <w:t xml:space="preserve">Multi-Machine Modeling: </w:t>
      </w:r>
      <w:r>
        <w:t xml:space="preserve">Two-generator system with shared 500 kV bus and individual MPTs</w:t>
      </w:r>
    </w:p>
    <w:p>
      <w:pPr>
        <w:pStyle w:val="ListParagraph"/>
        <w:numPr>
          <w:ilvl w:val="0"/>
          <w:numId w:val="2"/>
        </w:numPr>
      </w:pPr>
      <w:r>
        <w:rPr>
          <w:b/>
          <w:bCs/>
        </w:rPr>
        <w:t xml:space="preserve">Testing Standards: </w:t>
      </w:r>
      <w:r>
        <w:t xml:space="preserve">Model quality testing per utility specifications</w:t>
      </w:r>
    </w:p>
    <w:p/>
    <w:p>
      <w:pPr>
        <w:pStyle w:val="Heading2"/>
      </w:pPr>
      <w:r>
        <w:t xml:space="preserve">Deliverables</w:t>
      </w:r>
    </w:p>
    <w:p>
      <w:pPr>
        <w:pStyle w:val="ListParagraph"/>
        <w:numPr>
          <w:ilvl w:val="0"/>
          <w:numId w:val="2"/>
        </w:numPr>
      </w:pPr>
      <w:r>
        <w:t xml:space="preserve">Complete PSCAD dynamic model for Tonopash Sands with validated initialization for both generators</w:t>
      </w:r>
    </w:p>
    <w:p>
      <w:pPr>
        <w:pStyle w:val="ListParagraph"/>
        <w:numPr>
          <w:ilvl w:val="0"/>
          <w:numId w:val="2"/>
        </w:numPr>
      </w:pPr>
      <w:r>
        <w:t xml:space="preserve">PSCAD Dynamic Simulation Test Report documenting methodology, assumptions, test procedures, and results</w:t>
      </w:r>
    </w:p>
    <w:p>
      <w:pPr>
        <w:pStyle w:val="ListParagraph"/>
        <w:numPr>
          <w:ilvl w:val="0"/>
          <w:numId w:val="2"/>
        </w:numPr>
      </w:pPr>
      <w:r>
        <w:t xml:space="preserve">Time-domain waveform plots for all five test scenarios at POI and each generator terminal</w:t>
      </w:r>
    </w:p>
    <w:p>
      <w:pPr>
        <w:pStyle w:val="ListParagraph"/>
        <w:numPr>
          <w:ilvl w:val="0"/>
          <w:numId w:val="2"/>
        </w:numPr>
        <w:spacing w:after="240"/>
      </w:pPr>
      <w:r>
        <w:t xml:space="preserve">PSCAD model files ready for Unity submission and interconnection studies</w:t>
      </w:r>
    </w:p>
    <w:p>
      <w:pPr>
        <w:pStyle w:val="Heading2"/>
      </w:pPr>
      <w:r>
        <w:t xml:space="preserve">Impact</w:t>
      </w:r>
    </w:p>
    <w:p>
      <w:pPr>
        <w:spacing w:after="240"/>
      </w:pPr>
      <w:r>
        <w:t xml:space="preserve">Confirmed full compliance with Unity requirements for the 729.0871 MW Tonopash Sands Energy Center. All five MQT scenarios passed, enabling Invenergy to proceed with interconnection approval at the APS Delaney-Sun Valley 500 kV Substation.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2026-04-27T11:14:15.755Z</dcterms:created>
  <dcterms:modified xsi:type="dcterms:W3CDTF">2026-04-27T11:14:15.756Z</dcterms:modified>
</cp:coreProperties>
</file>

<file path=docProps/custom.xml><?xml version="1.0" encoding="utf-8"?>
<Properties xmlns="http://schemas.openxmlformats.org/officeDocument/2006/custom-properties" xmlns:vt="http://schemas.openxmlformats.org/officeDocument/2006/docPropsVTypes"/>
</file>