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i/>
          <w:sz w:val="24"/>
          <w:szCs w:val="24"/>
        </w:rPr>
      </w:pPr>
      <w:r>
        <w:rPr>
          <w:rFonts w:hint="default" w:ascii="Times New Roman" w:hAnsi="Times New Roman" w:eastAsia="Times New Roman" w:cs="Times New Roman"/>
          <w:b/>
          <w:i w:val="0"/>
          <w:iCs/>
          <w:sz w:val="24"/>
          <w:szCs w:val="24"/>
          <w:lang w:val="en-US"/>
        </w:rPr>
        <w:t xml:space="preserve">Analysis of Genetic Variation of the Voltage-Gated Sodium Chanel Gene Sequence in </w:t>
      </w:r>
      <w:r>
        <w:rPr>
          <w:rFonts w:hint="default" w:ascii="Times New Roman" w:hAnsi="Times New Roman" w:eastAsia="Times New Roman" w:cs="Times New Roman"/>
          <w:b/>
          <w:i/>
          <w:iCs w:val="0"/>
          <w:sz w:val="24"/>
          <w:szCs w:val="24"/>
          <w:lang w:val="en-US"/>
        </w:rPr>
        <w:t xml:space="preserve">Aedes aegypti </w:t>
      </w:r>
      <w:r>
        <w:rPr>
          <w:rFonts w:hint="default" w:ascii="Times New Roman" w:hAnsi="Times New Roman" w:eastAsia="Times New Roman" w:cs="Times New Roman"/>
          <w:b/>
          <w:i w:val="0"/>
          <w:iCs/>
          <w:sz w:val="24"/>
          <w:szCs w:val="24"/>
          <w:lang w:val="en-US"/>
        </w:rPr>
        <w:t>NCBI PopSet (2325355280) Using In Silico RFLP</w:t>
      </w:r>
    </w:p>
    <w:p>
      <w:pPr>
        <w:spacing w:line="276" w:lineRule="auto"/>
        <w:rPr>
          <w:rFonts w:ascii="Times New Roman" w:hAnsi="Times New Roman" w:eastAsia="Times New Roman" w:cs="Times New Roman"/>
          <w:b/>
        </w:rPr>
      </w:pPr>
    </w:p>
    <w:p>
      <w:pPr>
        <w:spacing w:line="276" w:lineRule="auto"/>
        <w:jc w:val="center"/>
        <w:rPr>
          <w:rFonts w:ascii="Times New Roman" w:hAnsi="Times New Roman" w:eastAsia="Times New Roman" w:cs="Times New Roman"/>
          <w:vertAlign w:val="superscript"/>
        </w:rPr>
      </w:pPr>
      <w:r>
        <w:rPr>
          <w:rFonts w:hint="default" w:ascii="Times New Roman" w:hAnsi="Times New Roman" w:eastAsia="Times New Roman" w:cs="Times New Roman"/>
          <w:lang w:val="en-US"/>
        </w:rPr>
        <w:t>Hafizhah Putrizalda</w:t>
      </w:r>
      <w:r>
        <w:rPr>
          <w:rFonts w:ascii="Times New Roman" w:hAnsi="Times New Roman" w:eastAsia="Times New Roman" w:cs="Times New Roman"/>
          <w:vertAlign w:val="superscript"/>
        </w:rPr>
        <w:t>1)</w:t>
      </w:r>
      <w:r>
        <w:rPr>
          <w:rFonts w:ascii="Times New Roman" w:hAnsi="Times New Roman" w:eastAsia="Times New Roman" w:cs="Times New Roman"/>
        </w:rPr>
        <w:t>, Afifatul Achyar</w:t>
      </w:r>
      <w:r>
        <w:rPr>
          <w:rFonts w:ascii="Times New Roman" w:hAnsi="Times New Roman" w:eastAsia="Times New Roman" w:cs="Times New Roman"/>
          <w:vertAlign w:val="superscript"/>
        </w:rPr>
        <w:t>2)</w:t>
      </w:r>
    </w:p>
    <w:p>
      <w:pPr>
        <w:spacing w:line="240" w:lineRule="auto"/>
        <w:jc w:val="center"/>
        <w:rPr>
          <w:rFonts w:ascii="Times New Roman" w:hAnsi="Times New Roman" w:eastAsia="Times New Roman" w:cs="Times New Roman"/>
          <w:i/>
          <w:sz w:val="18"/>
          <w:szCs w:val="18"/>
          <w:vertAlign w:val="superscript"/>
        </w:rPr>
      </w:pPr>
      <w:r>
        <w:rPr>
          <w:rFonts w:ascii="Times New Roman" w:hAnsi="Times New Roman" w:eastAsia="Times New Roman" w:cs="Times New Roman"/>
          <w:i/>
          <w:sz w:val="18"/>
          <w:szCs w:val="18"/>
          <w:vertAlign w:val="superscript"/>
        </w:rPr>
        <w:t>1)</w:t>
      </w:r>
      <w:r>
        <w:rPr>
          <w:rFonts w:ascii="Times New Roman" w:hAnsi="Times New Roman" w:eastAsia="Times New Roman" w:cs="Times New Roman"/>
          <w:i/>
          <w:sz w:val="18"/>
          <w:szCs w:val="18"/>
        </w:rPr>
        <w:t>Biologi, Fakultas Matematika dan Ilmu Pengetahuan Alam, Universitas Negeri Padang</w:t>
      </w:r>
    </w:p>
    <w:p>
      <w:pPr>
        <w:spacing w:line="240" w:lineRule="auto"/>
        <w:jc w:val="center"/>
        <w:rPr>
          <w:rFonts w:ascii="Times New Roman" w:hAnsi="Times New Roman" w:eastAsia="Times New Roman" w:cs="Times New Roman"/>
          <w:i/>
          <w:sz w:val="18"/>
          <w:szCs w:val="18"/>
        </w:rPr>
      </w:pPr>
      <w:r>
        <w:rPr>
          <w:rFonts w:ascii="Times New Roman" w:hAnsi="Times New Roman" w:eastAsia="Times New Roman" w:cs="Times New Roman"/>
          <w:i/>
          <w:sz w:val="18"/>
          <w:szCs w:val="18"/>
          <w:vertAlign w:val="superscript"/>
        </w:rPr>
        <w:t>2)</w:t>
      </w:r>
      <w:r>
        <w:rPr>
          <w:rFonts w:ascii="Times New Roman" w:hAnsi="Times New Roman" w:eastAsia="Times New Roman" w:cs="Times New Roman"/>
          <w:i/>
          <w:sz w:val="18"/>
          <w:szCs w:val="18"/>
        </w:rPr>
        <w:t>Biologi, Fakultas Matematika dan Ilmu Pengetahuan Alam, Universitas Negeri Padang</w:t>
      </w:r>
    </w:p>
    <w:p>
      <w:pPr>
        <w:spacing w:line="240" w:lineRule="auto"/>
        <w:ind w:left="851" w:right="713"/>
        <w:jc w:val="center"/>
        <w:rPr>
          <w:rFonts w:ascii="Times New Roman" w:hAnsi="Times New Roman" w:eastAsia="Times New Roman" w:cs="Times New Roman"/>
          <w:i/>
          <w:sz w:val="18"/>
          <w:szCs w:val="18"/>
        </w:rPr>
      </w:pPr>
      <w:r>
        <w:rPr>
          <w:rFonts w:ascii="Times New Roman" w:hAnsi="Times New Roman" w:eastAsia="Times New Roman" w:cs="Times New Roman"/>
          <w:i/>
          <w:sz w:val="18"/>
          <w:szCs w:val="18"/>
        </w:rPr>
        <w:t>Departmen  Biolog</w:t>
      </w:r>
      <w:r>
        <w:rPr>
          <w:rFonts w:hint="default" w:ascii="Times New Roman" w:hAnsi="Times New Roman" w:eastAsia="Times New Roman" w:cs="Times New Roman"/>
          <w:i/>
          <w:sz w:val="18"/>
          <w:szCs w:val="18"/>
          <w:lang w:val="en-US"/>
        </w:rPr>
        <w:t>y</w:t>
      </w:r>
      <w:r>
        <w:rPr>
          <w:rFonts w:ascii="Times New Roman" w:hAnsi="Times New Roman" w:eastAsia="Times New Roman" w:cs="Times New Roman"/>
          <w:i/>
          <w:sz w:val="18"/>
          <w:szCs w:val="18"/>
        </w:rPr>
        <w:t>, Fa</w:t>
      </w:r>
      <w:r>
        <w:rPr>
          <w:rFonts w:hint="default" w:ascii="Times New Roman" w:hAnsi="Times New Roman" w:eastAsia="Times New Roman" w:cs="Times New Roman"/>
          <w:i/>
          <w:sz w:val="18"/>
          <w:szCs w:val="18"/>
          <w:lang w:val="en-US"/>
        </w:rPr>
        <w:t>c</w:t>
      </w:r>
      <w:r>
        <w:rPr>
          <w:rFonts w:ascii="Times New Roman" w:hAnsi="Times New Roman" w:eastAsia="Times New Roman" w:cs="Times New Roman"/>
          <w:i/>
          <w:sz w:val="18"/>
          <w:szCs w:val="18"/>
        </w:rPr>
        <w:t>ul</w:t>
      </w:r>
      <w:r>
        <w:rPr>
          <w:rFonts w:hint="default" w:ascii="Times New Roman" w:hAnsi="Times New Roman" w:eastAsia="Times New Roman" w:cs="Times New Roman"/>
          <w:i/>
          <w:sz w:val="18"/>
          <w:szCs w:val="18"/>
          <w:lang w:val="en-US"/>
        </w:rPr>
        <w:t>ty</w:t>
      </w:r>
      <w:r>
        <w:rPr>
          <w:rFonts w:ascii="Times New Roman" w:hAnsi="Times New Roman" w:eastAsia="Times New Roman" w:cs="Times New Roman"/>
          <w:i/>
          <w:sz w:val="18"/>
          <w:szCs w:val="18"/>
        </w:rPr>
        <w:t xml:space="preserve"> Mat</w:t>
      </w:r>
      <w:r>
        <w:rPr>
          <w:rFonts w:hint="default" w:ascii="Times New Roman" w:hAnsi="Times New Roman" w:eastAsia="Times New Roman" w:cs="Times New Roman"/>
          <w:i/>
          <w:sz w:val="18"/>
          <w:szCs w:val="18"/>
          <w:lang w:val="en-US"/>
        </w:rPr>
        <w:t>hematics</w:t>
      </w:r>
      <w:r>
        <w:rPr>
          <w:rFonts w:ascii="Times New Roman" w:hAnsi="Times New Roman" w:eastAsia="Times New Roman" w:cs="Times New Roman"/>
          <w:i/>
          <w:sz w:val="18"/>
          <w:szCs w:val="18"/>
        </w:rPr>
        <w:t xml:space="preserve"> </w:t>
      </w:r>
      <w:r>
        <w:rPr>
          <w:rFonts w:hint="default" w:ascii="Times New Roman" w:hAnsi="Times New Roman" w:eastAsia="Times New Roman" w:cs="Times New Roman"/>
          <w:i/>
          <w:sz w:val="18"/>
          <w:szCs w:val="18"/>
          <w:lang w:val="en-US"/>
        </w:rPr>
        <w:t>and</w:t>
      </w:r>
      <w:r>
        <w:rPr>
          <w:rFonts w:ascii="Times New Roman" w:hAnsi="Times New Roman" w:eastAsia="Times New Roman" w:cs="Times New Roman"/>
          <w:i/>
          <w:sz w:val="18"/>
          <w:szCs w:val="18"/>
        </w:rPr>
        <w:t xml:space="preserve"> </w:t>
      </w:r>
      <w:r>
        <w:rPr>
          <w:rFonts w:hint="default" w:ascii="Times New Roman" w:hAnsi="Times New Roman" w:eastAsia="Times New Roman" w:cs="Times New Roman"/>
          <w:i/>
          <w:sz w:val="18"/>
          <w:szCs w:val="18"/>
          <w:lang w:val="en-US"/>
        </w:rPr>
        <w:t>Natural Science</w:t>
      </w:r>
      <w:r>
        <w:rPr>
          <w:rFonts w:ascii="Times New Roman" w:hAnsi="Times New Roman" w:eastAsia="Times New Roman" w:cs="Times New Roman"/>
          <w:i/>
          <w:sz w:val="18"/>
          <w:szCs w:val="18"/>
        </w:rPr>
        <w:t xml:space="preserve">, </w:t>
      </w:r>
      <w:r>
        <w:rPr>
          <w:rFonts w:hint="default" w:ascii="Times New Roman" w:hAnsi="Times New Roman" w:eastAsia="Times New Roman" w:cs="Times New Roman"/>
          <w:i/>
          <w:sz w:val="18"/>
          <w:szCs w:val="18"/>
          <w:lang w:val="en-US"/>
        </w:rPr>
        <w:t>Padang State University,</w:t>
      </w:r>
      <w:r>
        <w:rPr>
          <w:rFonts w:ascii="Times New Roman" w:hAnsi="Times New Roman" w:eastAsia="Times New Roman" w:cs="Times New Roman"/>
          <w:i/>
          <w:sz w:val="18"/>
          <w:szCs w:val="18"/>
        </w:rPr>
        <w:t xml:space="preserve">  </w:t>
      </w:r>
      <w:r>
        <w:rPr>
          <w:rFonts w:hint="default" w:ascii="Times New Roman" w:hAnsi="Times New Roman" w:eastAsia="Times New Roman" w:cs="Times New Roman"/>
          <w:i/>
          <w:sz w:val="18"/>
          <w:szCs w:val="18"/>
          <w:lang w:val="en-US"/>
        </w:rPr>
        <w:t xml:space="preserve">Street of </w:t>
      </w:r>
      <w:r>
        <w:rPr>
          <w:rFonts w:ascii="Times New Roman" w:hAnsi="Times New Roman" w:eastAsia="Times New Roman" w:cs="Times New Roman"/>
          <w:i/>
          <w:sz w:val="18"/>
          <w:szCs w:val="18"/>
        </w:rPr>
        <w:t>Prof. Dr. Hamka, Air Tawar Barat,</w:t>
      </w:r>
      <w:r>
        <w:rPr>
          <w:rFonts w:hint="default" w:ascii="Times New Roman" w:hAnsi="Times New Roman" w:eastAsia="Times New Roman" w:cs="Times New Roman"/>
          <w:i/>
          <w:sz w:val="18"/>
          <w:szCs w:val="18"/>
          <w:lang w:val="en-US"/>
        </w:rPr>
        <w:t xml:space="preserve"> </w:t>
      </w:r>
      <w:r>
        <w:rPr>
          <w:rFonts w:ascii="Times New Roman" w:hAnsi="Times New Roman" w:eastAsia="Times New Roman" w:cs="Times New Roman"/>
          <w:i/>
          <w:sz w:val="18"/>
          <w:szCs w:val="18"/>
        </w:rPr>
        <w:t>Padang Utara,</w:t>
      </w:r>
      <w:r>
        <w:rPr>
          <w:rFonts w:hint="default" w:ascii="Times New Roman" w:hAnsi="Times New Roman" w:eastAsia="Times New Roman" w:cs="Times New Roman"/>
          <w:i/>
          <w:sz w:val="18"/>
          <w:szCs w:val="18"/>
          <w:lang w:val="en-US"/>
        </w:rPr>
        <w:t xml:space="preserve"> </w:t>
      </w:r>
      <w:r>
        <w:rPr>
          <w:rFonts w:ascii="Times New Roman" w:hAnsi="Times New Roman" w:eastAsia="Times New Roman" w:cs="Times New Roman"/>
          <w:i/>
          <w:sz w:val="18"/>
          <w:szCs w:val="18"/>
        </w:rPr>
        <w:t>Padang, Sumatera Barat, 25132</w:t>
      </w:r>
    </w:p>
    <w:p>
      <w:pPr>
        <w:pBdr>
          <w:bottom w:val="single" w:color="auto" w:sz="4" w:space="0"/>
        </w:pBdr>
        <w:spacing w:line="240" w:lineRule="auto"/>
        <w:ind w:left="-426" w:right="-589" w:hanging="283"/>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Email : </w:t>
      </w:r>
      <w:r>
        <w:fldChar w:fldCharType="begin"/>
      </w:r>
      <w:r>
        <w:instrText xml:space="preserve"> HYPERLINK "mailto:cicimustika14@gmail.com" \h </w:instrText>
      </w:r>
      <w:r>
        <w:fldChar w:fldCharType="separate"/>
      </w:r>
      <w:r>
        <w:rPr>
          <w:rFonts w:hint="default" w:ascii="Times New Roman" w:hAnsi="Times New Roman" w:eastAsia="Times New Roman" w:cs="Times New Roman"/>
          <w:color w:val="0563C1"/>
          <w:sz w:val="18"/>
          <w:szCs w:val="18"/>
          <w:u w:val="single"/>
          <w:lang w:val="en-US"/>
        </w:rPr>
        <w:t>hafizhahzalda28</w:t>
      </w:r>
      <w:r>
        <w:rPr>
          <w:rFonts w:ascii="Times New Roman" w:hAnsi="Times New Roman" w:eastAsia="Times New Roman" w:cs="Times New Roman"/>
          <w:color w:val="0563C1"/>
          <w:sz w:val="18"/>
          <w:szCs w:val="18"/>
          <w:u w:val="single"/>
        </w:rPr>
        <w:t>@gmail.com</w:t>
      </w:r>
      <w:r>
        <w:rPr>
          <w:rFonts w:ascii="Times New Roman" w:hAnsi="Times New Roman" w:eastAsia="Times New Roman" w:cs="Times New Roman"/>
          <w:color w:val="0563C1"/>
          <w:sz w:val="18"/>
          <w:szCs w:val="18"/>
          <w:u w:val="single"/>
        </w:rPr>
        <w:fldChar w:fldCharType="end"/>
      </w:r>
      <w:r>
        <w:rPr>
          <w:rFonts w:ascii="Times New Roman" w:hAnsi="Times New Roman" w:eastAsia="Times New Roman" w:cs="Times New Roman"/>
          <w:sz w:val="18"/>
          <w:szCs w:val="18"/>
        </w:rPr>
        <w:t xml:space="preserve"> </w:t>
      </w:r>
    </w:p>
    <w:p>
      <w:pPr>
        <w:spacing w:line="360" w:lineRule="auto"/>
        <w:ind w:right="4"/>
        <w:jc w:val="both"/>
        <w:rPr>
          <w:rFonts w:ascii="Times New Roman" w:hAnsi="Times New Roman" w:eastAsia="Times New Roman" w:cs="Times New Roman"/>
          <w:b/>
          <w:i/>
          <w:sz w:val="24"/>
          <w:szCs w:val="24"/>
        </w:rPr>
      </w:pPr>
    </w:p>
    <w:p>
      <w:pPr>
        <w:spacing w:line="360" w:lineRule="auto"/>
        <w:ind w:left="284" w:right="4"/>
        <w:jc w:val="center"/>
        <w:rPr>
          <w:rFonts w:ascii="Times New Roman" w:hAnsi="Times New Roman" w:eastAsia="Times New Roman" w:cs="Times New Roman"/>
          <w:b/>
        </w:rPr>
      </w:pPr>
      <w:r>
        <w:rPr>
          <w:rFonts w:ascii="Times New Roman" w:hAnsi="Times New Roman" w:eastAsia="Times New Roman" w:cs="Times New Roman"/>
          <w:b/>
        </w:rPr>
        <w:t>ABSTRACT</w:t>
      </w:r>
    </w:p>
    <w:p>
      <w:pPr>
        <w:spacing w:line="360" w:lineRule="auto"/>
        <w:ind w:right="4"/>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i/>
          <w:iCs/>
          <w:sz w:val="24"/>
          <w:szCs w:val="24"/>
          <w:rtl w:val="0"/>
        </w:rPr>
        <w:t>Aedes aegypti</w:t>
      </w:r>
      <w:r>
        <w:rPr>
          <w:rFonts w:ascii="Times New Roman" w:hAnsi="Times New Roman" w:eastAsia="Times New Roman" w:cs="Times New Roman"/>
          <w:sz w:val="24"/>
          <w:szCs w:val="24"/>
          <w:rtl w:val="0"/>
        </w:rPr>
        <w:t xml:space="preserve"> is a mosquito that belongs to the Culicinae Culicids family, order Diptera, class Insecta. This mosquito has the potential to transmit dengue hemorrhagic fever (DHF). DHF is a disease characterized by sudden fever, bleeding both in the skin and in the body and can cause shock and death. In-silico is a research approach whose use will be discussed with advances in technology and available databases. This approach is very commonly used in medical and other healthcare settings. The method used is to use the NCBI site, screen restriction enzymes with an insilico web and continue with the benchling site. The results obtained were using the NheI enzyme and producing two alleles namely Allele A1 and Allele A2. The A2 allele dominates because it has a fragment percentage of 63</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3%</w:t>
      </w:r>
      <w:r>
        <w:rPr>
          <w:rFonts w:hint="default" w:ascii="Times New Roman" w:hAnsi="Times New Roman" w:eastAsia="Times New Roman" w:cs="Times New Roman"/>
          <w:sz w:val="24"/>
          <w:szCs w:val="24"/>
          <w:rtl w:val="0"/>
          <w:lang w:val="en-US"/>
        </w:rPr>
        <w:t>.</w:t>
      </w:r>
    </w:p>
    <w:p>
      <w:pPr>
        <w:spacing w:line="360" w:lineRule="auto"/>
        <w:ind w:right="4"/>
        <w:jc w:val="both"/>
        <w:rPr>
          <w:rFonts w:ascii="Times New Roman" w:hAnsi="Times New Roman" w:eastAsia="Times New Roman" w:cs="Times New Roman"/>
          <w:b/>
          <w:i/>
        </w:rPr>
      </w:pPr>
      <w:r>
        <w:rPr>
          <w:rFonts w:ascii="Times New Roman" w:hAnsi="Times New Roman" w:eastAsia="Times New Roman" w:cs="Times New Roman"/>
          <w:b/>
        </w:rPr>
        <w:t xml:space="preserve">Keywords : </w:t>
      </w:r>
      <w:r>
        <w:rPr>
          <w:rFonts w:ascii="Times New Roman" w:hAnsi="Times New Roman" w:eastAsia="Times New Roman" w:cs="Times New Roman"/>
          <w:b/>
          <w:i/>
          <w:iCs/>
          <w:rtl w:val="0"/>
        </w:rPr>
        <w:t>Aedes aegypti, in-silico,</w:t>
      </w:r>
      <w:r>
        <w:rPr>
          <w:rFonts w:ascii="Times New Roman" w:hAnsi="Times New Roman" w:eastAsia="Times New Roman" w:cs="Times New Roman"/>
          <w:b/>
          <w:i w:val="0"/>
          <w:iCs w:val="0"/>
          <w:rtl w:val="0"/>
        </w:rPr>
        <w:t xml:space="preserve"> sequence gen</w:t>
      </w:r>
    </w:p>
    <w:p>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Introduction</w:t>
      </w:r>
    </w:p>
    <w:p>
      <w:pPr>
        <w:spacing w:after="0" w:line="360" w:lineRule="auto"/>
        <w:ind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Population genetics is the branch of genetics that deals with the genetic composition of populations. information on the subject of population genetic diversity can be used as information to define micro-level development discourse occurring at the genetic level (Arisuryanti &amp; Daryono, 2007;Campbell </w:t>
      </w:r>
      <w:r>
        <w:rPr>
          <w:rFonts w:hint="default" w:ascii="Times New Roman" w:hAnsi="Times New Roman" w:eastAsia="Times New Roman" w:cs="Times New Roman"/>
          <w:i/>
          <w:iCs/>
          <w:sz w:val="24"/>
          <w:szCs w:val="24"/>
          <w:lang w:val="en-US"/>
        </w:rPr>
        <w:t>et al.,</w:t>
      </w:r>
      <w:r>
        <w:rPr>
          <w:rFonts w:hint="default" w:ascii="Times New Roman" w:hAnsi="Times New Roman" w:eastAsia="Times New Roman" w:cs="Times New Roman"/>
          <w:sz w:val="24"/>
          <w:szCs w:val="24"/>
          <w:lang w:val="en-US"/>
        </w:rPr>
        <w:t xml:space="preserve"> 2003). Genetic diversity at the population/individual/species level can be analyzed based on different marker profiles, both molecular and protein. Markers commonly used in discussing genetic diversity include </w:t>
      </w:r>
      <w:r>
        <w:rPr>
          <w:rFonts w:hint="default" w:ascii="Times New Roman" w:hAnsi="Times New Roman" w:eastAsia="Times New Roman" w:cs="Times New Roman"/>
          <w:i/>
          <w:iCs/>
          <w:sz w:val="24"/>
          <w:szCs w:val="24"/>
          <w:lang w:val="en-US"/>
        </w:rPr>
        <w:t>Random Amplified Polymorphic DNA</w:t>
      </w:r>
      <w:r>
        <w:rPr>
          <w:rFonts w:hint="default" w:ascii="Times New Roman" w:hAnsi="Times New Roman" w:eastAsia="Times New Roman" w:cs="Times New Roman"/>
          <w:sz w:val="24"/>
          <w:szCs w:val="24"/>
          <w:lang w:val="en-US"/>
        </w:rPr>
        <w:t xml:space="preserve"> (RAPD), </w:t>
      </w:r>
      <w:r>
        <w:rPr>
          <w:rFonts w:hint="default" w:ascii="Times New Roman" w:hAnsi="Times New Roman" w:eastAsia="Times New Roman" w:cs="Times New Roman"/>
          <w:i/>
          <w:iCs/>
          <w:sz w:val="24"/>
          <w:szCs w:val="24"/>
          <w:lang w:val="en-US"/>
        </w:rPr>
        <w:t>Amplified Fragment Length Polymorphism</w:t>
      </w:r>
      <w:r>
        <w:rPr>
          <w:rFonts w:hint="default" w:ascii="Times New Roman" w:hAnsi="Times New Roman" w:eastAsia="Times New Roman" w:cs="Times New Roman"/>
          <w:sz w:val="24"/>
          <w:szCs w:val="24"/>
          <w:lang w:val="en-US"/>
        </w:rPr>
        <w:t xml:space="preserve"> (AFLP), </w:t>
      </w:r>
      <w:r>
        <w:rPr>
          <w:rFonts w:hint="default" w:ascii="Times New Roman" w:hAnsi="Times New Roman" w:eastAsia="Times New Roman" w:cs="Times New Roman"/>
          <w:i/>
          <w:iCs/>
          <w:sz w:val="24"/>
          <w:szCs w:val="24"/>
          <w:lang w:val="en-US"/>
        </w:rPr>
        <w:t>Random Fragment Length Polymorphism</w:t>
      </w:r>
      <w:r>
        <w:rPr>
          <w:rFonts w:hint="default" w:ascii="Times New Roman" w:hAnsi="Times New Roman" w:eastAsia="Times New Roman" w:cs="Times New Roman"/>
          <w:sz w:val="24"/>
          <w:szCs w:val="24"/>
          <w:lang w:val="en-US"/>
        </w:rPr>
        <w:t xml:space="preserve"> (RFLP), </w:t>
      </w:r>
      <w:r>
        <w:rPr>
          <w:rFonts w:hint="default" w:ascii="Times New Roman" w:hAnsi="Times New Roman" w:eastAsia="Times New Roman" w:cs="Times New Roman"/>
          <w:i/>
          <w:iCs/>
          <w:sz w:val="24"/>
          <w:szCs w:val="24"/>
          <w:lang w:val="en-US"/>
        </w:rPr>
        <w:t>Single Sequence Repeats</w:t>
      </w:r>
      <w:r>
        <w:rPr>
          <w:rFonts w:hint="default" w:ascii="Times New Roman" w:hAnsi="Times New Roman" w:eastAsia="Times New Roman" w:cs="Times New Roman"/>
          <w:sz w:val="24"/>
          <w:szCs w:val="24"/>
          <w:lang w:val="en-US"/>
        </w:rPr>
        <w:t xml:space="preserve"> (SSRs) as well as isozymes and allozymes. </w:t>
      </w:r>
      <w:r>
        <w:rPr>
          <w:rFonts w:hint="default" w:ascii="Times New Roman" w:hAnsi="Times New Roman" w:eastAsia="Times New Roman" w:cs="Times New Roman"/>
          <w:i/>
          <w:iCs/>
          <w:sz w:val="24"/>
          <w:szCs w:val="24"/>
          <w:lang w:val="en-US"/>
        </w:rPr>
        <w:t>Random Fragment Lenght Polymorphism</w:t>
      </w:r>
      <w:r>
        <w:rPr>
          <w:rFonts w:hint="default" w:ascii="Times New Roman" w:hAnsi="Times New Roman" w:eastAsia="Times New Roman" w:cs="Times New Roman"/>
          <w:sz w:val="24"/>
          <w:szCs w:val="24"/>
          <w:lang w:val="en-US"/>
        </w:rPr>
        <w:t xml:space="preserve"> (RFLP) analysis is a technique commonly used to detect genetic variation at the DNA sequence level. RFLP detection is carried out by comparing group profiles prepared after cutting DNA with different object/person restriction enzymes (Zulfahmi, 2013).</w:t>
      </w:r>
    </w:p>
    <w:p>
      <w:pPr>
        <w:spacing w:after="0" w:line="360" w:lineRule="auto"/>
        <w:ind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Diversity is a normal phenomenon in living things. Both in plant, animal and human life. This diversity is easy to see in appearance, which is a collection of characteristics of each living creature. Some characteristics are similar, while others are different. The existence of differences and similarities in these observable characteristics means that animals grouped based on the classification system in taxonomy still show diversity among members of each population.</w:t>
      </w:r>
    </w:p>
    <w:p>
      <w:pPr>
        <w:spacing w:after="0" w:line="360" w:lineRule="auto"/>
        <w:ind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 visible external physical characteristics of every living creature are easy to recognize because no tools are needed to see them. However, some physical properties down to the molecular level can only be identified with special tools or laboratory research techniques which sometimes require high precision. In this context, it needs to be understood that all characteristics found in one generation of a population are also present in the next generation. So this is where the inheritance process occurs, and this inheritance follows the applicable inheritance laws. In other words, these traits are genetic.</w:t>
      </w:r>
    </w:p>
    <w:p>
      <w:pPr>
        <w:spacing w:after="0" w:line="360" w:lineRule="auto"/>
        <w:ind w:firstLine="720" w:firstLineChars="0"/>
        <w:jc w:val="both"/>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is a mosquito belonging to the Culicinae Culicids family, order Diptera, class Insecta. This mosquito has the potential to transmit </w:t>
      </w:r>
      <w:r>
        <w:rPr>
          <w:rFonts w:hint="default" w:ascii="Times New Roman" w:hAnsi="Times New Roman" w:eastAsia="Times New Roman" w:cs="Times New Roman"/>
          <w:i/>
          <w:iCs/>
          <w:sz w:val="24"/>
          <w:szCs w:val="24"/>
          <w:lang w:val="en-US"/>
        </w:rPr>
        <w:t>dengue hemorrhagic fever</w:t>
      </w:r>
      <w:r>
        <w:rPr>
          <w:rFonts w:hint="default" w:ascii="Times New Roman" w:hAnsi="Times New Roman" w:eastAsia="Times New Roman" w:cs="Times New Roman"/>
          <w:sz w:val="24"/>
          <w:szCs w:val="24"/>
          <w:lang w:val="en-US"/>
        </w:rPr>
        <w:t xml:space="preserve"> (DHF). DHF is a disease characterized by sudden fever, bleeding both on the skin and in the body and can cause shock and death. Dengue fever specifically attacks children, including babies, although nowadays the majority of those affected are increasing (Rahayu </w:t>
      </w:r>
      <w:r>
        <w:rPr>
          <w:rFonts w:hint="default" w:ascii="Times New Roman" w:hAnsi="Times New Roman" w:eastAsia="Times New Roman" w:cs="Times New Roman"/>
          <w:i/>
          <w:iCs/>
          <w:sz w:val="24"/>
          <w:szCs w:val="24"/>
          <w:lang w:val="en-US"/>
        </w:rPr>
        <w:t>et al.,</w:t>
      </w:r>
      <w:r>
        <w:rPr>
          <w:rFonts w:hint="default" w:ascii="Times New Roman" w:hAnsi="Times New Roman" w:eastAsia="Times New Roman" w:cs="Times New Roman"/>
          <w:sz w:val="24"/>
          <w:szCs w:val="24"/>
          <w:lang w:val="en-US"/>
        </w:rPr>
        <w:t xml:space="preserve"> 2012). </w:t>
      </w:r>
      <w:r>
        <w:rPr>
          <w:rFonts w:hint="default" w:ascii="Times New Roman" w:hAnsi="Times New Roman" w:eastAsia="Times New Roman" w:cs="Times New Roman"/>
          <w:i/>
          <w:iCs/>
          <w:sz w:val="24"/>
          <w:szCs w:val="24"/>
          <w:lang w:val="en-US"/>
        </w:rPr>
        <w:t xml:space="preserve">Aedes aegypti </w:t>
      </w:r>
      <w:r>
        <w:rPr>
          <w:rFonts w:hint="default" w:ascii="Times New Roman" w:hAnsi="Times New Roman" w:eastAsia="Times New Roman" w:cs="Times New Roman"/>
          <w:sz w:val="24"/>
          <w:szCs w:val="24"/>
          <w:lang w:val="en-US"/>
        </w:rPr>
        <w:t xml:space="preserve">is closely related to </w:t>
      </w:r>
      <w:r>
        <w:rPr>
          <w:rFonts w:hint="default" w:ascii="Times New Roman" w:hAnsi="Times New Roman" w:eastAsia="Times New Roman" w:cs="Times New Roman"/>
          <w:i/>
          <w:iCs/>
          <w:sz w:val="24"/>
          <w:szCs w:val="24"/>
          <w:lang w:val="en-US"/>
        </w:rPr>
        <w:t>Anopheles gambiae</w:t>
      </w:r>
      <w:r>
        <w:rPr>
          <w:rFonts w:hint="default" w:ascii="Times New Roman" w:hAnsi="Times New Roman" w:eastAsia="Times New Roman" w:cs="Times New Roman"/>
          <w:sz w:val="24"/>
          <w:szCs w:val="24"/>
          <w:lang w:val="en-US"/>
        </w:rPr>
        <w:t xml:space="preserve"> and </w:t>
      </w:r>
      <w:r>
        <w:rPr>
          <w:rFonts w:hint="default" w:ascii="Times New Roman" w:hAnsi="Times New Roman" w:eastAsia="Times New Roman" w:cs="Times New Roman"/>
          <w:i/>
          <w:iCs/>
          <w:sz w:val="24"/>
          <w:szCs w:val="24"/>
          <w:lang w:val="en-US"/>
        </w:rPr>
        <w:t>Drosophila melangester</w:t>
      </w:r>
      <w:r>
        <w:rPr>
          <w:rFonts w:hint="default" w:ascii="Times New Roman" w:hAnsi="Times New Roman" w:eastAsia="Times New Roman" w:cs="Times New Roman"/>
          <w:sz w:val="24"/>
          <w:szCs w:val="24"/>
          <w:lang w:val="en-US"/>
        </w:rPr>
        <w:t>. Latest data from Nene</w:t>
      </w:r>
      <w:r>
        <w:rPr>
          <w:rFonts w:hint="default" w:ascii="Times New Roman" w:hAnsi="Times New Roman" w:eastAsia="Times New Roman" w:cs="Times New Roman"/>
          <w:i/>
          <w:iCs/>
          <w:sz w:val="24"/>
          <w:szCs w:val="24"/>
          <w:lang w:val="en-US"/>
        </w:rPr>
        <w:t xml:space="preserve"> et al.,</w:t>
      </w:r>
      <w:r>
        <w:rPr>
          <w:rFonts w:hint="default" w:ascii="Times New Roman" w:hAnsi="Times New Roman" w:eastAsia="Times New Roman" w:cs="Times New Roman"/>
          <w:sz w:val="24"/>
          <w:szCs w:val="24"/>
          <w:lang w:val="en-US"/>
        </w:rPr>
        <w:t xml:space="preserve"> (2020) The </w:t>
      </w: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genome sequence consists of five times 1.38 billion base pairs larger than the size of the</w:t>
      </w:r>
      <w:r>
        <w:rPr>
          <w:rFonts w:hint="default" w:ascii="Times New Roman" w:hAnsi="Times New Roman" w:eastAsia="Times New Roman" w:cs="Times New Roman"/>
          <w:i/>
          <w:iCs/>
          <w:sz w:val="24"/>
          <w:szCs w:val="24"/>
          <w:lang w:val="en-US"/>
        </w:rPr>
        <w:t xml:space="preserve"> Anopheles gambiae</w:t>
      </w:r>
      <w:r>
        <w:rPr>
          <w:rFonts w:hint="default" w:ascii="Times New Roman" w:hAnsi="Times New Roman" w:eastAsia="Times New Roman" w:cs="Times New Roman"/>
          <w:sz w:val="24"/>
          <w:szCs w:val="24"/>
          <w:lang w:val="en-US"/>
        </w:rPr>
        <w:t xml:space="preserve"> genome. Nearly 50% of the </w:t>
      </w: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genome consists of transposable elements contributing to the factor a 4 to 6-fold increase in the average gene length and the relative size of the relative intergenic regions </w:t>
      </w:r>
      <w:r>
        <w:rPr>
          <w:rFonts w:hint="default" w:ascii="Times New Roman" w:hAnsi="Times New Roman" w:eastAsia="Times New Roman" w:cs="Times New Roman"/>
          <w:i/>
          <w:iCs/>
          <w:sz w:val="24"/>
          <w:szCs w:val="24"/>
          <w:lang w:val="en-US"/>
        </w:rPr>
        <w:t>Anopheles gambiae</w:t>
      </w:r>
      <w:r>
        <w:rPr>
          <w:rFonts w:hint="default" w:ascii="Times New Roman" w:hAnsi="Times New Roman" w:eastAsia="Times New Roman" w:cs="Times New Roman"/>
          <w:sz w:val="24"/>
          <w:szCs w:val="24"/>
          <w:lang w:val="en-US"/>
        </w:rPr>
        <w:t xml:space="preserve"> and </w:t>
      </w:r>
      <w:r>
        <w:rPr>
          <w:rFonts w:hint="default" w:ascii="Times New Roman" w:hAnsi="Times New Roman" w:eastAsia="Times New Roman" w:cs="Times New Roman"/>
          <w:i/>
          <w:iCs/>
          <w:sz w:val="24"/>
          <w:szCs w:val="24"/>
          <w:lang w:val="en-US"/>
        </w:rPr>
        <w:t>Drosophila melanogaster.</w:t>
      </w:r>
    </w:p>
    <w:p>
      <w:pPr>
        <w:spacing w:line="360" w:lineRule="auto"/>
        <w:ind w:right="4" w:firstLine="284"/>
        <w:jc w:val="both"/>
        <w:rPr>
          <w:rFonts w:hint="default" w:ascii="Times New Roman" w:hAnsi="Times New Roman" w:eastAsia="Times New Roman" w:cs="Times New Roman"/>
          <w:i/>
          <w:iCs/>
          <w:sz w:val="24"/>
          <w:szCs w:val="24"/>
          <w:lang w:val="en-US"/>
        </w:rPr>
      </w:pPr>
    </w:p>
    <w:p>
      <w:pPr>
        <w:spacing w:line="360" w:lineRule="auto"/>
        <w:ind w:right="4" w:firstLine="284"/>
        <w:jc w:val="center"/>
        <w:rPr>
          <w:rFonts w:hint="default" w:ascii="Times New Roman" w:hAnsi="Times New Roman" w:eastAsia="Times New Roman" w:cs="Times New Roman"/>
          <w:i/>
          <w:iCs/>
          <w:sz w:val="24"/>
          <w:szCs w:val="24"/>
          <w:lang w:val="en-US"/>
        </w:rPr>
      </w:pPr>
      <w:r>
        <w:rPr>
          <w:rFonts w:ascii="Arial" w:hAnsi="Arial" w:eastAsia="Arial" w:cs="Arial"/>
          <w:b w:val="0"/>
          <w:i w:val="0"/>
          <w:smallCaps w:val="0"/>
          <w:strike w:val="0"/>
          <w:color w:val="000000"/>
          <w:sz w:val="22"/>
          <w:szCs w:val="22"/>
          <w:u w:val="none"/>
          <w:shd w:val="clear" w:fill="auto"/>
          <w:vertAlign w:val="baseline"/>
        </w:rPr>
        <w:drawing>
          <wp:inline distT="0" distB="0" distL="114300" distR="114300">
            <wp:extent cx="5808345" cy="2665730"/>
            <wp:effectExtent l="0" t="0" r="1905" b="1270"/>
            <wp:docPr id="1029" name="image1.jpg" descr="WhatsApp Image 2022-12-29 at 22.18.13.jpeg"/>
            <wp:cNvGraphicFramePr/>
            <a:graphic xmlns:a="http://schemas.openxmlformats.org/drawingml/2006/main">
              <a:graphicData uri="http://schemas.openxmlformats.org/drawingml/2006/picture">
                <pic:pic xmlns:pic="http://schemas.openxmlformats.org/drawingml/2006/picture">
                  <pic:nvPicPr>
                    <pic:cNvPr id="1029" name="image1.jpg" descr="WhatsApp Image 2022-12-29 at 22.18.13.jpeg"/>
                    <pic:cNvPicPr preferRelativeResize="0"/>
                  </pic:nvPicPr>
                  <pic:blipFill>
                    <a:blip r:embed="rId6"/>
                    <a:srcRect t="2456" b="1754"/>
                    <a:stretch>
                      <a:fillRect/>
                    </a:stretch>
                  </pic:blipFill>
                  <pic:spPr>
                    <a:xfrm>
                      <a:off x="0" y="0"/>
                      <a:ext cx="5808345" cy="2665730"/>
                    </a:xfrm>
                    <a:prstGeom prst="rect">
                      <a:avLst/>
                    </a:prstGeom>
                  </pic:spPr>
                </pic:pic>
              </a:graphicData>
            </a:graphic>
          </wp:inline>
        </w:drawing>
      </w:r>
    </w:p>
    <w:p>
      <w:pPr>
        <w:spacing w:line="360" w:lineRule="auto"/>
        <w:ind w:right="4" w:firstLine="284"/>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Figure 1. Taxonomy of </w:t>
      </w: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w:t>
      </w:r>
      <w:r>
        <w:rPr>
          <w:rStyle w:val="13"/>
          <w:rFonts w:hint="default" w:ascii="Times New Roman" w:hAnsi="Times New Roman" w:cs="Times New Roman"/>
          <w:sz w:val="24"/>
          <w:szCs w:val="24"/>
          <w:lang w:val="en-US"/>
        </w:rPr>
        <w:t>http://www.itis.gov</w:t>
      </w:r>
      <w:r>
        <w:rPr>
          <w:rFonts w:hint="default" w:ascii="Times New Roman" w:hAnsi="Times New Roman" w:eastAsia="Times New Roman" w:cs="Times New Roman"/>
          <w:sz w:val="24"/>
          <w:szCs w:val="24"/>
          <w:lang w:val="en-US"/>
        </w:rPr>
        <w:t>)</w:t>
      </w:r>
    </w:p>
    <w:p>
      <w:pPr>
        <w:spacing w:line="360" w:lineRule="auto"/>
        <w:ind w:right="4"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Adult female </w:t>
      </w: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mosquitoes have a blackish brown body. The body size of an adult female </w:t>
      </w:r>
      <w:r>
        <w:rPr>
          <w:rFonts w:hint="default" w:ascii="Times New Roman" w:hAnsi="Times New Roman" w:eastAsia="Times New Roman" w:cs="Times New Roman"/>
          <w:i/>
          <w:iCs/>
          <w:sz w:val="24"/>
          <w:szCs w:val="24"/>
          <w:lang w:val="en-US"/>
        </w:rPr>
        <w:t>Aedes aegypti</w:t>
      </w:r>
      <w:r>
        <w:rPr>
          <w:rFonts w:hint="default" w:ascii="Times New Roman" w:hAnsi="Times New Roman" w:eastAsia="Times New Roman" w:cs="Times New Roman"/>
          <w:sz w:val="24"/>
          <w:szCs w:val="24"/>
          <w:lang w:val="en-US"/>
        </w:rPr>
        <w:t xml:space="preserve"> mosquito is 3-4 mm, regardless of the length of her legs. The body and limbs are covered with silver-white striated scales. There are two curved lines on the back of the vertical body to the left and right which are characteristic of this mosquito species (Ginanjar, 2008). The female mosquito's abdomen is pointed and has cerci that are longer than the cerci of other mosquitoes (Gillot, 2005). Usually male mosquitoes have a smaller body than females and have 9 thick hairs on the antennae of male mosquitoes. These two features can be seen with the naked eye (Ginandar, 2008).</w:t>
      </w:r>
    </w:p>
    <w:p>
      <w:pPr>
        <w:spacing w:line="360" w:lineRule="auto"/>
        <w:ind w:right="4"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Efforts to control mosquitoes, which are vectors of this disease, need to be carried out in addition to treatment of sufferers. This is an important effort to reduce cases caused by mosquitoes. Seventeen the binding of pyrethroid insecticides to VGSC gives rise to a phenomenon known as knockdown, namely rapid movement followed by paralysis and death. Ten the mechanism for the emergence of resistance to pyrethroids is a change in the structure of VGSC in the mosquito's central nervous system as the main target of pyrethroids, resulting in a decrease in affinity for the insecticide.</w:t>
      </w:r>
    </w:p>
    <w:p>
      <w:pPr>
        <w:spacing w:line="360" w:lineRule="auto"/>
        <w:ind w:right="4"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Molecularly, in the VGSC gene, there is a change in one nucleotide base in the amino acid leucine to phenylalanine which is associated with resistance (5, 6). VGSC gene mutations cause knockdown resistance (kdr) allele polymorphism, namely the kds, kdr-w and kdr-e alleles. The mutation was first detected in </w:t>
      </w:r>
      <w:r>
        <w:rPr>
          <w:rFonts w:hint="default" w:ascii="Times New Roman" w:hAnsi="Times New Roman" w:eastAsia="Times New Roman" w:cs="Times New Roman"/>
          <w:i/>
          <w:iCs/>
          <w:sz w:val="24"/>
          <w:szCs w:val="24"/>
          <w:lang w:val="en-US"/>
        </w:rPr>
        <w:t>Anopheles gambiae</w:t>
      </w:r>
      <w:r>
        <w:rPr>
          <w:rFonts w:hint="default" w:ascii="Times New Roman" w:hAnsi="Times New Roman" w:eastAsia="Times New Roman" w:cs="Times New Roman"/>
          <w:sz w:val="24"/>
          <w:szCs w:val="24"/>
          <w:lang w:val="en-US"/>
        </w:rPr>
        <w:t xml:space="preserve"> from West Africa, so it was given the term kdr-w which was caused by a change in the amino acid leucine to phenylalanine (TTA to TTT), namely L1014 to 1014F. Then the second mutation is called kdr-e or East African which results in a change in the amino acid leucine to serine (TTA to TCA, namely L1014 to 1014S) (7, 8). Mutations in the VGSC gene have also occurred in </w:t>
      </w:r>
      <w:r>
        <w:rPr>
          <w:rFonts w:hint="default" w:ascii="Times New Roman" w:hAnsi="Times New Roman" w:eastAsia="Times New Roman" w:cs="Times New Roman"/>
          <w:i/>
          <w:iCs/>
          <w:sz w:val="24"/>
          <w:szCs w:val="24"/>
          <w:lang w:val="en-US"/>
        </w:rPr>
        <w:t>Anopheles culifacies</w:t>
      </w:r>
      <w:r>
        <w:rPr>
          <w:rFonts w:hint="default" w:ascii="Times New Roman" w:hAnsi="Times New Roman" w:eastAsia="Times New Roman" w:cs="Times New Roman"/>
          <w:sz w:val="24"/>
          <w:szCs w:val="24"/>
          <w:lang w:val="en-US"/>
        </w:rPr>
        <w:t xml:space="preserve"> mosquitoes at codon 1014 from India (9) and in Indonesia itself have been reported in</w:t>
      </w:r>
      <w:r>
        <w:rPr>
          <w:rFonts w:hint="default" w:ascii="Times New Roman" w:hAnsi="Times New Roman" w:eastAsia="Times New Roman" w:cs="Times New Roman"/>
          <w:i/>
          <w:iCs/>
          <w:sz w:val="24"/>
          <w:szCs w:val="24"/>
          <w:lang w:val="en-US"/>
        </w:rPr>
        <w:t xml:space="preserve"> Anopheles sundaicus, Anopheles aconitus, Anopheles subpictus</w:t>
      </w:r>
      <w:r>
        <w:rPr>
          <w:rFonts w:hint="default" w:ascii="Times New Roman" w:hAnsi="Times New Roman" w:eastAsia="Times New Roman" w:cs="Times New Roman"/>
          <w:sz w:val="24"/>
          <w:szCs w:val="24"/>
          <w:lang w:val="en-US"/>
        </w:rPr>
        <w:t xml:space="preserve"> and </w:t>
      </w:r>
      <w:r>
        <w:rPr>
          <w:rFonts w:hint="default" w:ascii="Times New Roman" w:hAnsi="Times New Roman" w:eastAsia="Times New Roman" w:cs="Times New Roman"/>
          <w:i/>
          <w:iCs/>
          <w:sz w:val="24"/>
          <w:szCs w:val="24"/>
          <w:lang w:val="en-US"/>
        </w:rPr>
        <w:t>Anopheles vagus</w:t>
      </w:r>
      <w:r>
        <w:rPr>
          <w:rFonts w:hint="default" w:ascii="Times New Roman" w:hAnsi="Times New Roman" w:eastAsia="Times New Roman" w:cs="Times New Roman"/>
          <w:sz w:val="24"/>
          <w:szCs w:val="24"/>
          <w:lang w:val="en-US"/>
        </w:rPr>
        <w:t xml:space="preserve"> mosquitoes.</w:t>
      </w:r>
    </w:p>
    <w:p>
      <w:pPr>
        <w:spacing w:line="360" w:lineRule="auto"/>
        <w:ind w:right="4" w:firstLine="7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i/>
          <w:iCs/>
          <w:sz w:val="24"/>
          <w:szCs w:val="24"/>
          <w:lang w:val="en-US"/>
        </w:rPr>
        <w:t>In-silico</w:t>
      </w:r>
      <w:r>
        <w:rPr>
          <w:rFonts w:hint="default" w:ascii="Times New Roman" w:hAnsi="Times New Roman" w:eastAsia="Times New Roman" w:cs="Times New Roman"/>
          <w:sz w:val="24"/>
          <w:szCs w:val="24"/>
          <w:lang w:val="en-US"/>
        </w:rPr>
        <w:t xml:space="preserve"> is a term to describe "performing on a computer or through computer simulation". The term </w:t>
      </w:r>
      <w:r>
        <w:rPr>
          <w:rFonts w:hint="default" w:ascii="Times New Roman" w:hAnsi="Times New Roman" w:eastAsia="Times New Roman" w:cs="Times New Roman"/>
          <w:i/>
          <w:iCs/>
          <w:sz w:val="24"/>
          <w:szCs w:val="24"/>
          <w:lang w:val="en-US"/>
        </w:rPr>
        <w:t>in-silico</w:t>
      </w:r>
      <w:r>
        <w:rPr>
          <w:rFonts w:hint="default" w:ascii="Times New Roman" w:hAnsi="Times New Roman" w:eastAsia="Times New Roman" w:cs="Times New Roman"/>
          <w:sz w:val="24"/>
          <w:szCs w:val="24"/>
          <w:lang w:val="en-US"/>
        </w:rPr>
        <w:t xml:space="preserve"> was first used by the public in 1989 at the </w:t>
      </w:r>
      <w:r>
        <w:rPr>
          <w:rFonts w:hint="default" w:ascii="Times New Roman" w:hAnsi="Times New Roman" w:eastAsia="Times New Roman" w:cs="Times New Roman"/>
          <w:i/>
          <w:iCs/>
          <w:sz w:val="24"/>
          <w:szCs w:val="24"/>
          <w:lang w:val="en-US"/>
        </w:rPr>
        <w:t>"Cellular Automata: Theory and Application"</w:t>
      </w:r>
      <w:r>
        <w:rPr>
          <w:rFonts w:hint="default" w:ascii="Times New Roman" w:hAnsi="Times New Roman" w:eastAsia="Times New Roman" w:cs="Times New Roman"/>
          <w:sz w:val="24"/>
          <w:szCs w:val="24"/>
          <w:lang w:val="en-US"/>
        </w:rPr>
        <w:t xml:space="preserve"> workshop in Los Alamos, New Mexico. Pedro Miramontes, a mathematician from the National Autonomous University of Mexico, presented his results on </w:t>
      </w:r>
      <w:r>
        <w:rPr>
          <w:rFonts w:hint="default" w:ascii="Times New Roman" w:hAnsi="Times New Roman" w:eastAsia="Times New Roman" w:cs="Times New Roman"/>
          <w:i/>
          <w:iCs/>
          <w:sz w:val="24"/>
          <w:szCs w:val="24"/>
          <w:lang w:val="en-US"/>
        </w:rPr>
        <w:t>"DNA and RNA Physiochemical Constraints, Cellular Automata and Molecular Evolution"</w:t>
      </w:r>
      <w:r>
        <w:rPr>
          <w:rFonts w:hint="default" w:ascii="Times New Roman" w:hAnsi="Times New Roman" w:eastAsia="Times New Roman" w:cs="Times New Roman"/>
          <w:sz w:val="24"/>
          <w:szCs w:val="24"/>
          <w:lang w:val="en-US"/>
        </w:rPr>
        <w:t xml:space="preserve">. In his explanation, Miramontes used the term </w:t>
      </w:r>
      <w:r>
        <w:rPr>
          <w:rFonts w:hint="default" w:ascii="Times New Roman" w:hAnsi="Times New Roman" w:eastAsia="Times New Roman" w:cs="Times New Roman"/>
          <w:i/>
          <w:iCs/>
          <w:sz w:val="24"/>
          <w:szCs w:val="24"/>
          <w:lang w:val="en-US"/>
        </w:rPr>
        <w:t>"in silice"</w:t>
      </w:r>
      <w:r>
        <w:rPr>
          <w:rFonts w:hint="default" w:ascii="Times New Roman" w:hAnsi="Times New Roman" w:eastAsia="Times New Roman" w:cs="Times New Roman"/>
          <w:sz w:val="24"/>
          <w:szCs w:val="24"/>
          <w:lang w:val="en-US"/>
        </w:rPr>
        <w:t xml:space="preserve"> to characterize biological research that uses computers entirely.</w:t>
      </w:r>
    </w:p>
    <w:p>
      <w:pPr>
        <w:spacing w:line="360" w:lineRule="auto"/>
        <w:ind w:right="4" w:firstLine="720" w:firstLineChars="0"/>
        <w:jc w:val="both"/>
        <w:rPr>
          <w:rFonts w:ascii="Times New Roman" w:hAnsi="Times New Roman" w:eastAsia="Times New Roman" w:cs="Times New Roman"/>
          <w:sz w:val="24"/>
          <w:szCs w:val="24"/>
        </w:rPr>
      </w:pPr>
      <w:r>
        <w:rPr>
          <w:rFonts w:hint="default" w:ascii="Times New Roman" w:hAnsi="Times New Roman" w:eastAsia="Times New Roman" w:cs="Times New Roman"/>
          <w:i/>
          <w:iCs/>
          <w:sz w:val="24"/>
          <w:szCs w:val="24"/>
          <w:lang w:val="en-US"/>
        </w:rPr>
        <w:t>In-silico</w:t>
      </w:r>
      <w:r>
        <w:rPr>
          <w:rFonts w:hint="default" w:ascii="Times New Roman" w:hAnsi="Times New Roman" w:eastAsia="Times New Roman" w:cs="Times New Roman"/>
          <w:sz w:val="24"/>
          <w:szCs w:val="24"/>
          <w:lang w:val="en-US"/>
        </w:rPr>
        <w:t xml:space="preserve"> is a research approach whose use will be discussed with advances in technology and available databases. This approach is very commonly used in medical and other health care settings. Although this research is relatively new, advances in technology and information databases are already available. This approach is very commonly used in medical and other health care settings. Although</w:t>
      </w:r>
      <w:r>
        <w:rPr>
          <w:rFonts w:hint="default" w:ascii="Times New Roman" w:hAnsi="Times New Roman" w:eastAsia="Times New Roman" w:cs="Times New Roman"/>
          <w:i/>
          <w:iCs/>
          <w:sz w:val="24"/>
          <w:szCs w:val="24"/>
          <w:lang w:val="en-US"/>
        </w:rPr>
        <w:t xml:space="preserve"> in-silico </w:t>
      </w:r>
      <w:r>
        <w:rPr>
          <w:rFonts w:hint="default" w:ascii="Times New Roman" w:hAnsi="Times New Roman" w:eastAsia="Times New Roman" w:cs="Times New Roman"/>
          <w:sz w:val="24"/>
          <w:szCs w:val="24"/>
          <w:lang w:val="en-US"/>
        </w:rPr>
        <w:t>studies are relatively new, they are very widely used. The availability of publicly available, open, and free databases (DNA, RNA, etc.) offers researchers the opportunity to use this information to solve medical problems and advance medical and health sciences.</w:t>
      </w:r>
    </w:p>
    <w:p>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Materials and methods</w:t>
      </w:r>
    </w:p>
    <w:p>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Materials</w:t>
      </w:r>
    </w:p>
    <w:p>
      <w:pPr>
        <w:tabs>
          <w:tab w:val="left" w:pos="7938"/>
        </w:tabs>
        <w:spacing w:after="0" w:line="360" w:lineRule="auto"/>
        <w:ind w:firstLine="720"/>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highlight w:val="white"/>
          <w:lang w:val="en-US"/>
        </w:rPr>
        <w:t xml:space="preserve">The voltage-gated sodium channel-like target gene sequence used in this in-silico test was obtained from NCBI fasta with Popset number: 2325355280 sent by Mashlawi, A.M at </w:t>
      </w:r>
      <w:r>
        <w:fldChar w:fldCharType="begin"/>
      </w:r>
      <w:r>
        <w:instrText xml:space="preserve"> HYPERLINK "https://www.ncbi.nlm.nih.gov/popset/2440747772" \h </w:instrText>
      </w:r>
      <w:r>
        <w:fldChar w:fldCharType="separate"/>
      </w:r>
      <w:r>
        <w:rPr>
          <w:rFonts w:ascii="Times New Roman" w:hAnsi="Times New Roman" w:eastAsia="Times New Roman" w:cs="Times New Roman"/>
          <w:color w:val="1155CC"/>
          <w:sz w:val="24"/>
          <w:szCs w:val="24"/>
          <w:highlight w:val="white"/>
          <w:u w:val="single"/>
        </w:rPr>
        <w:t>https://www.ncbi.nlm.nih.gov/popset/2</w:t>
      </w:r>
      <w:r>
        <w:rPr>
          <w:rFonts w:hint="default" w:ascii="Times New Roman" w:hAnsi="Times New Roman" w:eastAsia="Times New Roman" w:cs="Times New Roman"/>
          <w:color w:val="1155CC"/>
          <w:sz w:val="24"/>
          <w:szCs w:val="24"/>
          <w:highlight w:val="white"/>
          <w:u w:val="single"/>
          <w:lang w:val="en-US"/>
        </w:rPr>
        <w:t>325355280</w:t>
      </w:r>
      <w:r>
        <w:rPr>
          <w:rFonts w:ascii="Times New Roman" w:hAnsi="Times New Roman" w:eastAsia="Times New Roman" w:cs="Times New Roman"/>
          <w:color w:val="1155CC"/>
          <w:sz w:val="24"/>
          <w:szCs w:val="24"/>
          <w:highlight w:val="white"/>
          <w:u w:val="single"/>
        </w:rPr>
        <w:fldChar w:fldCharType="end"/>
      </w:r>
      <w:r>
        <w:rPr>
          <w:rFonts w:hint="default" w:ascii="Times New Roman" w:hAnsi="Times New Roman" w:eastAsia="Times New Roman" w:cs="Times New Roman"/>
          <w:sz w:val="24"/>
          <w:szCs w:val="24"/>
          <w:highlight w:val="white"/>
          <w:lang w:val="en-US"/>
        </w:rPr>
        <w:t xml:space="preserve">. In the Popset there are 53 gene sequences coding for restriction enzyme candidate screening that will be used in in-silico RFLP on the site http://insilico.ehu.es/restriction/. This tool will compare the restriction patterns of many DNA sequences tested as well as the restriction enzymes that cut them. </w:t>
      </w:r>
    </w:p>
    <w:p>
      <w:pPr>
        <w:tabs>
          <w:tab w:val="left" w:pos="7938"/>
        </w:tabs>
        <w:spacing w:after="0" w:line="480" w:lineRule="auto"/>
        <w:jc w:val="both"/>
        <w:rPr>
          <w:rFonts w:ascii="Times New Roman" w:hAnsi="Times New Roman" w:eastAsia="Times New Roman" w:cs="Times New Roman"/>
          <w:b/>
          <w:bCs w:val="0"/>
          <w:sz w:val="24"/>
          <w:szCs w:val="24"/>
        </w:rPr>
      </w:pPr>
      <w:r>
        <w:rPr>
          <w:rFonts w:ascii="Times New Roman" w:hAnsi="Times New Roman" w:eastAsia="Times New Roman" w:cs="Times New Roman"/>
          <w:b/>
          <w:bCs w:val="0"/>
          <w:sz w:val="24"/>
          <w:szCs w:val="24"/>
        </w:rPr>
        <w:t>Methods</w:t>
      </w:r>
    </w:p>
    <w:p>
      <w:pPr>
        <w:tabs>
          <w:tab w:val="left" w:pos="7938"/>
        </w:tabs>
        <w:spacing w:after="0" w:line="360" w:lineRule="auto"/>
        <w:ind w:firstLine="720" w:firstLineChars="300"/>
        <w:jc w:val="both"/>
        <w:rPr>
          <w:rFonts w:ascii="Times New Roman" w:hAnsi="Times New Roman" w:eastAsia="Times New Roman" w:cs="Times New Roman"/>
          <w:b w:val="0"/>
          <w:bCs/>
          <w:sz w:val="24"/>
          <w:szCs w:val="24"/>
        </w:rPr>
      </w:pPr>
      <w:r>
        <w:rPr>
          <w:rFonts w:hint="default" w:ascii="Times New Roman" w:hAnsi="Times New Roman" w:eastAsia="Times New Roman" w:cs="Times New Roman"/>
          <w:sz w:val="24"/>
          <w:szCs w:val="24"/>
          <w:highlight w:val="white"/>
          <w:lang w:val="en-US"/>
        </w:rPr>
        <w:t xml:space="preserve">On the site </w:t>
      </w:r>
      <w:r>
        <w:rPr>
          <w:rStyle w:val="13"/>
          <w:rFonts w:hint="default" w:ascii="Times New Roman" w:hAnsi="Times New Roman" w:cs="Times New Roman"/>
          <w:sz w:val="24"/>
          <w:szCs w:val="24"/>
          <w:lang w:val="en-US"/>
        </w:rPr>
        <w:t>http://insilico.ehu.es/restriction/</w:t>
      </w:r>
      <w:r>
        <w:rPr>
          <w:rFonts w:hint="default" w:ascii="Times New Roman" w:hAnsi="Times New Roman" w:eastAsia="Times New Roman" w:cs="Times New Roman"/>
          <w:sz w:val="24"/>
          <w:szCs w:val="24"/>
          <w:highlight w:val="white"/>
          <w:lang w:val="en-US"/>
        </w:rPr>
        <w:t xml:space="preserve">, select "Compare reconstruct pattern of many sequences". This gene sequence has been downloaded in fasta format beforehand, entered in the existing column. In the next step, the results of the alignment of each sequence will be seen and the same sequences will be discarded to facilitate the analysis process. Next, select the option "only restriction enzymes with known bases (no N,R,Y...)" to get restriction enzymes with good results. Then select the option "Get the list restriction enzyme" to get the restriction enzyme results that will be used in the next stage, namely </w:t>
      </w:r>
      <w:r>
        <w:rPr>
          <w:rFonts w:hint="default" w:ascii="Times New Roman" w:hAnsi="Times New Roman" w:eastAsia="Times New Roman" w:cs="Times New Roman"/>
          <w:i/>
          <w:iCs/>
          <w:sz w:val="24"/>
          <w:szCs w:val="24"/>
          <w:highlight w:val="white"/>
          <w:lang w:val="en-US"/>
        </w:rPr>
        <w:t>Restriction-Fragment Length Polymorphism</w:t>
      </w:r>
      <w:r>
        <w:rPr>
          <w:rFonts w:hint="default" w:ascii="Times New Roman" w:hAnsi="Times New Roman" w:eastAsia="Times New Roman" w:cs="Times New Roman"/>
          <w:sz w:val="24"/>
          <w:szCs w:val="24"/>
          <w:highlight w:val="white"/>
          <w:lang w:val="en-US"/>
        </w:rPr>
        <w:t xml:space="preserve"> (RFLP)</w:t>
      </w:r>
      <w:r>
        <w:rPr>
          <w:rFonts w:hint="default" w:ascii="Times New Roman" w:hAnsi="Times New Roman" w:eastAsia="Times New Roman" w:cs="Times New Roman"/>
          <w:i/>
          <w:iCs/>
          <w:sz w:val="24"/>
          <w:szCs w:val="24"/>
          <w:highlight w:val="white"/>
          <w:lang w:val="en-US"/>
        </w:rPr>
        <w:t xml:space="preserve"> in-silico</w:t>
      </w:r>
      <w:r>
        <w:rPr>
          <w:rFonts w:hint="default" w:ascii="Times New Roman" w:hAnsi="Times New Roman" w:eastAsia="Times New Roman" w:cs="Times New Roman"/>
          <w:sz w:val="24"/>
          <w:szCs w:val="24"/>
          <w:highlight w:val="white"/>
          <w:lang w:val="en-US"/>
        </w:rPr>
        <w:t xml:space="preserve"> or virtual restriction carried out using tools on the site </w:t>
      </w:r>
      <w:r>
        <w:rPr>
          <w:rStyle w:val="13"/>
          <w:rFonts w:hint="default" w:ascii="Times New Roman" w:hAnsi="Times New Roman" w:cs="Times New Roman"/>
          <w:sz w:val="24"/>
          <w:szCs w:val="24"/>
          <w:lang w:val="en-US"/>
        </w:rPr>
        <w:t>https://www .benchling.com/</w:t>
      </w:r>
      <w:r>
        <w:rPr>
          <w:rFonts w:hint="default" w:ascii="Times New Roman" w:hAnsi="Times New Roman" w:eastAsia="Times New Roman" w:cs="Times New Roman"/>
          <w:sz w:val="24"/>
          <w:szCs w:val="24"/>
          <w:highlight w:val="white"/>
          <w:lang w:val="en-US"/>
        </w:rPr>
        <w:t>. This site is free, but you must register first using your email or Google account. The initial stage carried out was to import 30 voltage-gated sodium channel-like gene sequences that had been downloaded from NCBI into the project folder on the Benchling website. Next, make the cut by clicking the scissors symbol in the right corner of the screen. Then select “find enzyme” and select the name of the restriction enzyme that was previously determined during screening. Next, click the "run digest" menu to carry out restrictions. The electrophorogram image is obtained by clicking on the "virtual digest" menu</w:t>
      </w:r>
      <w:r>
        <w:rPr>
          <w:rFonts w:ascii="Times New Roman" w:hAnsi="Times New Roman" w:eastAsia="Times New Roman" w:cs="Times New Roman"/>
          <w:sz w:val="24"/>
          <w:szCs w:val="24"/>
          <w:highlight w:val="white"/>
        </w:rPr>
        <w:t>.</w:t>
      </w:r>
      <w:bookmarkStart w:id="0" w:name="_heading=h.gjdgxs" w:colFirst="0" w:colLast="0"/>
      <w:bookmarkEnd w:id="0"/>
      <w:bookmarkStart w:id="1" w:name="_heading=h.1fob9te" w:colFirst="0" w:colLast="0"/>
      <w:bookmarkEnd w:id="1"/>
    </w:p>
    <w:p>
      <w:pPr>
        <w:spacing w:line="360" w:lineRule="auto"/>
        <w:ind w:left="-284" w:right="4" w:firstLine="284"/>
        <w:jc w:val="both"/>
        <w:rPr>
          <w:rFonts w:ascii="Times New Roman" w:hAnsi="Times New Roman" w:eastAsia="Times New Roman" w:cs="Times New Roman"/>
          <w:b/>
          <w:sz w:val="24"/>
          <w:szCs w:val="24"/>
        </w:rPr>
      </w:pPr>
    </w:p>
    <w:p>
      <w:pPr>
        <w:spacing w:line="360" w:lineRule="auto"/>
        <w:ind w:left="-284" w:right="4" w:firstLine="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Results and Discussion</w:t>
      </w:r>
    </w:p>
    <w:p>
      <w:pPr>
        <w:spacing w:line="360" w:lineRule="auto"/>
        <w:jc w:val="both"/>
        <w:rPr>
          <w:rFonts w:hint="default" w:ascii="Times New Roman" w:hAnsi="Times New Roman"/>
          <w:b w:val="0"/>
          <w:bCs w:val="0"/>
          <w:sz w:val="24"/>
          <w:szCs w:val="24"/>
          <w:lang w:val="en-US"/>
        </w:rPr>
      </w:pPr>
      <w:r>
        <w:rPr>
          <w:rFonts w:ascii="Times New Roman" w:hAnsi="Times New Roman" w:eastAsia="Times New Roman" w:cs="Times New Roman"/>
          <w:b/>
          <w:sz w:val="24"/>
          <w:szCs w:val="24"/>
        </w:rPr>
        <w:t>Restriction Enzyme Candidate Screening</w:t>
      </w:r>
    </w:p>
    <w:p>
      <w:pPr>
        <w:spacing w:line="36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Screening for restriction enzyme candidates is carried out on the website (</w:t>
      </w:r>
      <w:r>
        <w:rPr>
          <w:rStyle w:val="13"/>
          <w:rFonts w:hint="default" w:ascii="Times New Roman" w:hAnsi="Times New Roman" w:cs="Times New Roman"/>
          <w:sz w:val="24"/>
          <w:szCs w:val="24"/>
          <w:lang w:val="en-US"/>
        </w:rPr>
        <w:t>http://insilico.ehu.es/restriction/</w:t>
      </w:r>
      <w:r>
        <w:rPr>
          <w:rFonts w:hint="default" w:ascii="Times New Roman" w:hAnsi="Times New Roman"/>
          <w:b w:val="0"/>
          <w:bCs w:val="0"/>
          <w:sz w:val="24"/>
          <w:szCs w:val="24"/>
          <w:lang w:val="en-US"/>
        </w:rPr>
        <w:t xml:space="preserve">) by means of before entering the fasta sequence in </w:t>
      </w:r>
      <w:r>
        <w:rPr>
          <w:rFonts w:hint="default" w:ascii="Times New Roman" w:hAnsi="Times New Roman"/>
          <w:b w:val="0"/>
          <w:bCs w:val="0"/>
          <w:i/>
          <w:iCs/>
          <w:sz w:val="24"/>
          <w:szCs w:val="24"/>
          <w:lang w:val="en-US"/>
        </w:rPr>
        <w:t>in-silico,</w:t>
      </w:r>
      <w:r>
        <w:rPr>
          <w:rFonts w:hint="default" w:ascii="Times New Roman" w:hAnsi="Times New Roman"/>
          <w:b w:val="0"/>
          <w:bCs w:val="0"/>
          <w:sz w:val="24"/>
          <w:szCs w:val="24"/>
          <w:lang w:val="en-US"/>
        </w:rPr>
        <w:t xml:space="preserve"> we first take the fasta on the NCBI website. The NCBI PopSet used for this restriction enzyme is PopSet: 2325355280. Where the organism is </w:t>
      </w:r>
      <w:r>
        <w:rPr>
          <w:rFonts w:hint="default" w:ascii="Times New Roman" w:hAnsi="Times New Roman"/>
          <w:b w:val="0"/>
          <w:bCs w:val="0"/>
          <w:i/>
          <w:iCs/>
          <w:sz w:val="24"/>
          <w:szCs w:val="24"/>
          <w:lang w:val="en-US"/>
        </w:rPr>
        <w:t>Aedes aegypti</w:t>
      </w:r>
      <w:r>
        <w:rPr>
          <w:rFonts w:hint="default" w:ascii="Times New Roman" w:hAnsi="Times New Roman"/>
          <w:b w:val="0"/>
          <w:bCs w:val="0"/>
          <w:sz w:val="24"/>
          <w:szCs w:val="24"/>
          <w:lang w:val="en-US"/>
        </w:rPr>
        <w:t xml:space="preserve"> with a target gene voltage-gated sodium channel-like gene. When you have finished screening restriction enzymes, select one of the enzymes that has a variety of cutting edges in each sequence sample. The results of restriction enzyme screening from the Voltage-Gated Sodium Chanel gene sequence in</w:t>
      </w:r>
      <w:r>
        <w:rPr>
          <w:rFonts w:hint="default" w:ascii="Times New Roman" w:hAnsi="Times New Roman"/>
          <w:b w:val="0"/>
          <w:bCs w:val="0"/>
          <w:i/>
          <w:iCs/>
          <w:sz w:val="24"/>
          <w:szCs w:val="24"/>
          <w:lang w:val="en-US"/>
        </w:rPr>
        <w:t xml:space="preserve"> Aedes aegypti </w:t>
      </w:r>
      <w:r>
        <w:rPr>
          <w:rFonts w:hint="default" w:ascii="Times New Roman" w:hAnsi="Times New Roman"/>
          <w:b w:val="0"/>
          <w:bCs w:val="0"/>
          <w:sz w:val="24"/>
          <w:szCs w:val="24"/>
          <w:lang w:val="en-US"/>
        </w:rPr>
        <w:t>can be seen in Figure 2.</w:t>
      </w:r>
    </w:p>
    <w:p>
      <w:pPr>
        <w:spacing w:line="360" w:lineRule="auto"/>
        <w:jc w:val="center"/>
        <w:rPr>
          <w:rFonts w:hint="default" w:ascii="Times New Roman" w:hAnsi="Times New Roman"/>
          <w:b w:val="0"/>
          <w:bCs w:val="0"/>
          <w:sz w:val="24"/>
          <w:szCs w:val="24"/>
          <w:lang w:val="en-US"/>
        </w:rPr>
      </w:pPr>
      <w:r>
        <w:rPr>
          <w:rFonts w:ascii="Arial" w:hAnsi="Arial" w:eastAsia="Arial" w:cs="Arial"/>
          <w:b w:val="0"/>
          <w:i w:val="0"/>
          <w:smallCaps w:val="0"/>
          <w:strike w:val="0"/>
          <w:color w:val="000000"/>
          <w:sz w:val="22"/>
          <w:szCs w:val="22"/>
          <w:u w:val="none"/>
          <w:shd w:val="clear" w:fill="auto"/>
          <w:vertAlign w:val="baseline"/>
        </w:rPr>
        <w:drawing>
          <wp:inline distT="0" distB="0" distL="114300" distR="114300">
            <wp:extent cx="6365875" cy="5297805"/>
            <wp:effectExtent l="0" t="0" r="15875" b="17145"/>
            <wp:docPr id="1" name="image2.jpg" descr="WhatsApp Image 2022-12-31 at 17.02.43"/>
            <wp:cNvGraphicFramePr/>
            <a:graphic xmlns:a="http://schemas.openxmlformats.org/drawingml/2006/main">
              <a:graphicData uri="http://schemas.openxmlformats.org/drawingml/2006/picture">
                <pic:pic xmlns:pic="http://schemas.openxmlformats.org/drawingml/2006/picture">
                  <pic:nvPicPr>
                    <pic:cNvPr id="1" name="image2.jpg" descr="WhatsApp Image 2022-12-31 at 17.02.43"/>
                    <pic:cNvPicPr preferRelativeResize="0"/>
                  </pic:nvPicPr>
                  <pic:blipFill>
                    <a:blip r:embed="rId7"/>
                    <a:srcRect/>
                    <a:stretch>
                      <a:fillRect/>
                    </a:stretch>
                  </pic:blipFill>
                  <pic:spPr>
                    <a:xfrm>
                      <a:off x="0" y="0"/>
                      <a:ext cx="6365875" cy="5297805"/>
                    </a:xfrm>
                    <a:prstGeom prst="rect">
                      <a:avLst/>
                    </a:prstGeom>
                  </pic:spPr>
                </pic:pic>
              </a:graphicData>
            </a:graphic>
          </wp:inline>
        </w:drawing>
      </w:r>
    </w:p>
    <w:p>
      <w:pPr>
        <w:spacing w:line="360" w:lineRule="auto"/>
        <w:jc w:val="center"/>
        <w:rPr>
          <w:rFonts w:hint="default" w:ascii="Times New Roman" w:hAnsi="Times New Roman"/>
          <w:b/>
          <w:bCs/>
          <w:sz w:val="24"/>
          <w:szCs w:val="24"/>
          <w:lang w:val="en-US"/>
        </w:rPr>
      </w:pPr>
      <w:r>
        <w:rPr>
          <w:rFonts w:hint="default" w:ascii="Times New Roman" w:hAnsi="Times New Roman"/>
          <w:b w:val="0"/>
          <w:bCs w:val="0"/>
          <w:sz w:val="24"/>
          <w:szCs w:val="24"/>
          <w:lang w:val="en-US"/>
        </w:rPr>
        <w:t>Figure 2. Restriction enzyme screening</w:t>
      </w:r>
    </w:p>
    <w:p>
      <w:pPr>
        <w:spacing w:line="36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RFLP </w:t>
      </w:r>
      <w:r>
        <w:rPr>
          <w:rFonts w:hint="default" w:ascii="Times New Roman" w:hAnsi="Times New Roman"/>
          <w:b/>
          <w:bCs/>
          <w:i/>
          <w:iCs/>
          <w:sz w:val="24"/>
          <w:szCs w:val="24"/>
          <w:lang w:val="en-US"/>
        </w:rPr>
        <w:t>In-silico</w:t>
      </w:r>
      <w:r>
        <w:rPr>
          <w:rFonts w:hint="default" w:ascii="Times New Roman" w:hAnsi="Times New Roman"/>
          <w:b/>
          <w:bCs/>
          <w:sz w:val="24"/>
          <w:szCs w:val="24"/>
          <w:lang w:val="en-US"/>
        </w:rPr>
        <w:t xml:space="preserve"> </w:t>
      </w:r>
    </w:p>
    <w:p>
      <w:pPr>
        <w:spacing w:line="36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w:t>
      </w:r>
      <w:r>
        <w:rPr>
          <w:rFonts w:hint="default" w:ascii="Times New Roman" w:hAnsi="Times New Roman"/>
          <w:b w:val="0"/>
          <w:bCs w:val="0"/>
          <w:i/>
          <w:iCs/>
          <w:sz w:val="24"/>
          <w:szCs w:val="24"/>
          <w:lang w:val="en-US"/>
        </w:rPr>
        <w:t xml:space="preserve"> in-silico</w:t>
      </w:r>
      <w:r>
        <w:rPr>
          <w:rFonts w:hint="default" w:ascii="Times New Roman" w:hAnsi="Times New Roman"/>
          <w:b w:val="0"/>
          <w:bCs w:val="0"/>
          <w:sz w:val="24"/>
          <w:szCs w:val="24"/>
          <w:lang w:val="en-US"/>
        </w:rPr>
        <w:t xml:space="preserve"> restriction is carried out by logging into the benchling website. This is done by importing 30 sequences into the database, after which you will see information about the enzyme that cuts at what nucleotide position and produces what size fragments and you will also see ladder information from these sequences.</w:t>
      </w:r>
    </w:p>
    <w:p>
      <w:pPr>
        <w:spacing w:line="36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restriction enzyme used is the NheI enzyme because this enzyme has cutting variations in each sequence sample. The results of </w:t>
      </w:r>
      <w:r>
        <w:rPr>
          <w:rFonts w:hint="default" w:ascii="Times New Roman" w:hAnsi="Times New Roman"/>
          <w:b w:val="0"/>
          <w:bCs w:val="0"/>
          <w:i/>
          <w:iCs/>
          <w:sz w:val="24"/>
          <w:szCs w:val="24"/>
          <w:lang w:val="en-US"/>
        </w:rPr>
        <w:t>in-silico</w:t>
      </w:r>
      <w:r>
        <w:rPr>
          <w:rFonts w:hint="default" w:ascii="Times New Roman" w:hAnsi="Times New Roman"/>
          <w:b w:val="0"/>
          <w:bCs w:val="0"/>
          <w:sz w:val="24"/>
          <w:szCs w:val="24"/>
          <w:lang w:val="en-US"/>
        </w:rPr>
        <w:t xml:space="preserve"> RFLP using the NheI restriction enzyme can be seen in Figure 3.</w:t>
      </w:r>
    </w:p>
    <w:p>
      <w:pPr>
        <w:spacing w:line="360" w:lineRule="auto"/>
        <w:jc w:val="center"/>
        <w:rPr>
          <w:vertAlign w:val="baseline"/>
        </w:rPr>
      </w:pPr>
      <w:r>
        <w:rPr>
          <w:vertAlign w:val="baseline"/>
        </w:rPr>
        <w:drawing>
          <wp:inline distT="0" distB="0" distL="114300" distR="114300">
            <wp:extent cx="5866130" cy="2228215"/>
            <wp:effectExtent l="0" t="0" r="1270" b="635"/>
            <wp:docPr id="1030" name="image3.png" descr="virtual_digest_sequence_ON651394 (2)"/>
            <wp:cNvGraphicFramePr/>
            <a:graphic xmlns:a="http://schemas.openxmlformats.org/drawingml/2006/main">
              <a:graphicData uri="http://schemas.openxmlformats.org/drawingml/2006/picture">
                <pic:pic xmlns:pic="http://schemas.openxmlformats.org/drawingml/2006/picture">
                  <pic:nvPicPr>
                    <pic:cNvPr id="1030" name="image3.png" descr="virtual_digest_sequence_ON651394 (2)"/>
                    <pic:cNvPicPr preferRelativeResize="0"/>
                  </pic:nvPicPr>
                  <pic:blipFill>
                    <a:blip r:embed="rId8"/>
                    <a:srcRect t="62185"/>
                    <a:stretch>
                      <a:fillRect/>
                    </a:stretch>
                  </pic:blipFill>
                  <pic:spPr>
                    <a:xfrm>
                      <a:off x="0" y="0"/>
                      <a:ext cx="5866130" cy="2228215"/>
                    </a:xfrm>
                    <a:prstGeom prst="rect">
                      <a:avLst/>
                    </a:prstGeom>
                  </pic:spPr>
                </pic:pic>
              </a:graphicData>
            </a:graphic>
          </wp:inline>
        </w:drawing>
      </w:r>
    </w:p>
    <w:p>
      <w:pPr>
        <w:spacing w:line="360" w:lineRule="auto"/>
        <w:jc w:val="center"/>
        <w:rPr>
          <w:rFonts w:hint="default"/>
          <w:vertAlign w:val="baseline"/>
          <w:lang w:val="en-US"/>
        </w:rPr>
      </w:pPr>
      <w:r>
        <w:rPr>
          <w:vertAlign w:val="baseline"/>
        </w:rPr>
        <w:drawing>
          <wp:inline distT="0" distB="0" distL="114300" distR="114300">
            <wp:extent cx="5904865" cy="2400935"/>
            <wp:effectExtent l="0" t="0" r="635" b="18415"/>
            <wp:docPr id="1032" name="image3.png" descr="virtual_digest_sequence_ON651394 (2)"/>
            <wp:cNvGraphicFramePr/>
            <a:graphic xmlns:a="http://schemas.openxmlformats.org/drawingml/2006/main">
              <a:graphicData uri="http://schemas.openxmlformats.org/drawingml/2006/picture">
                <pic:pic xmlns:pic="http://schemas.openxmlformats.org/drawingml/2006/picture">
                  <pic:nvPicPr>
                    <pic:cNvPr id="1032" name="image3.png" descr="virtual_digest_sequence_ON651394 (2)"/>
                    <pic:cNvPicPr preferRelativeResize="0"/>
                  </pic:nvPicPr>
                  <pic:blipFill>
                    <a:blip r:embed="rId8"/>
                    <a:srcRect t="62249"/>
                    <a:stretch>
                      <a:fillRect/>
                    </a:stretch>
                  </pic:blipFill>
                  <pic:spPr>
                    <a:xfrm>
                      <a:off x="0" y="0"/>
                      <a:ext cx="5904865" cy="2400935"/>
                    </a:xfrm>
                    <a:prstGeom prst="rect">
                      <a:avLst/>
                    </a:prstGeom>
                  </pic:spPr>
                </pic:pic>
              </a:graphicData>
            </a:graphic>
          </wp:inline>
        </w:drawing>
      </w:r>
    </w:p>
    <w:p>
      <w:pPr>
        <w:spacing w:line="36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3. Restriction electrophorogram using the NheI enzyme</w:t>
      </w:r>
    </w:p>
    <w:p>
      <w:pPr>
        <w:spacing w:line="36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Restriction using the NheI enzyme on the Voltage-Gated Sodium Chanel gene sequence in </w:t>
      </w:r>
      <w:r>
        <w:rPr>
          <w:rFonts w:hint="default" w:ascii="Times New Roman" w:hAnsi="Times New Roman"/>
          <w:b w:val="0"/>
          <w:bCs w:val="0"/>
          <w:i/>
          <w:iCs/>
          <w:sz w:val="24"/>
          <w:szCs w:val="24"/>
          <w:lang w:val="en-US"/>
        </w:rPr>
        <w:t>Aedes aegypti</w:t>
      </w:r>
      <w:r>
        <w:rPr>
          <w:rFonts w:hint="default" w:ascii="Times New Roman" w:hAnsi="Times New Roman"/>
          <w:b w:val="0"/>
          <w:bCs w:val="0"/>
          <w:sz w:val="24"/>
          <w:szCs w:val="24"/>
          <w:lang w:val="en-US"/>
        </w:rPr>
        <w:t xml:space="preserve"> using 30 gene sequences produced two different gene variations, namely the A1 allele has a band fragment measuring 500 bp and the A2 allele has a band fragment measuring 250 bp. In the fragment obtained there was only 1 band which indicated that there was no cutting by the restriction enzyme along the fragment so it remained intact.</w:t>
      </w:r>
    </w:p>
    <w:p>
      <w:pPr>
        <w:spacing w:line="360" w:lineRule="auto"/>
        <w:ind w:firstLine="720" w:firstLineChars="0"/>
        <w:jc w:val="both"/>
        <w:rPr>
          <w:rFonts w:hint="default" w:ascii="Times New Roman" w:hAnsi="Times New Roman"/>
          <w:b w:val="0"/>
          <w:bCs w:val="0"/>
          <w:sz w:val="24"/>
          <w:szCs w:val="24"/>
          <w:lang w:val="en-US"/>
        </w:rPr>
      </w:pPr>
    </w:p>
    <w:p>
      <w:pPr>
        <w:spacing w:line="360" w:lineRule="auto"/>
        <w:ind w:firstLine="720" w:firstLineChars="0"/>
        <w:jc w:val="both"/>
        <w:rPr>
          <w:rFonts w:hint="default" w:ascii="Times New Roman" w:hAnsi="Times New Roman"/>
          <w:b w:val="0"/>
          <w:bCs w:val="0"/>
          <w:sz w:val="24"/>
          <w:szCs w:val="24"/>
          <w:lang w:val="en-US"/>
        </w:rPr>
      </w:pPr>
    </w:p>
    <w:p>
      <w:pPr>
        <w:spacing w:line="360" w:lineRule="auto"/>
        <w:ind w:firstLine="720" w:firstLineChars="0"/>
        <w:jc w:val="both"/>
        <w:rPr>
          <w:rFonts w:hint="default" w:ascii="Times New Roman" w:hAnsi="Times New Roman"/>
          <w:b w:val="0"/>
          <w:bCs w:val="0"/>
          <w:sz w:val="24"/>
          <w:szCs w:val="24"/>
          <w:lang w:val="en-US"/>
        </w:rPr>
      </w:pPr>
    </w:p>
    <w:p>
      <w:pPr>
        <w:spacing w:line="360" w:lineRule="auto"/>
        <w:ind w:firstLine="720" w:firstLineChars="0"/>
        <w:jc w:val="both"/>
        <w:rPr>
          <w:rFonts w:hint="default" w:ascii="Times New Roman" w:hAnsi="Times New Roman"/>
          <w:b w:val="0"/>
          <w:bCs w:val="0"/>
          <w:sz w:val="24"/>
          <w:szCs w:val="24"/>
          <w:lang w:val="en-US"/>
        </w:rPr>
      </w:pPr>
    </w:p>
    <w:tbl>
      <w:tblPr>
        <w:tblStyle w:val="23"/>
        <w:tblW w:w="967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6"/>
        <w:gridCol w:w="1389"/>
        <w:gridCol w:w="1309"/>
        <w:gridCol w:w="1282"/>
        <w:gridCol w:w="1316"/>
        <w:gridCol w:w="1327"/>
        <w:gridCol w:w="17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Enzim Restriksi</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Situs Pengenalan Restriksi</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Ukuran Fragmen (bp)</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Alel</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Jumlah Kehadiran Fragmen</w:t>
            </w:r>
          </w:p>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(N = 30)</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 xml:space="preserve">Presentase Kehadiran Fragmen </w:t>
            </w:r>
          </w:p>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w:t>
            </w:r>
          </w:p>
        </w:tc>
        <w:tc>
          <w:tcPr>
            <w:tcW w:w="1743" w:type="dxa"/>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Frekuensi Alel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NheI</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G’CTAG_C</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500 bp</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A1</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11</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36,7%</w:t>
            </w:r>
          </w:p>
        </w:tc>
        <w:tc>
          <w:tcPr>
            <w:tcW w:w="1743" w:type="dxa"/>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0,367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pPr>
              <w:spacing w:line="240" w:lineRule="auto"/>
              <w:ind w:left="0" w:hanging="2"/>
              <w:jc w:val="center"/>
              <w:rPr>
                <w:rFonts w:hint="default" w:ascii="Times New Roman" w:hAnsi="Times New Roman" w:cs="Times New Roman"/>
                <w:color w:val="000000"/>
                <w:sz w:val="24"/>
                <w:szCs w:val="24"/>
                <w:vertAlign w:val="baseline"/>
              </w:rPr>
            </w:pP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250 bp</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A2</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19</w:t>
            </w:r>
          </w:p>
        </w:tc>
        <w:tc>
          <w:tcPr>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63,3%</w:t>
            </w:r>
          </w:p>
        </w:tc>
        <w:tc>
          <w:tcPr>
            <w:tcW w:w="1743" w:type="dxa"/>
            <w:vAlign w:val="top"/>
          </w:tcPr>
          <w:p>
            <w:pPr>
              <w:spacing w:line="240" w:lineRule="auto"/>
              <w:ind w:left="0" w:hanging="2"/>
              <w:jc w:val="center"/>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tl w:val="0"/>
              </w:rPr>
              <w:t>0,633</w:t>
            </w:r>
          </w:p>
        </w:tc>
      </w:tr>
    </w:tbl>
    <w:p>
      <w:pPr>
        <w:spacing w:line="360" w:lineRule="auto"/>
        <w:jc w:val="center"/>
        <w:rPr>
          <w:rFonts w:hint="default" w:ascii="Times New Roman" w:hAnsi="Times New Roman"/>
          <w:b/>
          <w:bCs/>
          <w:i/>
          <w:iCs/>
          <w:sz w:val="24"/>
          <w:szCs w:val="24"/>
          <w:lang w:val="en-US"/>
        </w:rPr>
      </w:pPr>
      <w:r>
        <w:rPr>
          <w:rFonts w:hint="default" w:ascii="Times New Roman" w:hAnsi="Times New Roman"/>
          <w:b w:val="0"/>
          <w:bCs w:val="0"/>
          <w:sz w:val="24"/>
          <w:szCs w:val="24"/>
          <w:lang w:val="en-US"/>
        </w:rPr>
        <w:t>Table 1. Analysis using the</w:t>
      </w:r>
      <w:r>
        <w:rPr>
          <w:rFonts w:hint="default" w:ascii="Times New Roman" w:hAnsi="Times New Roman"/>
          <w:b w:val="0"/>
          <w:bCs w:val="0"/>
          <w:i/>
          <w:iCs/>
          <w:sz w:val="24"/>
          <w:szCs w:val="24"/>
          <w:lang w:val="en-US"/>
        </w:rPr>
        <w:t xml:space="preserve"> in-silico</w:t>
      </w:r>
      <w:r>
        <w:rPr>
          <w:rFonts w:hint="default" w:ascii="Times New Roman" w:hAnsi="Times New Roman"/>
          <w:b w:val="0"/>
          <w:bCs w:val="0"/>
          <w:sz w:val="24"/>
          <w:szCs w:val="24"/>
          <w:lang w:val="en-US"/>
        </w:rPr>
        <w:t xml:space="preserve"> RFLP method on</w:t>
      </w:r>
      <w:r>
        <w:rPr>
          <w:rFonts w:hint="default" w:ascii="Times New Roman" w:hAnsi="Times New Roman"/>
          <w:b w:val="0"/>
          <w:bCs w:val="0"/>
          <w:i/>
          <w:iCs/>
          <w:sz w:val="24"/>
          <w:szCs w:val="24"/>
          <w:lang w:val="en-US"/>
        </w:rPr>
        <w:t xml:space="preserve"> Aedes aegypti</w:t>
      </w:r>
    </w:p>
    <w:p>
      <w:pPr>
        <w:spacing w:line="36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Based on Table 1, using the NheI restriction enzyme which has a G'CTAG_C recognition site, we obtained two alleles, namely A1 and A2 with two different fragment sizes, where the A1 allele has an RNA fragment of 500 bp and the A2 allele has a fragment size of 250 bp. Of the 30 sequence fragments used, 11 sequences have a fragment length of 500 bp and 19 sequences have a fragment length of 250 bp. The fragment percentages of the two alleles are also different, where the A1 allele has a percentage of 36.7% and the A2 allele has a percentage of 63.3%. The allele frequency of the two alleles is also different, the A1 allele is 0.367 and the A2 allele is 0.633. The A2 allele dominates the population in PopSet 2325355280 compared to the A1 allele.</w:t>
      </w:r>
    </w:p>
    <w:p>
      <w:pPr>
        <w:spacing w:line="360" w:lineRule="auto"/>
        <w:ind w:firstLine="720" w:firstLineChars="0"/>
        <w:jc w:val="both"/>
        <w:rPr>
          <w:rFonts w:ascii="Times New Roman" w:hAnsi="Times New Roman" w:eastAsia="Times New Roman" w:cs="Times New Roman"/>
          <w:sz w:val="24"/>
          <w:szCs w:val="24"/>
        </w:rPr>
      </w:pPr>
      <w:r>
        <w:rPr>
          <w:rFonts w:hint="default" w:ascii="Times New Roman" w:hAnsi="Times New Roman"/>
          <w:b w:val="0"/>
          <w:bCs w:val="0"/>
          <w:sz w:val="24"/>
          <w:szCs w:val="24"/>
          <w:lang w:val="en-US"/>
        </w:rPr>
        <w:t>The percentage of genetic variation shows the level of genetic diversity of an organism which also shows the tolerance range of the organism to adapt for its survival. Organisms that have high diversity will be easier to adapt than organisms that have low diversity.</w:t>
      </w:r>
      <w:bookmarkStart w:id="2" w:name="_heading=h.tyjcwt" w:colFirst="0" w:colLast="0"/>
      <w:bookmarkEnd w:id="2"/>
    </w:p>
    <w:p>
      <w:pPr>
        <w:spacing w:line="276" w:lineRule="auto"/>
        <w:ind w:left="142" w:right="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Conclusions</w:t>
      </w:r>
    </w:p>
    <w:p>
      <w:pPr>
        <w:spacing w:line="276" w:lineRule="auto"/>
        <w:ind w:left="142" w:right="4" w:firstLine="719" w:firstLineChars="0"/>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Based on the results obtained in the process of screening restriction enzymes and carrying out RFLP</w:t>
      </w:r>
      <w:r>
        <w:rPr>
          <w:rFonts w:hint="default" w:ascii="Times New Roman" w:hAnsi="Times New Roman" w:eastAsia="Times New Roman" w:cs="Times New Roman"/>
          <w:i/>
          <w:iCs/>
          <w:sz w:val="24"/>
          <w:szCs w:val="24"/>
          <w:lang w:val="en-US"/>
        </w:rPr>
        <w:t xml:space="preserve"> in-silico</w:t>
      </w:r>
      <w:r>
        <w:rPr>
          <w:rFonts w:hint="default" w:ascii="Times New Roman" w:hAnsi="Times New Roman" w:eastAsia="Times New Roman" w:cs="Times New Roman"/>
          <w:sz w:val="24"/>
          <w:szCs w:val="24"/>
          <w:lang w:val="en-US"/>
        </w:rPr>
        <w:t>, it was found that the enzyme used in the RFLP process was the NheI enzyme. Using this enzyme produces two fragment alleles, namely Allele A1 and Allele A2. Allele A1 has a fragment measuring 500 bp and Allele A2 has a fragment size of 250 bp. Allele A2 is more dominant than Allele A1 because it has a presentation of 63.3%.</w:t>
      </w:r>
      <w:r>
        <w:rPr>
          <w:rFonts w:ascii="Times New Roman" w:hAnsi="Times New Roman" w:eastAsia="Times New Roman" w:cs="Times New Roman"/>
          <w:sz w:val="24"/>
          <w:szCs w:val="24"/>
        </w:rPr>
        <w:t xml:space="preserve"> </w:t>
      </w:r>
    </w:p>
    <w:p>
      <w:pPr>
        <w:tabs>
          <w:tab w:val="left" w:pos="142"/>
        </w:tabs>
        <w:spacing w:line="276" w:lineRule="auto"/>
        <w:ind w:left="426" w:right="4" w:hanging="426"/>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References</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Anggraini, S. F., Kusuma, A. R., Bunga, D., Pela, M., Jannah, V. F., Putri, W. P., and Achyar, </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xml:space="preserve">A. 2021. Analysis Of Genetic Varion Of 4-Like Subunit 4-Like NADH Dehydrogenase </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xml:space="preserve">Gene Sequences In </w:t>
      </w:r>
      <w:r>
        <w:rPr>
          <w:rFonts w:hint="default" w:ascii="Times New Roman" w:hAnsi="Times New Roman"/>
          <w:b w:val="0"/>
          <w:bCs w:val="0"/>
          <w:i/>
          <w:iCs/>
          <w:sz w:val="24"/>
          <w:szCs w:val="24"/>
          <w:lang w:val="en-US"/>
        </w:rPr>
        <w:t xml:space="preserve">Aedes Aegypti </w:t>
      </w:r>
      <w:r>
        <w:rPr>
          <w:rFonts w:hint="default" w:ascii="Times New Roman" w:hAnsi="Times New Roman"/>
          <w:b w:val="0"/>
          <w:bCs w:val="0"/>
          <w:sz w:val="24"/>
          <w:szCs w:val="24"/>
          <w:lang w:val="en-US"/>
        </w:rPr>
        <w:t xml:space="preserve">Popset: 1831566147 Using RFLP </w:t>
      </w:r>
      <w:r>
        <w:rPr>
          <w:rFonts w:hint="default" w:ascii="Times New Roman" w:hAnsi="Times New Roman"/>
          <w:b w:val="0"/>
          <w:bCs w:val="0"/>
          <w:i/>
          <w:iCs/>
          <w:sz w:val="24"/>
          <w:szCs w:val="24"/>
          <w:lang w:val="en-US"/>
        </w:rPr>
        <w:t>In-Silico</w:t>
      </w:r>
      <w:r>
        <w:rPr>
          <w:rFonts w:hint="default" w:ascii="Times New Roman" w:hAnsi="Times New Roman"/>
          <w:b w:val="0"/>
          <w:bCs w:val="0"/>
          <w:sz w:val="24"/>
          <w:szCs w:val="24"/>
          <w:lang w:val="en-US"/>
        </w:rPr>
        <w:t xml:space="preserve">. </w:t>
      </w:r>
      <w:r>
        <w:rPr>
          <w:rFonts w:hint="default" w:ascii="Times New Roman" w:hAnsi="Times New Roman"/>
          <w:b w:val="0"/>
          <w:bCs w:val="0"/>
          <w:i/>
          <w:iCs/>
          <w:sz w:val="24"/>
          <w:szCs w:val="24"/>
          <w:lang w:val="en-US"/>
        </w:rPr>
        <w:t xml:space="preserve">In </w:t>
      </w:r>
      <w:r>
        <w:rPr>
          <w:rFonts w:hint="default" w:ascii="Times New Roman" w:hAnsi="Times New Roman"/>
          <w:b w:val="0"/>
          <w:bCs w:val="0"/>
          <w:i/>
          <w:iCs/>
          <w:sz w:val="24"/>
          <w:szCs w:val="24"/>
          <w:lang w:val="en-US"/>
        </w:rPr>
        <w:tab/>
      </w:r>
      <w:r>
        <w:rPr>
          <w:rFonts w:hint="default" w:ascii="Times New Roman" w:hAnsi="Times New Roman"/>
          <w:b w:val="0"/>
          <w:bCs w:val="0"/>
          <w:i/>
          <w:iCs/>
          <w:sz w:val="24"/>
          <w:szCs w:val="24"/>
          <w:lang w:val="en-US"/>
        </w:rPr>
        <w:t>Proceedings of the National Biology Seminar.</w:t>
      </w:r>
      <w:r>
        <w:rPr>
          <w:rFonts w:hint="default" w:ascii="Times New Roman" w:hAnsi="Times New Roman"/>
          <w:b w:val="0"/>
          <w:bCs w:val="0"/>
          <w:sz w:val="24"/>
          <w:szCs w:val="24"/>
          <w:lang w:val="en-US"/>
        </w:rPr>
        <w:t xml:space="preserve"> 1(1): 102-110.</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Arisuryanti, T and Daryono, B.S. 2007. </w:t>
      </w:r>
      <w:r>
        <w:rPr>
          <w:rFonts w:hint="default" w:ascii="Times New Roman" w:hAnsi="Times New Roman"/>
          <w:b w:val="0"/>
          <w:bCs w:val="0"/>
          <w:i/>
          <w:iCs/>
          <w:sz w:val="24"/>
          <w:szCs w:val="24"/>
          <w:lang w:val="en-US"/>
        </w:rPr>
        <w:t>Population Genetics</w:t>
      </w:r>
      <w:r>
        <w:rPr>
          <w:rFonts w:hint="default" w:ascii="Times New Roman" w:hAnsi="Times New Roman"/>
          <w:b w:val="0"/>
          <w:bCs w:val="0"/>
          <w:sz w:val="24"/>
          <w:szCs w:val="24"/>
          <w:lang w:val="en-US"/>
        </w:rPr>
        <w:t xml:space="preserve">. Yogyakarta: Faculty of Biology, </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Gadjah Mada University.</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Campbell, R and Mitchell. 2003.</w:t>
      </w:r>
      <w:r>
        <w:rPr>
          <w:rFonts w:hint="default" w:ascii="Times New Roman" w:hAnsi="Times New Roman"/>
          <w:b w:val="0"/>
          <w:bCs w:val="0"/>
          <w:i/>
          <w:iCs/>
          <w:sz w:val="24"/>
          <w:szCs w:val="24"/>
          <w:lang w:val="en-US"/>
        </w:rPr>
        <w:t xml:space="preserve"> Biology Volume 2</w:t>
      </w:r>
      <w:r>
        <w:rPr>
          <w:rFonts w:hint="default" w:ascii="Times New Roman" w:hAnsi="Times New Roman"/>
          <w:b w:val="0"/>
          <w:bCs w:val="0"/>
          <w:sz w:val="24"/>
          <w:szCs w:val="24"/>
          <w:lang w:val="en-US"/>
        </w:rPr>
        <w:t>. Jakarta: Erlangga.</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Gillot, C. 2005.</w:t>
      </w:r>
      <w:r>
        <w:rPr>
          <w:rFonts w:hint="default" w:ascii="Times New Roman" w:hAnsi="Times New Roman"/>
          <w:b w:val="0"/>
          <w:bCs w:val="0"/>
          <w:i/>
          <w:iCs/>
          <w:sz w:val="24"/>
          <w:szCs w:val="24"/>
          <w:lang w:val="en-US"/>
        </w:rPr>
        <w:t xml:space="preserve"> Entomology.</w:t>
      </w:r>
      <w:r>
        <w:rPr>
          <w:rFonts w:hint="default" w:ascii="Times New Roman" w:hAnsi="Times New Roman"/>
          <w:b w:val="0"/>
          <w:bCs w:val="0"/>
          <w:sz w:val="24"/>
          <w:szCs w:val="24"/>
          <w:lang w:val="en-US"/>
        </w:rPr>
        <w:t xml:space="preserve"> New York: Plenum Press</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Ginanjar, G. 2008. </w:t>
      </w:r>
      <w:r>
        <w:rPr>
          <w:rFonts w:hint="default" w:ascii="Times New Roman" w:hAnsi="Times New Roman"/>
          <w:b w:val="0"/>
          <w:bCs w:val="0"/>
          <w:i/>
          <w:iCs/>
          <w:sz w:val="24"/>
          <w:szCs w:val="24"/>
          <w:lang w:val="en-US"/>
        </w:rPr>
        <w:t>Dengue Fever</w:t>
      </w:r>
      <w:r>
        <w:rPr>
          <w:rFonts w:hint="default" w:ascii="Times New Roman" w:hAnsi="Times New Roman"/>
          <w:b w:val="0"/>
          <w:bCs w:val="0"/>
          <w:sz w:val="24"/>
          <w:szCs w:val="24"/>
          <w:lang w:val="en-US"/>
        </w:rPr>
        <w:t>. Yogyakarta: PT Bentang Pustaka.</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Khaerunnisa, S and Awaluddin, R. 2020.</w:t>
      </w:r>
      <w:r>
        <w:rPr>
          <w:rFonts w:hint="default" w:ascii="Times New Roman" w:hAnsi="Times New Roman"/>
          <w:b w:val="0"/>
          <w:bCs w:val="0"/>
          <w:i/>
          <w:iCs/>
          <w:sz w:val="24"/>
          <w:szCs w:val="24"/>
          <w:lang w:val="en-US"/>
        </w:rPr>
        <w:t xml:space="preserve"> In silico research for beginners</w:t>
      </w:r>
      <w:r>
        <w:rPr>
          <w:rFonts w:hint="default" w:ascii="Times New Roman" w:hAnsi="Times New Roman"/>
          <w:b w:val="0"/>
          <w:bCs w:val="0"/>
          <w:sz w:val="24"/>
          <w:szCs w:val="24"/>
          <w:lang w:val="en-US"/>
        </w:rPr>
        <w:t xml:space="preserve">. Airlangga </w:t>
      </w:r>
      <w:r>
        <w:rPr>
          <w:rFonts w:hint="default" w:ascii="Times New Roman" w:hAnsi="Times New Roman"/>
          <w:b w:val="0"/>
          <w:bCs w:val="0"/>
          <w:sz w:val="24"/>
          <w:szCs w:val="24"/>
          <w:lang w:val="en-US"/>
        </w:rPr>
        <w:tab/>
        <w:t>University Press.</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Nene, V., Wortman, J., Lawson D., Hass, B., Hass, D., Odra., Tuzhijian., Loftus, B. 2007. </w:t>
      </w:r>
      <w:r>
        <w:rPr>
          <w:rFonts w:hint="default" w:ascii="Times New Roman" w:hAnsi="Times New Roman"/>
          <w:b w:val="0"/>
          <w:bCs w:val="0"/>
          <w:sz w:val="24"/>
          <w:szCs w:val="24"/>
          <w:lang w:val="en-US"/>
        </w:rPr>
        <w:tab/>
        <w:t xml:space="preserve">Genome Sequence of </w:t>
      </w:r>
      <w:r>
        <w:rPr>
          <w:rFonts w:hint="default" w:ascii="Times New Roman" w:hAnsi="Times New Roman"/>
          <w:b w:val="0"/>
          <w:bCs w:val="0"/>
          <w:i/>
          <w:iCs/>
          <w:sz w:val="24"/>
          <w:szCs w:val="24"/>
          <w:lang w:val="en-US"/>
        </w:rPr>
        <w:t>Aedes aegypti,</w:t>
      </w:r>
      <w:r>
        <w:rPr>
          <w:rFonts w:hint="default" w:ascii="Times New Roman" w:hAnsi="Times New Roman"/>
          <w:b w:val="0"/>
          <w:bCs w:val="0"/>
          <w:sz w:val="24"/>
          <w:szCs w:val="24"/>
          <w:lang w:val="en-US"/>
        </w:rPr>
        <w:t xml:space="preserve"> a Major Arbovirus Vector.</w:t>
      </w:r>
      <w:r>
        <w:rPr>
          <w:rFonts w:hint="default" w:ascii="Times New Roman" w:hAnsi="Times New Roman"/>
          <w:b w:val="0"/>
          <w:bCs w:val="0"/>
          <w:i/>
          <w:iCs/>
          <w:sz w:val="24"/>
          <w:szCs w:val="24"/>
          <w:lang w:val="en-US"/>
        </w:rPr>
        <w:t xml:space="preserve"> Sciencemag</w:t>
      </w:r>
      <w:r>
        <w:rPr>
          <w:rFonts w:hint="default" w:ascii="Times New Roman" w:hAnsi="Times New Roman"/>
          <w:b w:val="0"/>
          <w:bCs w:val="0"/>
          <w:sz w:val="24"/>
          <w:szCs w:val="24"/>
          <w:lang w:val="en-US"/>
        </w:rPr>
        <w:t>, 316.</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Rahayu, D., Wiwiek, S.W., and Adatul, M. 2012. Modeling The Influence of Climate on The </w:t>
      </w:r>
      <w:r>
        <w:rPr>
          <w:rFonts w:hint="default" w:ascii="Times New Roman" w:hAnsi="Times New Roman"/>
          <w:b w:val="0"/>
          <w:bCs w:val="0"/>
          <w:sz w:val="24"/>
          <w:szCs w:val="24"/>
          <w:lang w:val="en-US"/>
        </w:rPr>
        <w:tab/>
        <w:t xml:space="preserve">Incidence of Dengue Fever in Surabaya. </w:t>
      </w:r>
      <w:r>
        <w:rPr>
          <w:rFonts w:hint="default" w:ascii="Times New Roman" w:hAnsi="Times New Roman"/>
          <w:b w:val="0"/>
          <w:bCs w:val="0"/>
          <w:i/>
          <w:iCs/>
          <w:sz w:val="24"/>
          <w:szCs w:val="24"/>
          <w:lang w:val="en-US"/>
        </w:rPr>
        <w:t>ITS Science and Arts Journal.</w:t>
      </w:r>
      <w:r>
        <w:rPr>
          <w:rFonts w:hint="default" w:ascii="Times New Roman" w:hAnsi="Times New Roman"/>
          <w:b w:val="0"/>
          <w:bCs w:val="0"/>
          <w:sz w:val="24"/>
          <w:szCs w:val="24"/>
          <w:lang w:val="en-US"/>
        </w:rPr>
        <w:t xml:space="preserve"> 1: 69-74.</w:t>
      </w:r>
    </w:p>
    <w:p>
      <w:pPr>
        <w:ind w:left="220" w:leftChars="1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Sofro, A. S. M. 1994.</w:t>
      </w:r>
      <w:r>
        <w:rPr>
          <w:rFonts w:hint="default" w:ascii="Times New Roman" w:hAnsi="Times New Roman"/>
          <w:b w:val="0"/>
          <w:bCs w:val="0"/>
          <w:i/>
          <w:iCs/>
          <w:sz w:val="24"/>
          <w:szCs w:val="24"/>
          <w:lang w:val="en-US"/>
        </w:rPr>
        <w:t xml:space="preserve"> Genetic Diversity</w:t>
      </w:r>
      <w:r>
        <w:rPr>
          <w:rFonts w:hint="default" w:ascii="Times New Roman" w:hAnsi="Times New Roman"/>
          <w:b w:val="0"/>
          <w:bCs w:val="0"/>
          <w:sz w:val="24"/>
          <w:szCs w:val="24"/>
          <w:lang w:val="en-US"/>
        </w:rPr>
        <w:t>. Andi Publisher.</w:t>
      </w:r>
    </w:p>
    <w:p>
      <w:pPr>
        <w:spacing w:after="202" w:line="276" w:lineRule="auto"/>
        <w:ind w:left="220" w:leftChars="100" w:firstLine="0" w:firstLineChars="0"/>
        <w:jc w:val="both"/>
        <w:rPr>
          <w:rFonts w:ascii="Times New Roman" w:hAnsi="Times New Roman" w:eastAsia="Times New Roman" w:cs="Times New Roman"/>
          <w:sz w:val="24"/>
          <w:szCs w:val="24"/>
        </w:rPr>
      </w:pPr>
      <w:r>
        <w:rPr>
          <w:rFonts w:hint="default" w:ascii="Times New Roman" w:hAnsi="Times New Roman"/>
          <w:b w:val="0"/>
          <w:bCs w:val="0"/>
          <w:sz w:val="24"/>
          <w:szCs w:val="24"/>
          <w:lang w:val="en-US"/>
        </w:rPr>
        <w:t xml:space="preserve">Zulfahmi. 2013. DNA Markers For Plant Genetic Analysis. </w:t>
      </w:r>
      <w:r>
        <w:rPr>
          <w:rFonts w:hint="default" w:ascii="Times New Roman" w:hAnsi="Times New Roman"/>
          <w:b w:val="0"/>
          <w:bCs w:val="0"/>
          <w:i/>
          <w:iCs/>
          <w:sz w:val="24"/>
          <w:szCs w:val="24"/>
          <w:lang w:val="en-US"/>
        </w:rPr>
        <w:t xml:space="preserve">Journal of Agrotechnology. </w:t>
      </w:r>
      <w:r>
        <w:rPr>
          <w:rFonts w:hint="default" w:ascii="Times New Roman" w:hAnsi="Times New Roman"/>
          <w:b w:val="0"/>
          <w:bCs w:val="0"/>
          <w:i w:val="0"/>
          <w:iCs w:val="0"/>
          <w:sz w:val="24"/>
          <w:szCs w:val="24"/>
          <w:lang w:val="en-US"/>
        </w:rPr>
        <w:t>(</w:t>
      </w:r>
      <w:r>
        <w:rPr>
          <w:rFonts w:hint="default" w:ascii="Times New Roman" w:hAnsi="Times New Roman"/>
          <w:b w:val="0"/>
          <w:bCs w:val="0"/>
          <w:sz w:val="24"/>
          <w:szCs w:val="24"/>
          <w:lang w:val="en-US"/>
        </w:rPr>
        <w:t xml:space="preserve">3)2: </w:t>
      </w:r>
      <w:r>
        <w:rPr>
          <w:rFonts w:hint="default" w:ascii="Times New Roman" w:hAnsi="Times New Roman"/>
          <w:b w:val="0"/>
          <w:bCs w:val="0"/>
          <w:sz w:val="24"/>
          <w:szCs w:val="24"/>
          <w:lang w:val="en-US"/>
        </w:rPr>
        <w:tab/>
        <w:t>41-52.</w:t>
      </w:r>
      <w:bookmarkStart w:id="3" w:name="_GoBack"/>
      <w:bookmarkEnd w:id="3"/>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Georgia">
    <w:panose1 w:val="02040502050405020303"/>
    <w:charset w:val="00"/>
    <w:family w:val="roman"/>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5D1"/>
    <w:rsid w:val="004C05D1"/>
    <w:rsid w:val="006F188E"/>
    <w:rsid w:val="0090165F"/>
    <w:rsid w:val="00E81530"/>
    <w:rsid w:val="296C4F6A"/>
    <w:rsid w:val="3C224662"/>
    <w:rsid w:val="71466F9A"/>
    <w:rsid w:val="75AB79A2"/>
    <w:rsid w:val="78284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id-ID"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2">
    <w:name w:val="HTML Preformatted"/>
    <w:basedOn w:val="1"/>
    <w:link w:val="19"/>
    <w:semiHidden/>
    <w:unhideWhenUsed/>
    <w:qFormat/>
    <w:uiPriority w:val="99"/>
    <w:pPr>
      <w:spacing w:after="0" w:line="240" w:lineRule="auto"/>
    </w:pPr>
    <w:rPr>
      <w:rFonts w:ascii="Consolas" w:hAnsi="Consolas"/>
      <w:sz w:val="20"/>
      <w:szCs w:val="20"/>
    </w:rPr>
  </w:style>
  <w:style w:type="character" w:styleId="13">
    <w:name w:val="Hyperlink"/>
    <w:basedOn w:val="8"/>
    <w:unhideWhenUsed/>
    <w:uiPriority w:val="99"/>
    <w:rPr>
      <w:color w:val="0563C1"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table" w:customStyle="1" w:styleId="17">
    <w:name w:val="Table Normal1"/>
    <w:qFormat/>
    <w:uiPriority w:val="0"/>
    <w:tblPr>
      <w:tblCellMar>
        <w:top w:w="0" w:type="dxa"/>
        <w:left w:w="0" w:type="dxa"/>
        <w:bottom w:w="0" w:type="dxa"/>
        <w:right w:w="0" w:type="dxa"/>
      </w:tblCellMar>
    </w:tblPr>
  </w:style>
  <w:style w:type="character" w:customStyle="1" w:styleId="18">
    <w:name w:val="Unresolved Mention"/>
    <w:basedOn w:val="8"/>
    <w:semiHidden/>
    <w:unhideWhenUsed/>
    <w:qFormat/>
    <w:uiPriority w:val="99"/>
    <w:rPr>
      <w:color w:val="605E5C"/>
      <w:shd w:val="clear" w:color="auto" w:fill="E1DFDD"/>
    </w:rPr>
  </w:style>
  <w:style w:type="character" w:customStyle="1" w:styleId="19">
    <w:name w:val="HTML Sudah Diformat KAR"/>
    <w:basedOn w:val="8"/>
    <w:link w:val="12"/>
    <w:semiHidden/>
    <w:qFormat/>
    <w:uiPriority w:val="99"/>
    <w:rPr>
      <w:rFonts w:ascii="Consolas" w:hAnsi="Consolas"/>
      <w:sz w:val="20"/>
      <w:szCs w:val="20"/>
      <w:lang w:val="id-ID"/>
    </w:rPr>
  </w:style>
  <w:style w:type="character" w:customStyle="1" w:styleId="20">
    <w:name w:val="Judul 1 KAR"/>
    <w:basedOn w:val="8"/>
    <w:link w:val="2"/>
    <w:qFormat/>
    <w:uiPriority w:val="9"/>
    <w:rPr>
      <w:rFonts w:asciiTheme="majorHAnsi" w:hAnsiTheme="majorHAnsi" w:eastAsiaTheme="majorEastAsia" w:cstheme="majorBidi"/>
      <w:color w:val="2F5597" w:themeColor="accent1" w:themeShade="BF"/>
      <w:sz w:val="32"/>
      <w:szCs w:val="32"/>
      <w:lang w:val="id-ID"/>
    </w:rPr>
  </w:style>
  <w:style w:type="table" w:customStyle="1" w:styleId="21">
    <w:name w:val="_Style 20"/>
    <w:basedOn w:val="17"/>
    <w:qFormat/>
    <w:uiPriority w:val="0"/>
    <w:pPr>
      <w:spacing w:after="0" w:line="240" w:lineRule="auto"/>
    </w:pPr>
    <w:tblPr>
      <w:tblCellMar>
        <w:top w:w="0" w:type="dxa"/>
        <w:left w:w="108" w:type="dxa"/>
        <w:bottom w:w="0" w:type="dxa"/>
        <w:right w:w="108" w:type="dxa"/>
      </w:tblCellMar>
    </w:tblPr>
  </w:style>
  <w:style w:type="table" w:customStyle="1" w:styleId="22">
    <w:name w:val="_Style 21"/>
    <w:basedOn w:val="17"/>
    <w:qFormat/>
    <w:uiPriority w:val="0"/>
    <w:pPr>
      <w:spacing w:after="0" w:line="240" w:lineRule="auto"/>
    </w:pPr>
    <w:tblPr>
      <w:tblCellMar>
        <w:top w:w="0" w:type="dxa"/>
        <w:left w:w="108" w:type="dxa"/>
        <w:bottom w:w="0" w:type="dxa"/>
        <w:right w:w="108" w:type="dxa"/>
      </w:tblCellMar>
    </w:tblPr>
  </w:style>
  <w:style w:type="table" w:customStyle="1" w:styleId="23">
    <w:name w:val="_Style 59"/>
    <w:basedOn w:val="17"/>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T/+wXXqsuSZn0dLwsRHFnhGLg==">CgMxLjAyCGguZ2pkZ3hzMgloLjMwajB6bGwyCWguMWZvYjl0ZTIJaC4zem55c2g3MgloLjJldDkycDAyCGgudHlqY3d0MgloLjNkeTZ2a20yDmguZjcxOTVxdG9wOHh1OAByITE1VURrdjJUaUZpMjRIZWVXZTFaMjN4ZlFSd0RDbTdQag==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2268</Words>
  <Characters>12377</Characters>
  <Lines>150</Lines>
  <Paragraphs>42</Paragraphs>
  <TotalTime>6</TotalTime>
  <ScaleCrop>false</ScaleCrop>
  <LinksUpToDate>false</LinksUpToDate>
  <CharactersWithSpaces>14716</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2023-06-25T05:49:00Z</dcterms:created>
  <dc:creator>Lenovo ip 3</dc:creator>
  <cp:lastModifiedBy>user</cp:lastModifiedBy>
  <dcterms:modified xsi:type="dcterms:W3CDTF">2023-11-29T13:03:39Z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66817697EDDC44CB9A7D3D96F4D0C96D_12</vt:lpwstr>
  </property>
</Properties>
</file>