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Pr="002C57E1" w:rsidRDefault="00197CA7"/>
    <w:p w:rsidR="004026E5" w:rsidRPr="002C57E1" w:rsidRDefault="00782E98" w:rsidP="00E317E0">
      <w:pPr>
        <w:jc w:val="center"/>
      </w:pPr>
      <w:r>
        <w:rPr>
          <w:noProof/>
          <w:lang w:val="tr-TR"/>
        </w:rPr>
        <w:drawing>
          <wp:inline distT="0" distB="0" distL="0" distR="0">
            <wp:extent cx="1257300" cy="1714500"/>
            <wp:effectExtent l="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Pr="002C57E1" w:rsidRDefault="004026E5"/>
    <w:p w:rsidR="004026E5" w:rsidRPr="002C57E1" w:rsidRDefault="004026E5"/>
    <w:p w:rsidR="00197CA7" w:rsidRPr="002C57E1" w:rsidRDefault="00E513EE" w:rsidP="00197CA7">
      <w:pPr>
        <w:jc w:val="center"/>
        <w:rPr>
          <w:sz w:val="52"/>
          <w:szCs w:val="52"/>
        </w:rPr>
      </w:pPr>
      <w:r w:rsidRPr="002C57E1">
        <w:rPr>
          <w:sz w:val="52"/>
          <w:szCs w:val="52"/>
        </w:rPr>
        <w:t>EXPERIMENT REPORT</w:t>
      </w:r>
    </w:p>
    <w:p w:rsidR="008465E9" w:rsidRPr="002C57E1" w:rsidRDefault="008465E9"/>
    <w:p w:rsidR="008465E9" w:rsidRPr="002C57E1" w:rsidRDefault="008465E9"/>
    <w:p w:rsidR="004026E5" w:rsidRPr="002C57E1" w:rsidRDefault="004026E5"/>
    <w:p w:rsidR="004026E5" w:rsidRPr="002C57E1" w:rsidRDefault="004026E5"/>
    <w:p w:rsidR="004026E5" w:rsidRPr="002C57E1" w:rsidRDefault="004026E5"/>
    <w:p w:rsidR="00634706" w:rsidRPr="002C57E1" w:rsidRDefault="00634706"/>
    <w:p w:rsidR="00634706" w:rsidRPr="002C57E1" w:rsidRDefault="00634706"/>
    <w:p w:rsidR="00682292" w:rsidRPr="002C57E1" w:rsidRDefault="00682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RPr="002C57E1" w:rsidTr="0068652D">
        <w:tc>
          <w:tcPr>
            <w:tcW w:w="2964" w:type="dxa"/>
          </w:tcPr>
          <w:p w:rsidR="00E317E0" w:rsidRPr="002C57E1" w:rsidRDefault="00E317E0" w:rsidP="009E3F6A">
            <w:pPr>
              <w:rPr>
                <w:b/>
              </w:rPr>
            </w:pPr>
          </w:p>
          <w:p w:rsidR="009E3F6A" w:rsidRPr="002C57E1" w:rsidRDefault="00E513EE" w:rsidP="009E3F6A">
            <w:pPr>
              <w:rPr>
                <w:b/>
              </w:rPr>
            </w:pPr>
            <w:r w:rsidRPr="002C57E1">
              <w:rPr>
                <w:b/>
              </w:rPr>
              <w:t>Experiment Name</w:t>
            </w:r>
          </w:p>
          <w:p w:rsidR="004026E5" w:rsidRPr="002C57E1" w:rsidRDefault="004026E5" w:rsidP="009E3F6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2C57E1" w:rsidRDefault="00260D6D" w:rsidP="00C40637">
            <w:r w:rsidRPr="002C57E1">
              <w:t xml:space="preserve">Extraction of </w:t>
            </w:r>
            <w:r w:rsidR="000059B4">
              <w:t xml:space="preserve"> </w:t>
            </w:r>
            <w:r w:rsidRPr="002C57E1">
              <w:t xml:space="preserve">DC Characteristics of BJT </w:t>
            </w:r>
            <w:r w:rsidR="00C40637">
              <w:t>a</w:t>
            </w:r>
            <w:r w:rsidRPr="002C57E1">
              <w:t>nd M</w:t>
            </w:r>
            <w:r w:rsidR="00C40637">
              <w:t>OSFET</w:t>
            </w:r>
          </w:p>
        </w:tc>
      </w:tr>
      <w:tr w:rsidR="009E3F6A" w:rsidRPr="002C57E1" w:rsidTr="0068652D">
        <w:tc>
          <w:tcPr>
            <w:tcW w:w="2964" w:type="dxa"/>
          </w:tcPr>
          <w:p w:rsidR="00E317E0" w:rsidRPr="002C57E1" w:rsidRDefault="00E317E0" w:rsidP="00DF5A50">
            <w:pPr>
              <w:rPr>
                <w:b/>
              </w:rPr>
            </w:pPr>
          </w:p>
          <w:p w:rsidR="009E3F6A" w:rsidRPr="002C57E1" w:rsidRDefault="000666E3" w:rsidP="00DF5A50">
            <w:pPr>
              <w:rPr>
                <w:b/>
              </w:rPr>
            </w:pPr>
            <w:r w:rsidRPr="002C57E1">
              <w:rPr>
                <w:b/>
              </w:rPr>
              <w:t>Lab Assistant</w:t>
            </w:r>
          </w:p>
          <w:p w:rsidR="00E317E0" w:rsidRPr="002C57E1" w:rsidRDefault="00E317E0" w:rsidP="00DF5A50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2C57E1" w:rsidRDefault="00884AA4" w:rsidP="0068652D">
            <w:proofErr w:type="spellStart"/>
            <w:r w:rsidRPr="002C57E1">
              <w:t>Hacer</w:t>
            </w:r>
            <w:proofErr w:type="spellEnd"/>
            <w:r w:rsidRPr="002C57E1">
              <w:t xml:space="preserve"> ATAR YIL</w:t>
            </w:r>
            <w:bookmarkStart w:id="0" w:name="_GoBack"/>
            <w:bookmarkEnd w:id="0"/>
            <w:r w:rsidRPr="002C57E1">
              <w:t>DIZ</w:t>
            </w:r>
          </w:p>
        </w:tc>
      </w:tr>
      <w:tr w:rsidR="009E3F6A" w:rsidRPr="002C57E1" w:rsidTr="0068652D">
        <w:tc>
          <w:tcPr>
            <w:tcW w:w="2964" w:type="dxa"/>
          </w:tcPr>
          <w:p w:rsidR="00E317E0" w:rsidRPr="002C57E1" w:rsidRDefault="00E317E0" w:rsidP="0009092A">
            <w:pPr>
              <w:rPr>
                <w:b/>
              </w:rPr>
            </w:pPr>
          </w:p>
          <w:p w:rsidR="00C94BF3" w:rsidRPr="002C57E1" w:rsidRDefault="000666E3" w:rsidP="0009092A">
            <w:pPr>
              <w:rPr>
                <w:b/>
              </w:rPr>
            </w:pPr>
            <w:r w:rsidRPr="002C57E1">
              <w:rPr>
                <w:b/>
              </w:rPr>
              <w:t xml:space="preserve">Author of the Report </w:t>
            </w:r>
            <w:r w:rsidR="00C94BF3" w:rsidRPr="002C57E1">
              <w:rPr>
                <w:b/>
              </w:rPr>
              <w:t>(</w:t>
            </w:r>
            <w:r w:rsidR="00E513EE" w:rsidRPr="002C57E1">
              <w:rPr>
                <w:b/>
              </w:rPr>
              <w:t>Name</w:t>
            </w:r>
            <w:r w:rsidR="00E317E0" w:rsidRPr="002C57E1">
              <w:rPr>
                <w:b/>
              </w:rPr>
              <w:t xml:space="preserve"> / </w:t>
            </w:r>
            <w:r w:rsidR="00E513EE" w:rsidRPr="002C57E1">
              <w:rPr>
                <w:b/>
              </w:rPr>
              <w:t>No / Department</w:t>
            </w:r>
            <w:r w:rsidR="00C94BF3" w:rsidRPr="002C57E1">
              <w:rPr>
                <w:b/>
              </w:rPr>
              <w:t>)</w:t>
            </w:r>
          </w:p>
          <w:p w:rsidR="009E3F6A" w:rsidRPr="002C57E1" w:rsidRDefault="009E3F6A" w:rsidP="0009092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2C57E1" w:rsidRDefault="005D55B8" w:rsidP="0068652D">
            <w:proofErr w:type="spellStart"/>
            <w:r w:rsidRPr="002C57E1">
              <w:t>Tuğrul</w:t>
            </w:r>
            <w:proofErr w:type="spellEnd"/>
            <w:r w:rsidRPr="002C57E1">
              <w:t xml:space="preserve"> YATAĞAN</w:t>
            </w:r>
          </w:p>
          <w:p w:rsidR="005D55B8" w:rsidRPr="002C57E1" w:rsidRDefault="005D55B8" w:rsidP="0068652D">
            <w:r w:rsidRPr="002C57E1">
              <w:t>040100117</w:t>
            </w:r>
          </w:p>
          <w:p w:rsidR="005D55B8" w:rsidRPr="002C57E1" w:rsidRDefault="005D55B8" w:rsidP="0068652D">
            <w:r w:rsidRPr="002C57E1">
              <w:t>Computer Engineering</w:t>
            </w:r>
          </w:p>
        </w:tc>
      </w:tr>
      <w:tr w:rsidR="00E317E0" w:rsidRPr="002C57E1" w:rsidTr="0068652D">
        <w:tc>
          <w:tcPr>
            <w:tcW w:w="2964" w:type="dxa"/>
          </w:tcPr>
          <w:p w:rsidR="00E317E0" w:rsidRPr="002C57E1" w:rsidRDefault="00E317E0" w:rsidP="0009092A">
            <w:pPr>
              <w:rPr>
                <w:b/>
              </w:rPr>
            </w:pPr>
          </w:p>
          <w:p w:rsidR="00E317E0" w:rsidRPr="002C57E1" w:rsidRDefault="00E317E0" w:rsidP="00E317E0">
            <w:pPr>
              <w:rPr>
                <w:b/>
              </w:rPr>
            </w:pPr>
            <w:r w:rsidRPr="002C57E1">
              <w:rPr>
                <w:b/>
              </w:rPr>
              <w:t>Gr</w:t>
            </w:r>
            <w:r w:rsidR="00E513EE" w:rsidRPr="002C57E1">
              <w:rPr>
                <w:b/>
              </w:rPr>
              <w:t>oup Number</w:t>
            </w:r>
            <w:r w:rsidRPr="002C57E1">
              <w:rPr>
                <w:b/>
              </w:rPr>
              <w:t xml:space="preserve"> </w:t>
            </w:r>
            <w:r w:rsidR="00E513EE" w:rsidRPr="002C57E1">
              <w:rPr>
                <w:b/>
              </w:rPr>
              <w:t>and</w:t>
            </w:r>
          </w:p>
          <w:p w:rsidR="00E317E0" w:rsidRPr="002C57E1" w:rsidRDefault="00E513EE" w:rsidP="00E317E0">
            <w:pPr>
              <w:rPr>
                <w:b/>
              </w:rPr>
            </w:pPr>
            <w:r w:rsidRPr="002C57E1">
              <w:rPr>
                <w:b/>
              </w:rPr>
              <w:t>Experiment Date</w:t>
            </w:r>
          </w:p>
          <w:p w:rsidR="00E317E0" w:rsidRPr="002C57E1" w:rsidRDefault="00E317E0" w:rsidP="0009092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E317E0" w:rsidRPr="002C57E1" w:rsidRDefault="005D55B8" w:rsidP="0068652D">
            <w:r w:rsidRPr="002C57E1">
              <w:t>D27</w:t>
            </w:r>
          </w:p>
          <w:p w:rsidR="005D55B8" w:rsidRPr="002C57E1" w:rsidRDefault="002C57E1" w:rsidP="0068652D">
            <w:r w:rsidRPr="002C57E1">
              <w:t>11.10</w:t>
            </w:r>
            <w:r w:rsidR="005D55B8" w:rsidRPr="002C57E1">
              <w:t>.2013</w:t>
            </w:r>
          </w:p>
        </w:tc>
      </w:tr>
    </w:tbl>
    <w:p w:rsidR="009A5E65" w:rsidRPr="002C57E1" w:rsidRDefault="009A5E65"/>
    <w:p w:rsidR="00F03B6F" w:rsidRPr="002C57E1" w:rsidRDefault="00F03B6F"/>
    <w:p w:rsidR="00F34AB1" w:rsidRPr="002C57E1" w:rsidRDefault="00F34AB1"/>
    <w:p w:rsidR="008C6258" w:rsidRPr="002C57E1" w:rsidRDefault="008C6258"/>
    <w:p w:rsidR="00E86E71" w:rsidRPr="002C57E1" w:rsidRDefault="00E86E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2C57E1" w:rsidTr="00E317E0">
        <w:trPr>
          <w:trHeight w:val="357"/>
          <w:jc w:val="center"/>
        </w:trPr>
        <w:tc>
          <w:tcPr>
            <w:tcW w:w="1657" w:type="dxa"/>
          </w:tcPr>
          <w:p w:rsidR="00E317E0" w:rsidRPr="002C57E1" w:rsidRDefault="000666E3" w:rsidP="00C42194">
            <w:pPr>
              <w:jc w:val="center"/>
              <w:rPr>
                <w:b/>
              </w:rPr>
            </w:pPr>
            <w:r w:rsidRPr="002C57E1">
              <w:rPr>
                <w:b/>
              </w:rPr>
              <w:t>Report Score</w:t>
            </w:r>
          </w:p>
        </w:tc>
        <w:tc>
          <w:tcPr>
            <w:tcW w:w="2516" w:type="dxa"/>
          </w:tcPr>
          <w:p w:rsidR="00E317E0" w:rsidRPr="002C57E1" w:rsidRDefault="000666E3" w:rsidP="00C42194">
            <w:pPr>
              <w:jc w:val="center"/>
              <w:rPr>
                <w:b/>
              </w:rPr>
            </w:pPr>
            <w:r w:rsidRPr="002C57E1">
              <w:rPr>
                <w:b/>
              </w:rPr>
              <w:t>Deliver Date</w:t>
            </w:r>
          </w:p>
        </w:tc>
        <w:tc>
          <w:tcPr>
            <w:tcW w:w="3745" w:type="dxa"/>
          </w:tcPr>
          <w:p w:rsidR="00E317E0" w:rsidRPr="002C57E1" w:rsidRDefault="000666E3" w:rsidP="00C42194">
            <w:pPr>
              <w:jc w:val="center"/>
              <w:rPr>
                <w:b/>
              </w:rPr>
            </w:pPr>
            <w:r w:rsidRPr="002C57E1">
              <w:rPr>
                <w:b/>
              </w:rPr>
              <w:t>Receive Date</w:t>
            </w:r>
          </w:p>
        </w:tc>
      </w:tr>
      <w:tr w:rsidR="00E317E0" w:rsidRPr="002C57E1" w:rsidTr="002C57E1">
        <w:trPr>
          <w:trHeight w:val="733"/>
          <w:jc w:val="center"/>
        </w:trPr>
        <w:tc>
          <w:tcPr>
            <w:tcW w:w="1657" w:type="dxa"/>
          </w:tcPr>
          <w:p w:rsidR="00E317E0" w:rsidRPr="002C57E1" w:rsidRDefault="00E317E0"/>
        </w:tc>
        <w:tc>
          <w:tcPr>
            <w:tcW w:w="2516" w:type="dxa"/>
            <w:vAlign w:val="center"/>
          </w:tcPr>
          <w:p w:rsidR="00E317E0" w:rsidRPr="002C57E1" w:rsidRDefault="002C57E1" w:rsidP="002C57E1">
            <w:pPr>
              <w:jc w:val="center"/>
            </w:pPr>
            <w:r w:rsidRPr="002C57E1">
              <w:t>21.10.2013</w:t>
            </w:r>
          </w:p>
        </w:tc>
        <w:tc>
          <w:tcPr>
            <w:tcW w:w="3745" w:type="dxa"/>
          </w:tcPr>
          <w:p w:rsidR="00E317E0" w:rsidRPr="002C57E1" w:rsidRDefault="00E317E0"/>
          <w:p w:rsidR="00E317E0" w:rsidRPr="002C57E1" w:rsidRDefault="00E317E0"/>
          <w:p w:rsidR="00E317E0" w:rsidRPr="002C57E1" w:rsidRDefault="00E317E0"/>
        </w:tc>
      </w:tr>
    </w:tbl>
    <w:p w:rsidR="00295248" w:rsidRPr="002C57E1" w:rsidRDefault="00295248"/>
    <w:p w:rsidR="002C57E1" w:rsidRPr="002C57E1" w:rsidRDefault="002C57E1"/>
    <w:p w:rsidR="002C57E1" w:rsidRDefault="002C57E1" w:rsidP="002C57E1">
      <w:pPr>
        <w:rPr>
          <w:b/>
          <w:sz w:val="32"/>
        </w:rPr>
      </w:pPr>
      <w:r w:rsidRPr="00C40637">
        <w:rPr>
          <w:b/>
          <w:sz w:val="32"/>
        </w:rPr>
        <w:lastRenderedPageBreak/>
        <w:t>Aim of the Experiment</w:t>
      </w:r>
    </w:p>
    <w:p w:rsidR="00073B76" w:rsidRPr="002C57E1" w:rsidRDefault="00073B76" w:rsidP="002C57E1">
      <w:pPr>
        <w:rPr>
          <w:b/>
          <w:sz w:val="28"/>
        </w:rPr>
      </w:pPr>
    </w:p>
    <w:p w:rsidR="00C4211A" w:rsidRDefault="002C57E1" w:rsidP="00073B76">
      <w:pPr>
        <w:spacing w:line="276" w:lineRule="auto"/>
        <w:ind w:firstLine="567"/>
      </w:pPr>
      <w:r w:rsidRPr="002C57E1">
        <w:t>In this experiment,</w:t>
      </w:r>
      <w:r>
        <w:t xml:space="preserve"> </w:t>
      </w:r>
      <w:r w:rsidR="00C4211A">
        <w:t>we investigate</w:t>
      </w:r>
      <w:r>
        <w:t xml:space="preserve"> basic understanding of current voltage relationship of Bipolar Junction Transistor (BJT) and Metal Oxide Semiconductor Field E</w:t>
      </w:r>
      <w:r w:rsidRPr="002C57E1">
        <w:t xml:space="preserve">ffect </w:t>
      </w:r>
      <w:r>
        <w:t>T</w:t>
      </w:r>
      <w:r w:rsidRPr="002C57E1">
        <w:t>ransistor</w:t>
      </w:r>
      <w:r>
        <w:t xml:space="preserve"> (MOSFET) </w:t>
      </w:r>
      <w:r w:rsidR="00C4211A">
        <w:t>in transistor’s DC operation regions.</w:t>
      </w:r>
    </w:p>
    <w:p w:rsidR="002C57E1" w:rsidRDefault="00C4211A" w:rsidP="00073B76">
      <w:pPr>
        <w:spacing w:line="276" w:lineRule="auto"/>
        <w:ind w:firstLine="567"/>
      </w:pPr>
      <w:r>
        <w:t>We started first MOSFET experiments and then BJT experiments.</w:t>
      </w:r>
    </w:p>
    <w:p w:rsidR="00C40637" w:rsidRDefault="00C40637" w:rsidP="00C40637">
      <w:pPr>
        <w:rPr>
          <w:b/>
          <w:sz w:val="28"/>
        </w:rPr>
      </w:pPr>
    </w:p>
    <w:p w:rsidR="00C40637" w:rsidRDefault="00C40637" w:rsidP="00C40637">
      <w:pPr>
        <w:rPr>
          <w:b/>
          <w:sz w:val="32"/>
        </w:rPr>
      </w:pPr>
      <w:r w:rsidRPr="00C40637">
        <w:rPr>
          <w:b/>
          <w:sz w:val="32"/>
        </w:rPr>
        <w:t>Study of the MOSFET Element Behavior</w:t>
      </w:r>
    </w:p>
    <w:p w:rsidR="00073B76" w:rsidRDefault="00073B76" w:rsidP="00C40637">
      <w:pPr>
        <w:rPr>
          <w:b/>
          <w:sz w:val="32"/>
        </w:rPr>
      </w:pPr>
    </w:p>
    <w:p w:rsidR="00073B76" w:rsidRDefault="00073B76" w:rsidP="00073B76">
      <w:pPr>
        <w:spacing w:line="360" w:lineRule="auto"/>
        <w:ind w:firstLine="567"/>
      </w:pPr>
      <w:r>
        <w:t xml:space="preserve">Corresponding drain current equations </w:t>
      </w:r>
      <w:r w:rsidR="001533FD">
        <w:t>for</w:t>
      </w:r>
      <w:r>
        <w:t xml:space="preserve"> operation regions are:</w:t>
      </w:r>
    </w:p>
    <w:p w:rsidR="00C40637" w:rsidRPr="0008251F" w:rsidRDefault="00C40637" w:rsidP="00073B76">
      <w:pPr>
        <w:spacing w:line="360" w:lineRule="auto"/>
      </w:pPr>
      <w:r w:rsidRPr="0008251F">
        <w:t>1) For V</w:t>
      </w:r>
      <w:r w:rsidRPr="0008251F">
        <w:rPr>
          <w:vertAlign w:val="subscript"/>
        </w:rPr>
        <w:t>GS</w:t>
      </w:r>
      <w:r w:rsidRPr="0008251F">
        <w:t xml:space="preserve"> – </w:t>
      </w:r>
      <w:proofErr w:type="spellStart"/>
      <w:r w:rsidRPr="0008251F">
        <w:t>V</w:t>
      </w:r>
      <w:r w:rsidRPr="0008251F">
        <w:rPr>
          <w:vertAlign w:val="subscript"/>
        </w:rPr>
        <w:t>tn</w:t>
      </w:r>
      <w:proofErr w:type="spellEnd"/>
      <w:r w:rsidRPr="0008251F">
        <w:t xml:space="preserve"> &lt; </w:t>
      </w:r>
      <w:proofErr w:type="gramStart"/>
      <w:r w:rsidRPr="0008251F">
        <w:t>0  Cut</w:t>
      </w:r>
      <w:proofErr w:type="gramEnd"/>
      <w:r w:rsidRPr="0008251F">
        <w:t>-Off</w:t>
      </w:r>
      <w:r w:rsidRPr="0008251F">
        <w:tab/>
      </w:r>
      <w:r w:rsidRPr="0008251F">
        <w:tab/>
      </w:r>
      <w:r w:rsidRPr="0008251F">
        <w:tab/>
        <w:t>I</w:t>
      </w:r>
      <w:r w:rsidRPr="0008251F">
        <w:rPr>
          <w:vertAlign w:val="subscript"/>
        </w:rPr>
        <w:t xml:space="preserve">D </w:t>
      </w:r>
      <w:r w:rsidRPr="0008251F">
        <w:t xml:space="preserve"> = 0</w:t>
      </w:r>
    </w:p>
    <w:p w:rsidR="0008251F" w:rsidRPr="0008251F" w:rsidRDefault="00C40637" w:rsidP="00073B76">
      <w:pPr>
        <w:spacing w:line="360" w:lineRule="auto"/>
      </w:pPr>
      <w:r w:rsidRPr="0008251F">
        <w:t>2) For V</w:t>
      </w:r>
      <w:r w:rsidRPr="0008251F">
        <w:rPr>
          <w:vertAlign w:val="subscript"/>
        </w:rPr>
        <w:t>GS</w:t>
      </w:r>
      <w:r w:rsidRPr="0008251F">
        <w:t xml:space="preserve"> – </w:t>
      </w:r>
      <w:proofErr w:type="spellStart"/>
      <w:r w:rsidRPr="0008251F">
        <w:t>V</w:t>
      </w:r>
      <w:r w:rsidRPr="0008251F">
        <w:rPr>
          <w:vertAlign w:val="subscript"/>
        </w:rPr>
        <w:t>tn</w:t>
      </w:r>
      <w:proofErr w:type="spellEnd"/>
      <w:r w:rsidRPr="0008251F">
        <w:t xml:space="preserve"> &gt; </w:t>
      </w:r>
      <w:proofErr w:type="gramStart"/>
      <w:r w:rsidRPr="0008251F">
        <w:t>V</w:t>
      </w:r>
      <w:r w:rsidRPr="0008251F">
        <w:rPr>
          <w:vertAlign w:val="subscript"/>
        </w:rPr>
        <w:t xml:space="preserve">DS </w:t>
      </w:r>
      <w:r w:rsidRPr="0008251F">
        <w:t xml:space="preserve"> Active</w:t>
      </w:r>
      <w:proofErr w:type="gramEnd"/>
      <w:r w:rsidRPr="0008251F">
        <w:t xml:space="preserve"> Region</w:t>
      </w:r>
      <w:r w:rsidRPr="0008251F">
        <w:tab/>
        <w:t>I</w:t>
      </w:r>
      <w:r w:rsidRPr="0008251F">
        <w:rPr>
          <w:vertAlign w:val="subscript"/>
        </w:rPr>
        <w:t>D</w:t>
      </w:r>
      <w:r w:rsidR="00782E98" w:rsidRPr="0008251F">
        <w:rPr>
          <w:vertAlign w:val="subscript"/>
        </w:rPr>
        <w:t xml:space="preserve"> </w:t>
      </w:r>
      <w:r w:rsidR="00782E98" w:rsidRPr="0008251F">
        <w:t xml:space="preserve"> = </w:t>
      </w:r>
      <w:proofErr w:type="spellStart"/>
      <w:r w:rsidR="00782E98" w:rsidRPr="0008251F">
        <w:t>k</w:t>
      </w:r>
      <w:r w:rsidR="00782E98" w:rsidRPr="0008251F">
        <w:rPr>
          <w:vertAlign w:val="subscript"/>
        </w:rPr>
        <w:t>n</w:t>
      </w:r>
      <w:proofErr w:type="spellEnd"/>
      <w:r w:rsidR="00782E98" w:rsidRPr="0008251F">
        <w:t>[(V</w:t>
      </w:r>
      <w:r w:rsidR="00782E98" w:rsidRPr="0008251F">
        <w:rPr>
          <w:vertAlign w:val="subscript"/>
        </w:rPr>
        <w:t>GS</w:t>
      </w:r>
      <w:r w:rsidR="00782E98" w:rsidRPr="0008251F">
        <w:t xml:space="preserve"> – </w:t>
      </w:r>
      <w:proofErr w:type="spellStart"/>
      <w:r w:rsidR="00782E98" w:rsidRPr="0008251F">
        <w:t>V</w:t>
      </w:r>
      <w:r w:rsidR="00782E98" w:rsidRPr="0008251F">
        <w:rPr>
          <w:vertAlign w:val="subscript"/>
        </w:rPr>
        <w:t>tn</w:t>
      </w:r>
      <w:proofErr w:type="spellEnd"/>
      <w:r w:rsidR="00782E98" w:rsidRPr="0008251F">
        <w:t>) V</w:t>
      </w:r>
      <w:r w:rsidR="00782E98" w:rsidRPr="0008251F">
        <w:rPr>
          <w:vertAlign w:val="subscript"/>
        </w:rPr>
        <w:t>DS</w:t>
      </w:r>
      <w:r w:rsidR="00782E98" w:rsidRPr="0008251F">
        <w:t xml:space="preserve"> </w:t>
      </w:r>
      <w:r w:rsidR="0008251F">
        <w:t>–</w:t>
      </w:r>
      <w:r w:rsidR="0008251F" w:rsidRPr="0008251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8251F" w:rsidRPr="0008251F">
        <w:t xml:space="preserve"> V</w:t>
      </w:r>
      <w:r w:rsidR="0008251F" w:rsidRPr="0008251F">
        <w:rPr>
          <w:vertAlign w:val="subscript"/>
        </w:rPr>
        <w:t>DS</w:t>
      </w:r>
      <w:r w:rsidR="0008251F">
        <w:rPr>
          <w:vertAlign w:val="superscript"/>
        </w:rPr>
        <w:t>2</w:t>
      </w:r>
      <w:r w:rsidR="0008251F">
        <w:t xml:space="preserve">](1 + </w:t>
      </w:r>
      <w:proofErr w:type="spellStart"/>
      <w:r w:rsidR="0008251F">
        <w:t>λ</w:t>
      </w:r>
      <w:r w:rsidR="0008251F">
        <w:rPr>
          <w:vertAlign w:val="subscript"/>
        </w:rPr>
        <w:t>n</w:t>
      </w:r>
      <w:proofErr w:type="spellEnd"/>
      <w:r w:rsidR="00D1506A" w:rsidRPr="00D1506A">
        <w:t xml:space="preserve"> </w:t>
      </w:r>
      <w:r w:rsidR="00D1506A" w:rsidRPr="0008251F">
        <w:t>V</w:t>
      </w:r>
      <w:r w:rsidR="00D1506A" w:rsidRPr="0008251F">
        <w:rPr>
          <w:vertAlign w:val="subscript"/>
        </w:rPr>
        <w:t>DS</w:t>
      </w:r>
      <w:r w:rsidR="0008251F">
        <w:t>)</w:t>
      </w:r>
    </w:p>
    <w:p w:rsidR="00C40637" w:rsidRDefault="00C40637" w:rsidP="00073B76">
      <w:pPr>
        <w:spacing w:line="360" w:lineRule="auto"/>
      </w:pPr>
      <w:r w:rsidRPr="0008251F">
        <w:t>3) For V</w:t>
      </w:r>
      <w:r w:rsidRPr="0008251F">
        <w:rPr>
          <w:vertAlign w:val="subscript"/>
        </w:rPr>
        <w:t>GS</w:t>
      </w:r>
      <w:r w:rsidRPr="0008251F">
        <w:t xml:space="preserve"> – </w:t>
      </w:r>
      <w:proofErr w:type="spellStart"/>
      <w:r w:rsidRPr="0008251F">
        <w:t>V</w:t>
      </w:r>
      <w:r w:rsidRPr="0008251F">
        <w:rPr>
          <w:vertAlign w:val="subscript"/>
        </w:rPr>
        <w:t>tn</w:t>
      </w:r>
      <w:proofErr w:type="spellEnd"/>
      <w:r w:rsidRPr="0008251F">
        <w:t xml:space="preserve"> &gt; </w:t>
      </w:r>
      <w:proofErr w:type="gramStart"/>
      <w:r w:rsidRPr="0008251F">
        <w:t>V</w:t>
      </w:r>
      <w:r w:rsidRPr="0008251F">
        <w:rPr>
          <w:vertAlign w:val="subscript"/>
        </w:rPr>
        <w:t>DS</w:t>
      </w:r>
      <w:r w:rsidRPr="0008251F">
        <w:t xml:space="preserve">  Saturation</w:t>
      </w:r>
      <w:proofErr w:type="gramEnd"/>
      <w:r w:rsidR="00D1506A">
        <w:tab/>
      </w:r>
      <w:r w:rsidR="00D1506A">
        <w:tab/>
      </w:r>
      <w:r w:rsidR="00D1506A" w:rsidRPr="0008251F">
        <w:t>I</w:t>
      </w:r>
      <w:r w:rsidR="00D1506A" w:rsidRPr="0008251F">
        <w:rPr>
          <w:vertAlign w:val="subscript"/>
        </w:rPr>
        <w:t xml:space="preserve">D </w:t>
      </w:r>
      <w:r w:rsidR="00D1506A" w:rsidRPr="0008251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1506A" w:rsidRPr="0008251F">
        <w:t xml:space="preserve"> (V</w:t>
      </w:r>
      <w:r w:rsidR="00D1506A" w:rsidRPr="0008251F">
        <w:rPr>
          <w:vertAlign w:val="subscript"/>
        </w:rPr>
        <w:t>GS</w:t>
      </w:r>
      <w:r w:rsidR="00D1506A" w:rsidRPr="0008251F">
        <w:t xml:space="preserve"> – </w:t>
      </w:r>
      <w:proofErr w:type="spellStart"/>
      <w:r w:rsidR="00D1506A" w:rsidRPr="0008251F">
        <w:t>V</w:t>
      </w:r>
      <w:r w:rsidR="00D1506A" w:rsidRPr="0008251F">
        <w:rPr>
          <w:vertAlign w:val="subscript"/>
        </w:rPr>
        <w:t>tn</w:t>
      </w:r>
      <w:proofErr w:type="spellEnd"/>
      <w:r w:rsidR="00D1506A" w:rsidRPr="0008251F">
        <w:t>)</w:t>
      </w:r>
      <w:r w:rsidR="00D1506A">
        <w:rPr>
          <w:vertAlign w:val="superscript"/>
        </w:rPr>
        <w:t>2</w:t>
      </w:r>
      <w:r w:rsidR="00D1506A">
        <w:t xml:space="preserve">(1 + </w:t>
      </w:r>
      <w:proofErr w:type="spellStart"/>
      <w:r w:rsidR="00D1506A">
        <w:t>λ</w:t>
      </w:r>
      <w:r w:rsidR="00D1506A">
        <w:rPr>
          <w:vertAlign w:val="subscript"/>
        </w:rPr>
        <w:t>n</w:t>
      </w:r>
      <w:proofErr w:type="spellEnd"/>
      <w:r w:rsidR="00D1506A" w:rsidRPr="00D1506A">
        <w:t xml:space="preserve"> </w:t>
      </w:r>
      <w:r w:rsidR="00D1506A" w:rsidRPr="0008251F">
        <w:t>V</w:t>
      </w:r>
      <w:r w:rsidR="00D1506A" w:rsidRPr="0008251F">
        <w:rPr>
          <w:vertAlign w:val="subscript"/>
        </w:rPr>
        <w:t>DS</w:t>
      </w:r>
      <w:r w:rsidR="00D1506A">
        <w:t>)</w:t>
      </w:r>
    </w:p>
    <w:p w:rsidR="003E5E20" w:rsidRPr="003E5E20" w:rsidRDefault="003E5E20" w:rsidP="00073B76">
      <w:pPr>
        <w:spacing w:line="360" w:lineRule="auto"/>
      </w:pPr>
      <w:proofErr w:type="spellStart"/>
      <w:r>
        <w:t>V</w:t>
      </w:r>
      <w:r>
        <w:rPr>
          <w:vertAlign w:val="subscript"/>
        </w:rPr>
        <w:t>tn</w:t>
      </w:r>
      <w:proofErr w:type="spellEnd"/>
      <w:r>
        <w:t xml:space="preserve"> = V</w:t>
      </w:r>
      <w:r>
        <w:rPr>
          <w:vertAlign w:val="subscript"/>
        </w:rPr>
        <w:t>tn0</w:t>
      </w:r>
      <w:r>
        <w:t xml:space="preserve"> + </w:t>
      </w:r>
      <w:proofErr w:type="spellStart"/>
      <w:r>
        <w:t>γ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proofErr w:type="gramStart"/>
      <w:r>
        <w:t>|(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</m:e>
        </m:rad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)|</m:t>
        </m:r>
      </m:oMath>
    </w:p>
    <w:p w:rsidR="00C40637" w:rsidRDefault="00C40637" w:rsidP="00C40637">
      <w:pPr>
        <w:rPr>
          <w:b/>
          <w:sz w:val="28"/>
        </w:rPr>
      </w:pPr>
    </w:p>
    <w:p w:rsidR="00C40637" w:rsidRDefault="00C40637" w:rsidP="00C40637">
      <w:pPr>
        <w:rPr>
          <w:b/>
          <w:sz w:val="28"/>
        </w:rPr>
      </w:pPr>
      <w:r>
        <w:rPr>
          <w:b/>
          <w:sz w:val="28"/>
        </w:rPr>
        <w:t>Experiment 2.3:</w:t>
      </w:r>
    </w:p>
    <w:p w:rsidR="00C40637" w:rsidRPr="005424CC" w:rsidRDefault="00C40637" w:rsidP="00C40637"/>
    <w:p w:rsidR="00C40637" w:rsidRDefault="005424CC" w:rsidP="002A54C9">
      <w:pPr>
        <w:spacing w:line="276" w:lineRule="auto"/>
        <w:ind w:firstLine="567"/>
        <w:rPr>
          <w:bCs/>
          <w:color w:val="000000"/>
        </w:rPr>
      </w:pPr>
      <w:r>
        <w:t>We built the circuit according to</w:t>
      </w:r>
      <w:r w:rsidR="00425EEC">
        <w:t xml:space="preserve"> Fig-2.4</w:t>
      </w:r>
      <w:r>
        <w:t xml:space="preserve"> in lab sheet. W</w:t>
      </w:r>
      <w:r>
        <w:rPr>
          <w:lang w:val="en-GB"/>
        </w:rPr>
        <w:t>e changed R</w:t>
      </w:r>
      <w:r>
        <w:rPr>
          <w:vertAlign w:val="subscript"/>
          <w:lang w:val="en-GB"/>
        </w:rPr>
        <w:t xml:space="preserve">2 </w:t>
      </w:r>
      <w:r w:rsidRPr="005424CC">
        <w:rPr>
          <w:lang w:val="en-GB"/>
        </w:rPr>
        <w:t>rheostat</w:t>
      </w:r>
      <w:r w:rsidR="002E77AB">
        <w:rPr>
          <w:lang w:val="en-GB"/>
        </w:rPr>
        <w:t xml:space="preserve"> from 100kΩ step by step and</w:t>
      </w:r>
      <w:r>
        <w:rPr>
          <w:lang w:val="en-GB"/>
        </w:rPr>
        <w:t xml:space="preserve"> observed changing between </w:t>
      </w:r>
      <w:r w:rsidRPr="007A6B96">
        <w:rPr>
          <w:bCs/>
          <w:color w:val="000000"/>
        </w:rPr>
        <w:t>V</w:t>
      </w:r>
      <w:r w:rsidRPr="007A6B96">
        <w:rPr>
          <w:bCs/>
          <w:color w:val="000000"/>
          <w:vertAlign w:val="subscript"/>
        </w:rPr>
        <w:t xml:space="preserve">GS </w:t>
      </w:r>
      <w:r w:rsidRPr="007A6B96">
        <w:rPr>
          <w:bCs/>
          <w:color w:val="000000"/>
        </w:rPr>
        <w:t>and I</w:t>
      </w:r>
      <w:r w:rsidRPr="007A6B96">
        <w:rPr>
          <w:bCs/>
          <w:color w:val="000000"/>
          <w:vertAlign w:val="subscript"/>
        </w:rPr>
        <w:t>D</w:t>
      </w:r>
      <w:r w:rsidR="002A54C9">
        <w:rPr>
          <w:bCs/>
          <w:color w:val="000000"/>
        </w:rPr>
        <w:t>.</w:t>
      </w:r>
    </w:p>
    <w:p w:rsidR="002A54C9" w:rsidRDefault="002A54C9" w:rsidP="002A54C9">
      <w:pPr>
        <w:spacing w:line="276" w:lineRule="auto"/>
        <w:ind w:firstLine="567"/>
        <w:rPr>
          <w:bCs/>
          <w:color w:val="000000"/>
        </w:rPr>
      </w:pPr>
      <w:r>
        <w:rPr>
          <w:bCs/>
          <w:color w:val="000000"/>
        </w:rPr>
        <w:t>Fix</w:t>
      </w:r>
      <w:r w:rsidR="00425EEC">
        <w:rPr>
          <w:bCs/>
          <w:color w:val="000000"/>
        </w:rPr>
        <w:t>ed</w:t>
      </w:r>
      <w:r>
        <w:rPr>
          <w:bCs/>
          <w:color w:val="000000"/>
        </w:rPr>
        <w:t xml:space="preserve"> values are:</w:t>
      </w:r>
    </w:p>
    <w:p w:rsidR="002A54C9" w:rsidRDefault="002A54C9" w:rsidP="002A54C9">
      <w:pPr>
        <w:spacing w:line="276" w:lineRule="auto"/>
        <w:rPr>
          <w:bCs/>
          <w:color w:val="000000"/>
        </w:rPr>
      </w:pPr>
      <w:r>
        <w:rPr>
          <w:bCs/>
          <w:color w:val="000000"/>
        </w:rPr>
        <w:t>V</w:t>
      </w:r>
      <w:r>
        <w:rPr>
          <w:bCs/>
          <w:color w:val="000000"/>
          <w:vertAlign w:val="subscript"/>
        </w:rPr>
        <w:t xml:space="preserve">G </w:t>
      </w:r>
      <w:r>
        <w:rPr>
          <w:bCs/>
          <w:color w:val="000000"/>
        </w:rPr>
        <w:t>= 10V and V</w:t>
      </w:r>
      <w:r>
        <w:rPr>
          <w:bCs/>
          <w:color w:val="000000"/>
          <w:vertAlign w:val="subscript"/>
        </w:rPr>
        <w:t>D</w:t>
      </w:r>
      <w:r>
        <w:rPr>
          <w:bCs/>
          <w:color w:val="000000"/>
        </w:rPr>
        <w:t xml:space="preserve"> = 5V so V</w:t>
      </w:r>
      <w:r>
        <w:rPr>
          <w:bCs/>
          <w:color w:val="000000"/>
          <w:vertAlign w:val="subscript"/>
        </w:rPr>
        <w:t>DS</w:t>
      </w:r>
      <w:r>
        <w:rPr>
          <w:bCs/>
          <w:color w:val="000000"/>
        </w:rPr>
        <w:t xml:space="preserve"> = 5V</w:t>
      </w:r>
    </w:p>
    <w:p w:rsidR="002E77AB" w:rsidRDefault="002E77AB" w:rsidP="002A54C9">
      <w:pPr>
        <w:spacing w:line="276" w:lineRule="auto"/>
        <w:rPr>
          <w:bCs/>
          <w:color w:val="000000"/>
        </w:rPr>
      </w:pPr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212"/>
      </w:tblGrid>
      <w:tr w:rsidR="002A54C9" w:rsidRPr="009B3C1B" w:rsidTr="002C3286">
        <w:trPr>
          <w:trHeight w:val="340"/>
        </w:trPr>
        <w:tc>
          <w:tcPr>
            <w:tcW w:w="1046" w:type="dxa"/>
            <w:shd w:val="clear" w:color="auto" w:fill="auto"/>
          </w:tcPr>
          <w:p w:rsidR="002A54C9" w:rsidRPr="009B3C1B" w:rsidRDefault="002A54C9" w:rsidP="00B9410B">
            <w:pPr>
              <w:jc w:val="center"/>
              <w:rPr>
                <w:b/>
                <w:lang w:val="en-GB"/>
              </w:rPr>
            </w:pPr>
            <w:bookmarkStart w:id="1" w:name="OLE_LINK1"/>
            <w:r w:rsidRPr="009B3C1B">
              <w:rPr>
                <w:b/>
                <w:bCs/>
                <w:color w:val="000000"/>
              </w:rPr>
              <w:t>V</w:t>
            </w:r>
            <w:r w:rsidRPr="009B3C1B">
              <w:rPr>
                <w:b/>
                <w:bCs/>
                <w:color w:val="000000"/>
                <w:vertAlign w:val="subscript"/>
              </w:rPr>
              <w:t>GS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B9410B">
            <w:pPr>
              <w:jc w:val="center"/>
              <w:rPr>
                <w:b/>
                <w:lang w:val="en-GB"/>
              </w:rPr>
            </w:pPr>
            <w:r w:rsidRPr="009B3C1B">
              <w:rPr>
                <w:b/>
                <w:bCs/>
                <w:color w:val="000000"/>
              </w:rPr>
              <w:t>I</w:t>
            </w:r>
            <w:r w:rsidRPr="009B3C1B">
              <w:rPr>
                <w:b/>
                <w:bCs/>
                <w:color w:val="000000"/>
                <w:vertAlign w:val="subscript"/>
              </w:rPr>
              <w:t>D</w:t>
            </w:r>
          </w:p>
        </w:tc>
      </w:tr>
      <w:tr w:rsidR="002A54C9" w:rsidRPr="009B3C1B" w:rsidTr="002C3286">
        <w:trPr>
          <w:trHeight w:val="328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9.17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13.28 mA</w:t>
            </w:r>
          </w:p>
        </w:tc>
      </w:tr>
      <w:tr w:rsidR="002A54C9" w:rsidRPr="009B3C1B" w:rsidTr="002C3286">
        <w:trPr>
          <w:trHeight w:val="340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8.79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12.33 mA</w:t>
            </w:r>
          </w:p>
        </w:tc>
      </w:tr>
      <w:tr w:rsidR="002A54C9" w:rsidRPr="009B3C1B" w:rsidTr="002C3286">
        <w:trPr>
          <w:trHeight w:val="340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8.27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11.08 mA</w:t>
            </w:r>
          </w:p>
        </w:tc>
      </w:tr>
      <w:tr w:rsidR="002A54C9" w:rsidRPr="009B3C1B" w:rsidTr="002C3286">
        <w:trPr>
          <w:trHeight w:val="340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7.87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10.13 mA</w:t>
            </w:r>
          </w:p>
        </w:tc>
      </w:tr>
      <w:tr w:rsidR="002A54C9" w:rsidRPr="009B3C1B" w:rsidTr="002C3286">
        <w:trPr>
          <w:trHeight w:val="340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7.00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8.08 mA</w:t>
            </w:r>
          </w:p>
        </w:tc>
      </w:tr>
      <w:tr w:rsidR="002A54C9" w:rsidRPr="009B3C1B" w:rsidTr="002C3286">
        <w:trPr>
          <w:trHeight w:val="340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6.25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6.43 mA</w:t>
            </w:r>
          </w:p>
        </w:tc>
      </w:tr>
      <w:tr w:rsidR="002A54C9" w:rsidRPr="009B3C1B" w:rsidTr="002C3286">
        <w:trPr>
          <w:trHeight w:val="328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5.32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4.56 mA</w:t>
            </w:r>
          </w:p>
        </w:tc>
      </w:tr>
      <w:tr w:rsidR="002A54C9" w:rsidRPr="009B3C1B" w:rsidTr="002C3286">
        <w:trPr>
          <w:trHeight w:val="340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4.03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2.32 mA</w:t>
            </w:r>
          </w:p>
        </w:tc>
      </w:tr>
      <w:tr w:rsidR="002A54C9" w:rsidRPr="009B3C1B" w:rsidTr="002C3286">
        <w:trPr>
          <w:trHeight w:val="340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3.26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1.26 mA</w:t>
            </w:r>
          </w:p>
        </w:tc>
      </w:tr>
      <w:tr w:rsidR="002A54C9" w:rsidRPr="009B3C1B" w:rsidTr="002C3286">
        <w:trPr>
          <w:trHeight w:val="340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2.51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0.51 mA</w:t>
            </w:r>
          </w:p>
        </w:tc>
      </w:tr>
      <w:tr w:rsidR="002A54C9" w:rsidRPr="009B3C1B" w:rsidTr="002C3286">
        <w:trPr>
          <w:trHeight w:val="356"/>
        </w:trPr>
        <w:tc>
          <w:tcPr>
            <w:tcW w:w="1046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2.06 V</w:t>
            </w:r>
          </w:p>
        </w:tc>
        <w:tc>
          <w:tcPr>
            <w:tcW w:w="1212" w:type="dxa"/>
            <w:shd w:val="clear" w:color="auto" w:fill="auto"/>
          </w:tcPr>
          <w:p w:rsidR="002A54C9" w:rsidRPr="009B3C1B" w:rsidRDefault="002A54C9" w:rsidP="002C3286">
            <w:pPr>
              <w:rPr>
                <w:lang w:val="en-GB"/>
              </w:rPr>
            </w:pPr>
            <w:r w:rsidRPr="009B3C1B">
              <w:rPr>
                <w:lang w:val="en-GB"/>
              </w:rPr>
              <w:t>0.21 mA</w:t>
            </w:r>
          </w:p>
        </w:tc>
      </w:tr>
    </w:tbl>
    <w:bookmarkEnd w:id="1"/>
    <w:p w:rsidR="00C40637" w:rsidRDefault="00044C9A" w:rsidP="00C40637">
      <w:pPr>
        <w:rPr>
          <w:b/>
          <w:sz w:val="28"/>
        </w:rPr>
      </w:pPr>
      <w:r>
        <w:rPr>
          <w:noProof/>
          <w:lang w:val="tr-TR"/>
        </w:rPr>
        <w:drawing>
          <wp:inline distT="0" distB="0" distL="0" distR="0" wp14:anchorId="539108E5" wp14:editId="23AA67F6">
            <wp:extent cx="4595854" cy="2862469"/>
            <wp:effectExtent l="0" t="0" r="0" b="0"/>
            <wp:docPr id="4" name="Grafik 4" title="dsg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40637" w:rsidRDefault="00C40637" w:rsidP="00C40637">
      <w:pPr>
        <w:rPr>
          <w:b/>
          <w:sz w:val="28"/>
        </w:rPr>
      </w:pPr>
    </w:p>
    <w:p w:rsidR="006603CE" w:rsidRDefault="006603CE" w:rsidP="00C40637">
      <w:pPr>
        <w:rPr>
          <w:b/>
          <w:sz w:val="28"/>
        </w:rPr>
      </w:pPr>
    </w:p>
    <w:p w:rsidR="006603CE" w:rsidRDefault="006603CE" w:rsidP="00C40637">
      <w:pPr>
        <w:rPr>
          <w:b/>
          <w:sz w:val="28"/>
        </w:rPr>
      </w:pPr>
    </w:p>
    <w:p w:rsidR="006603CE" w:rsidRPr="00597C9E" w:rsidRDefault="00775BEF" w:rsidP="00425EEC">
      <w:pPr>
        <w:spacing w:line="276" w:lineRule="auto"/>
        <w:ind w:firstLine="567"/>
      </w:pPr>
      <w:r>
        <w:t xml:space="preserve">We observed that </w:t>
      </w:r>
      <w:r w:rsidR="00597C9E">
        <w:t>I</w:t>
      </w:r>
      <w:r w:rsidR="00597C9E">
        <w:rPr>
          <w:vertAlign w:val="subscript"/>
        </w:rPr>
        <w:t>D</w:t>
      </w:r>
      <w:r w:rsidR="00597C9E">
        <w:t xml:space="preserve"> depends on V</w:t>
      </w:r>
      <w:r w:rsidR="00597C9E">
        <w:rPr>
          <w:vertAlign w:val="subscript"/>
        </w:rPr>
        <w:t>GS</w:t>
      </w:r>
      <w:r w:rsidR="00597C9E">
        <w:t xml:space="preserve"> according to operation region exactly the formulas say. In saturation, increasing of V</w:t>
      </w:r>
      <w:r w:rsidR="00597C9E">
        <w:rPr>
          <w:vertAlign w:val="subscript"/>
        </w:rPr>
        <w:t>GS</w:t>
      </w:r>
      <w:r w:rsidR="00597C9E">
        <w:t xml:space="preserve"> effects I</w:t>
      </w:r>
      <w:r w:rsidR="00597C9E">
        <w:rPr>
          <w:vertAlign w:val="subscript"/>
        </w:rPr>
        <w:t>D</w:t>
      </w:r>
      <w:r w:rsidR="00597C9E">
        <w:t xml:space="preserve"> more like exponential, but in the active </w:t>
      </w:r>
      <w:proofErr w:type="gramStart"/>
      <w:r w:rsidR="00597C9E">
        <w:t xml:space="preserve">region </w:t>
      </w:r>
      <w:r w:rsidR="00597C9E">
        <w:rPr>
          <w:vertAlign w:val="subscript"/>
        </w:rPr>
        <w:t xml:space="preserve"> </w:t>
      </w:r>
      <w:r w:rsidR="00597C9E">
        <w:t>V</w:t>
      </w:r>
      <w:r w:rsidR="00597C9E">
        <w:rPr>
          <w:vertAlign w:val="subscript"/>
        </w:rPr>
        <w:t>GS</w:t>
      </w:r>
      <w:proofErr w:type="gramEnd"/>
      <w:r w:rsidR="00597C9E">
        <w:t xml:space="preserve"> effects I</w:t>
      </w:r>
      <w:r w:rsidR="00597C9E">
        <w:rPr>
          <w:vertAlign w:val="subscript"/>
        </w:rPr>
        <w:t>D</w:t>
      </w:r>
      <w:r w:rsidR="00597C9E">
        <w:t xml:space="preserve"> more linear.</w:t>
      </w:r>
    </w:p>
    <w:p w:rsidR="006603CE" w:rsidRDefault="006603CE" w:rsidP="00C40637">
      <w:pPr>
        <w:rPr>
          <w:b/>
          <w:sz w:val="28"/>
        </w:rPr>
      </w:pPr>
    </w:p>
    <w:p w:rsidR="002E77AB" w:rsidRDefault="002E77AB" w:rsidP="002E77AB">
      <w:pPr>
        <w:rPr>
          <w:b/>
          <w:sz w:val="28"/>
        </w:rPr>
      </w:pPr>
      <w:r>
        <w:rPr>
          <w:b/>
          <w:sz w:val="28"/>
        </w:rPr>
        <w:t>Experiment 2.4:</w:t>
      </w:r>
    </w:p>
    <w:p w:rsidR="002E77AB" w:rsidRDefault="002E77AB" w:rsidP="002E77AB">
      <w:pPr>
        <w:rPr>
          <w:b/>
          <w:sz w:val="28"/>
        </w:rPr>
      </w:pPr>
    </w:p>
    <w:p w:rsidR="00C40637" w:rsidRPr="006603CE" w:rsidRDefault="00775BEF" w:rsidP="00425EEC">
      <w:pPr>
        <w:spacing w:line="276" w:lineRule="auto"/>
        <w:ind w:firstLine="567"/>
        <w:rPr>
          <w:lang w:val="en-GB"/>
        </w:rPr>
      </w:pPr>
      <w:r>
        <w:t>We built s</w:t>
      </w:r>
      <w:r w:rsidR="002E77AB" w:rsidRPr="002E77AB">
        <w:t>ame setup</w:t>
      </w:r>
      <w:r w:rsidR="002E77AB">
        <w:t xml:space="preserve"> </w:t>
      </w:r>
      <w:r>
        <w:t>like</w:t>
      </w:r>
      <w:r w:rsidR="002E77AB">
        <w:t xml:space="preserve"> experiment 2.3, but this time R</w:t>
      </w:r>
      <w:r w:rsidR="002E77AB">
        <w:rPr>
          <w:vertAlign w:val="subscript"/>
        </w:rPr>
        <w:t xml:space="preserve">2 </w:t>
      </w:r>
      <w:r w:rsidR="002E77AB">
        <w:t xml:space="preserve">rheostat is fixed to </w:t>
      </w:r>
      <w:r w:rsidR="002E77AB">
        <w:rPr>
          <w:lang w:val="en-GB"/>
        </w:rPr>
        <w:t>100kΩ and V</w:t>
      </w:r>
      <w:r w:rsidR="002E77AB">
        <w:rPr>
          <w:vertAlign w:val="subscript"/>
          <w:lang w:val="en-GB"/>
        </w:rPr>
        <w:t>G</w:t>
      </w:r>
      <w:r w:rsidR="002E77AB">
        <w:rPr>
          <w:lang w:val="en-GB"/>
        </w:rPr>
        <w:t xml:space="preserve"> = 5V. Then we change V</w:t>
      </w:r>
      <w:r w:rsidR="002E77AB">
        <w:rPr>
          <w:vertAlign w:val="subscript"/>
          <w:lang w:val="en-GB"/>
        </w:rPr>
        <w:t>D</w:t>
      </w:r>
      <w:r w:rsidR="002E77AB">
        <w:rPr>
          <w:lang w:val="en-GB"/>
        </w:rPr>
        <w:t xml:space="preserve"> between 0-10V</w:t>
      </w:r>
      <w:r w:rsidR="00715E9C">
        <w:rPr>
          <w:lang w:val="en-GB"/>
        </w:rPr>
        <w:t>.</w:t>
      </w:r>
    </w:p>
    <w:p w:rsidR="006603CE" w:rsidRPr="006603CE" w:rsidRDefault="006603CE" w:rsidP="002E77AB">
      <w:pPr>
        <w:ind w:firstLine="567"/>
        <w:rPr>
          <w:sz w:val="2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354"/>
      </w:tblGrid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B9410B">
            <w:pPr>
              <w:jc w:val="center"/>
              <w:rPr>
                <w:b/>
                <w:lang w:val="en-GB"/>
              </w:rPr>
            </w:pPr>
            <w:r w:rsidRPr="009B3C1B">
              <w:rPr>
                <w:b/>
                <w:bCs/>
                <w:color w:val="000000"/>
              </w:rPr>
              <w:t>V</w:t>
            </w:r>
            <w:r w:rsidRPr="009B3C1B">
              <w:rPr>
                <w:b/>
                <w:bCs/>
                <w:color w:val="000000"/>
                <w:vertAlign w:val="subscript"/>
              </w:rPr>
              <w:t>DS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B9410B">
            <w:pPr>
              <w:jc w:val="center"/>
              <w:rPr>
                <w:b/>
                <w:lang w:val="en-GB"/>
              </w:rPr>
            </w:pPr>
            <w:r w:rsidRPr="009B3C1B">
              <w:rPr>
                <w:b/>
                <w:bCs/>
                <w:color w:val="000000"/>
              </w:rPr>
              <w:t>I</w:t>
            </w:r>
            <w:r w:rsidRPr="009B3C1B">
              <w:rPr>
                <w:b/>
                <w:bCs/>
                <w:color w:val="000000"/>
                <w:vertAlign w:val="subscript"/>
              </w:rPr>
              <w:t>D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0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1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2.03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2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3.14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3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3.23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4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3.26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2E77AB" w:rsidRPr="009B3C1B" w:rsidTr="000E62EE">
        <w:trPr>
          <w:trHeight w:val="338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5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3.27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6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3.29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7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3.30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8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3.31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9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3.319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  <w:tr w:rsidR="002E77AB" w:rsidRPr="009B3C1B" w:rsidTr="000E62EE">
        <w:trPr>
          <w:trHeight w:val="353"/>
        </w:trPr>
        <w:tc>
          <w:tcPr>
            <w:tcW w:w="709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>10 V</w:t>
            </w:r>
          </w:p>
        </w:tc>
        <w:tc>
          <w:tcPr>
            <w:tcW w:w="1354" w:type="dxa"/>
            <w:shd w:val="clear" w:color="auto" w:fill="auto"/>
          </w:tcPr>
          <w:p w:rsidR="002E77AB" w:rsidRPr="009B3C1B" w:rsidRDefault="002E77AB" w:rsidP="006603CE">
            <w:pPr>
              <w:rPr>
                <w:lang w:val="en-GB"/>
              </w:rPr>
            </w:pPr>
            <w:r w:rsidRPr="009B3C1B">
              <w:rPr>
                <w:lang w:val="en-GB"/>
              </w:rPr>
              <w:t xml:space="preserve">3.327 </w:t>
            </w:r>
            <w:r w:rsidR="006603C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 w:rsidRPr="009B3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</w:p>
        </w:tc>
      </w:tr>
    </w:tbl>
    <w:p w:rsidR="00C40637" w:rsidRDefault="00006382" w:rsidP="00C40637">
      <w:pPr>
        <w:rPr>
          <w:b/>
          <w:sz w:val="28"/>
        </w:rPr>
      </w:pPr>
      <w:r>
        <w:rPr>
          <w:noProof/>
          <w:lang w:val="tr-TR"/>
        </w:rPr>
        <w:drawing>
          <wp:inline distT="0" distB="0" distL="0" distR="0" wp14:anchorId="5DD9A570" wp14:editId="01ACB2C7">
            <wp:extent cx="4754880" cy="3116911"/>
            <wp:effectExtent l="0" t="0" r="7620" b="7620"/>
            <wp:docPr id="6" name="Grafik 6" title="dsg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40637" w:rsidRDefault="00C40637" w:rsidP="00C40637">
      <w:pPr>
        <w:rPr>
          <w:b/>
          <w:sz w:val="28"/>
        </w:rPr>
      </w:pPr>
    </w:p>
    <w:p w:rsidR="00775BEF" w:rsidRDefault="00775BEF" w:rsidP="00425EEC">
      <w:pPr>
        <w:spacing w:line="276" w:lineRule="auto"/>
        <w:ind w:firstLine="567"/>
        <w:rPr>
          <w:bCs/>
          <w:color w:val="000000"/>
        </w:rPr>
      </w:pPr>
      <w:r>
        <w:rPr>
          <w:lang w:val="en-GB"/>
        </w:rPr>
        <w:t xml:space="preserve">We </w:t>
      </w:r>
      <w:r w:rsidR="00597C9E">
        <w:rPr>
          <w:lang w:val="en-GB"/>
        </w:rPr>
        <w:t>observed</w:t>
      </w:r>
      <w:r>
        <w:rPr>
          <w:lang w:val="en-GB"/>
        </w:rPr>
        <w:t xml:space="preserve"> </w:t>
      </w:r>
      <w:r w:rsidR="00597C9E">
        <w:rPr>
          <w:lang w:val="en-GB"/>
        </w:rPr>
        <w:t>that</w:t>
      </w:r>
      <w:r>
        <w:rPr>
          <w:bCs/>
          <w:color w:val="000000"/>
        </w:rPr>
        <w:t xml:space="preserve"> </w:t>
      </w:r>
      <w:r w:rsidRPr="002D4A13">
        <w:rPr>
          <w:bCs/>
          <w:color w:val="000000"/>
        </w:rPr>
        <w:t>I</w:t>
      </w:r>
      <w:r w:rsidRPr="002D4A13">
        <w:rPr>
          <w:bCs/>
          <w:color w:val="000000"/>
          <w:vertAlign w:val="subscript"/>
        </w:rPr>
        <w:t>D</w:t>
      </w:r>
      <w:r>
        <w:rPr>
          <w:bCs/>
          <w:color w:val="000000"/>
          <w:vertAlign w:val="subscript"/>
        </w:rPr>
        <w:t xml:space="preserve"> </w:t>
      </w:r>
      <w:r w:rsidR="00597C9E">
        <w:rPr>
          <w:bCs/>
          <w:color w:val="000000"/>
        </w:rPr>
        <w:t>fixed</w:t>
      </w:r>
      <w:r>
        <w:rPr>
          <w:bCs/>
          <w:color w:val="000000"/>
        </w:rPr>
        <w:t xml:space="preserve"> </w:t>
      </w:r>
      <w:r w:rsidR="00597C9E">
        <w:rPr>
          <w:bCs/>
          <w:color w:val="000000"/>
        </w:rPr>
        <w:t xml:space="preserve">approximately </w:t>
      </w:r>
      <w:r>
        <w:rPr>
          <w:bCs/>
          <w:color w:val="000000"/>
        </w:rPr>
        <w:t>3,2</w:t>
      </w:r>
      <w:r w:rsidR="00597C9E">
        <w:rPr>
          <w:bCs/>
          <w:color w:val="000000"/>
        </w:rPr>
        <w:t>mA level when V</w:t>
      </w:r>
      <w:r w:rsidR="00597C9E">
        <w:rPr>
          <w:bCs/>
          <w:color w:val="000000"/>
          <w:vertAlign w:val="subscript"/>
        </w:rPr>
        <w:t>DS</w:t>
      </w:r>
      <w:r w:rsidR="00597C9E">
        <w:rPr>
          <w:bCs/>
          <w:color w:val="000000"/>
        </w:rPr>
        <w:t xml:space="preserve"> is around 2-3V</w:t>
      </w:r>
      <w:r>
        <w:rPr>
          <w:bCs/>
          <w:color w:val="000000"/>
        </w:rPr>
        <w:t>.</w:t>
      </w:r>
      <w:r w:rsidR="00073AEC">
        <w:rPr>
          <w:bCs/>
          <w:color w:val="000000"/>
        </w:rPr>
        <w:t xml:space="preserve">       </w:t>
      </w:r>
      <w:proofErr w:type="gramStart"/>
      <w:r>
        <w:rPr>
          <w:bCs/>
          <w:color w:val="000000"/>
        </w:rPr>
        <w:t>V</w:t>
      </w:r>
      <w:r>
        <w:rPr>
          <w:bCs/>
          <w:color w:val="000000"/>
          <w:vertAlign w:val="subscript"/>
        </w:rPr>
        <w:t xml:space="preserve">GS </w:t>
      </w:r>
      <w:r>
        <w:rPr>
          <w:bCs/>
          <w:color w:val="000000"/>
        </w:rPr>
        <w:t xml:space="preserve">- </w:t>
      </w:r>
      <w:proofErr w:type="spellStart"/>
      <w:r>
        <w:rPr>
          <w:bCs/>
          <w:color w:val="000000"/>
        </w:rPr>
        <w:t>V</w:t>
      </w:r>
      <w:r>
        <w:rPr>
          <w:bCs/>
          <w:color w:val="000000"/>
          <w:vertAlign w:val="subscript"/>
        </w:rPr>
        <w:t>tn</w:t>
      </w:r>
      <w:proofErr w:type="spellEnd"/>
      <w:r>
        <w:rPr>
          <w:bCs/>
          <w:color w:val="000000"/>
          <w:vertAlign w:val="subscript"/>
        </w:rPr>
        <w:t xml:space="preserve"> </w:t>
      </w:r>
      <w:r>
        <w:rPr>
          <w:bCs/>
          <w:color w:val="000000"/>
        </w:rPr>
        <w:t>&gt; V</w:t>
      </w:r>
      <w:r>
        <w:rPr>
          <w:bCs/>
          <w:color w:val="000000"/>
          <w:vertAlign w:val="subscript"/>
        </w:rPr>
        <w:t>DS</w:t>
      </w:r>
      <w:r>
        <w:rPr>
          <w:bCs/>
          <w:color w:val="000000"/>
        </w:rPr>
        <w:t>.</w:t>
      </w:r>
      <w:proofErr w:type="gramEnd"/>
      <w:r>
        <w:rPr>
          <w:bCs/>
          <w:color w:val="000000"/>
        </w:rPr>
        <w:t xml:space="preserve"> V</w:t>
      </w:r>
      <w:r>
        <w:rPr>
          <w:bCs/>
          <w:color w:val="000000"/>
          <w:vertAlign w:val="subscript"/>
        </w:rPr>
        <w:t xml:space="preserve">GS </w:t>
      </w:r>
      <w:r>
        <w:rPr>
          <w:bCs/>
          <w:color w:val="000000"/>
        </w:rPr>
        <w:t xml:space="preserve">and </w:t>
      </w:r>
      <w:proofErr w:type="spellStart"/>
      <w:r>
        <w:rPr>
          <w:bCs/>
          <w:color w:val="000000"/>
        </w:rPr>
        <w:t>V</w:t>
      </w:r>
      <w:r>
        <w:rPr>
          <w:bCs/>
          <w:color w:val="000000"/>
          <w:vertAlign w:val="subscript"/>
        </w:rPr>
        <w:t>tn</w:t>
      </w:r>
      <w:proofErr w:type="spellEnd"/>
      <w:r>
        <w:rPr>
          <w:bCs/>
          <w:color w:val="000000"/>
          <w:vertAlign w:val="subscript"/>
        </w:rPr>
        <w:t xml:space="preserve"> </w:t>
      </w:r>
      <w:r>
        <w:rPr>
          <w:bCs/>
          <w:color w:val="000000"/>
        </w:rPr>
        <w:t xml:space="preserve">are constant </w:t>
      </w:r>
      <w:r w:rsidR="00073AEC">
        <w:rPr>
          <w:bCs/>
          <w:color w:val="000000"/>
        </w:rPr>
        <w:t xml:space="preserve">values </w:t>
      </w:r>
      <w:r>
        <w:rPr>
          <w:bCs/>
          <w:color w:val="000000"/>
        </w:rPr>
        <w:t>so V</w:t>
      </w:r>
      <w:r w:rsidR="00597C9E">
        <w:rPr>
          <w:bCs/>
          <w:color w:val="000000"/>
          <w:vertAlign w:val="subscript"/>
        </w:rPr>
        <w:t>DS</w:t>
      </w:r>
      <w:r>
        <w:rPr>
          <w:bCs/>
          <w:color w:val="000000"/>
          <w:vertAlign w:val="subscript"/>
        </w:rPr>
        <w:t xml:space="preserve"> </w:t>
      </w:r>
      <w:r>
        <w:rPr>
          <w:bCs/>
          <w:color w:val="000000"/>
        </w:rPr>
        <w:t>is critic</w:t>
      </w:r>
      <w:r w:rsidR="00597C9E">
        <w:rPr>
          <w:bCs/>
          <w:color w:val="000000"/>
        </w:rPr>
        <w:t xml:space="preserve"> value</w:t>
      </w:r>
      <w:r>
        <w:rPr>
          <w:bCs/>
          <w:color w:val="000000"/>
        </w:rPr>
        <w:t xml:space="preserve"> between 2V-3V</w:t>
      </w:r>
      <w:r w:rsidR="00073AEC">
        <w:rPr>
          <w:bCs/>
          <w:color w:val="000000"/>
        </w:rPr>
        <w:t xml:space="preserve"> for operation region change</w:t>
      </w:r>
      <w:r>
        <w:rPr>
          <w:bCs/>
          <w:color w:val="000000"/>
        </w:rPr>
        <w:t>.</w:t>
      </w:r>
      <w:r w:rsidR="00073AEC">
        <w:rPr>
          <w:bCs/>
          <w:color w:val="000000"/>
        </w:rPr>
        <w:t xml:space="preserve"> The</w:t>
      </w:r>
      <w:r>
        <w:rPr>
          <w:bCs/>
          <w:color w:val="000000"/>
        </w:rPr>
        <w:t xml:space="preserve"> </w:t>
      </w:r>
      <w:r w:rsidR="00073AEC">
        <w:rPr>
          <w:bCs/>
          <w:color w:val="000000"/>
        </w:rPr>
        <w:t>MOSFET operation mode is changed from saturation region to active region.</w:t>
      </w:r>
    </w:p>
    <w:p w:rsidR="00073AEC" w:rsidRPr="00775BEF" w:rsidRDefault="00073AEC" w:rsidP="00073AEC"/>
    <w:p w:rsidR="00C40637" w:rsidRDefault="00C40637" w:rsidP="00C40637">
      <w:pPr>
        <w:rPr>
          <w:b/>
          <w:sz w:val="32"/>
        </w:rPr>
      </w:pPr>
      <w:r w:rsidRPr="00C40637">
        <w:rPr>
          <w:b/>
          <w:sz w:val="32"/>
        </w:rPr>
        <w:t>Study of the BJT Element Behavior</w:t>
      </w:r>
    </w:p>
    <w:p w:rsidR="001533FD" w:rsidRDefault="001533FD" w:rsidP="00C40637">
      <w:pPr>
        <w:rPr>
          <w:b/>
          <w:sz w:val="32"/>
        </w:rPr>
      </w:pPr>
    </w:p>
    <w:p w:rsidR="00C76C2B" w:rsidRDefault="001533FD" w:rsidP="001533FD">
      <w:pPr>
        <w:ind w:firstLine="567"/>
      </w:pPr>
      <w:r>
        <w:t>Collector current equations for BJT in active region are:</w:t>
      </w:r>
    </w:p>
    <w:p w:rsidR="001533FD" w:rsidRDefault="001533FD" w:rsidP="001533FD">
      <w:pPr>
        <w:ind w:firstLine="567"/>
      </w:pPr>
    </w:p>
    <w:p w:rsidR="00C76C2B" w:rsidRPr="005901E4" w:rsidRDefault="005901E4" w:rsidP="001533FD">
      <w:pPr>
        <w:spacing w:line="276" w:lineRule="auto"/>
        <w:rPr>
          <w:vertAlign w:val="subscript"/>
        </w:rPr>
      </w:pPr>
      <w:r w:rsidRPr="005901E4">
        <w:t xml:space="preserve">1) </w:t>
      </w:r>
      <w:r w:rsidR="00C76C2B" w:rsidRPr="005901E4">
        <w:t>I</w:t>
      </w:r>
      <w:r w:rsidR="00C76C2B" w:rsidRPr="005901E4">
        <w:rPr>
          <w:vertAlign w:val="subscript"/>
        </w:rPr>
        <w:t>C</w:t>
      </w:r>
      <w:r w:rsidR="00C76C2B" w:rsidRPr="005901E4">
        <w:t xml:space="preserve"> </w:t>
      </w:r>
      <w:r w:rsidR="00C76C2B" w:rsidRPr="005901E4">
        <w:rPr>
          <w:rFonts w:ascii="Cambria Math" w:hAnsi="Cambria Math" w:cs="Cambria Math"/>
        </w:rPr>
        <w:t>≅</w:t>
      </w:r>
      <w:r w:rsidR="00C76C2B" w:rsidRPr="005901E4">
        <w:t xml:space="preserve"> I</w:t>
      </w:r>
      <w:r w:rsidR="00C76C2B" w:rsidRPr="005901E4">
        <w:rPr>
          <w:vertAlign w:val="subscript"/>
        </w:rPr>
        <w:t>S</w:t>
      </w:r>
      <w:r w:rsidR="001533FD" w:rsidRPr="005901E4">
        <w:rPr>
          <w:vertAlign w:val="subscript"/>
        </w:rPr>
        <w:t xml:space="preserve"> </w:t>
      </w:r>
      <w:proofErr w:type="spellStart"/>
      <w:r w:rsidR="00C76C2B" w:rsidRPr="005901E4">
        <w:t>e</w:t>
      </w:r>
      <w:r w:rsidR="00C76C2B" w:rsidRPr="005901E4">
        <w:rPr>
          <w:vertAlign w:val="superscript"/>
        </w:rPr>
        <w:t>V</w:t>
      </w:r>
      <w:r w:rsidR="00C76C2B" w:rsidRPr="005901E4">
        <w:rPr>
          <w:vertAlign w:val="subscript"/>
        </w:rPr>
        <w:t>BE</w:t>
      </w:r>
      <w:proofErr w:type="spellEnd"/>
      <w:r w:rsidR="00C76C2B" w:rsidRPr="005901E4">
        <w:rPr>
          <w:vertAlign w:val="superscript"/>
        </w:rPr>
        <w:t>/V</w:t>
      </w:r>
      <w:r w:rsidR="00C76C2B" w:rsidRPr="005901E4">
        <w:rPr>
          <w:vertAlign w:val="subscript"/>
        </w:rPr>
        <w:t>T</w:t>
      </w:r>
    </w:p>
    <w:p w:rsidR="00C76C2B" w:rsidRPr="005901E4" w:rsidRDefault="005901E4" w:rsidP="001533FD">
      <w:pPr>
        <w:spacing w:line="276" w:lineRule="auto"/>
      </w:pPr>
      <w:r w:rsidRPr="005901E4">
        <w:t>2)</w:t>
      </w:r>
      <w:r>
        <w:t xml:space="preserve"> </w:t>
      </w:r>
      <w:r w:rsidR="00C76C2B" w:rsidRPr="005901E4">
        <w:t>I</w:t>
      </w:r>
      <w:r w:rsidR="00C76C2B" w:rsidRPr="005901E4">
        <w:rPr>
          <w:vertAlign w:val="subscript"/>
        </w:rPr>
        <w:t>C</w:t>
      </w:r>
      <w:r w:rsidR="00C76C2B" w:rsidRPr="005901E4">
        <w:t xml:space="preserve"> = </w:t>
      </w:r>
      <w:r w:rsidR="00C76C2B" w:rsidRPr="005901E4">
        <w:rPr>
          <w:rFonts w:ascii="Cambria Math" w:hAnsi="Cambria Math" w:cs="Cambria Math"/>
        </w:rPr>
        <w:t>𝛽</w:t>
      </w:r>
      <w:r w:rsidR="00FC214D" w:rsidRPr="005901E4">
        <w:rPr>
          <w:vertAlign w:val="subscript"/>
        </w:rPr>
        <w:t>F</w:t>
      </w:r>
      <w:r w:rsidR="00FC214D" w:rsidRPr="005901E4">
        <w:t>I</w:t>
      </w:r>
      <w:r w:rsidR="00FC214D" w:rsidRPr="005901E4">
        <w:rPr>
          <w:vertAlign w:val="subscript"/>
        </w:rPr>
        <w:t>B</w:t>
      </w:r>
    </w:p>
    <w:p w:rsidR="00C40637" w:rsidRDefault="00C40637" w:rsidP="00C40637">
      <w:pPr>
        <w:rPr>
          <w:b/>
          <w:sz w:val="28"/>
        </w:rPr>
      </w:pPr>
    </w:p>
    <w:p w:rsidR="00E0095E" w:rsidRDefault="00E0095E" w:rsidP="00C40637">
      <w:pPr>
        <w:rPr>
          <w:b/>
          <w:sz w:val="28"/>
        </w:rPr>
      </w:pPr>
    </w:p>
    <w:p w:rsidR="00E0095E" w:rsidRDefault="00E0095E" w:rsidP="00C40637">
      <w:pPr>
        <w:rPr>
          <w:b/>
          <w:sz w:val="28"/>
        </w:rPr>
      </w:pPr>
    </w:p>
    <w:p w:rsidR="00E0095E" w:rsidRDefault="00E0095E" w:rsidP="00C40637">
      <w:pPr>
        <w:rPr>
          <w:b/>
          <w:sz w:val="28"/>
        </w:rPr>
      </w:pPr>
    </w:p>
    <w:p w:rsidR="00C76C2B" w:rsidRDefault="00C76C2B" w:rsidP="00C76C2B">
      <w:pPr>
        <w:rPr>
          <w:b/>
          <w:sz w:val="28"/>
        </w:rPr>
      </w:pPr>
      <w:r>
        <w:rPr>
          <w:b/>
          <w:sz w:val="28"/>
        </w:rPr>
        <w:lastRenderedPageBreak/>
        <w:t>Experiment 2.1</w:t>
      </w:r>
      <w:r w:rsidR="00025F30">
        <w:rPr>
          <w:b/>
          <w:sz w:val="28"/>
        </w:rPr>
        <w:t xml:space="preserve"> – </w:t>
      </w:r>
      <w:r w:rsidR="00025F30">
        <w:rPr>
          <w:b/>
          <w:sz w:val="28"/>
          <w:lang w:val="en-GB"/>
        </w:rPr>
        <w:t xml:space="preserve">Forward Active </w:t>
      </w:r>
      <w:r w:rsidR="00025F30" w:rsidRPr="00025F30">
        <w:rPr>
          <w:b/>
          <w:sz w:val="28"/>
          <w:lang w:val="en-GB"/>
        </w:rPr>
        <w:t>Region</w:t>
      </w:r>
      <w:r w:rsidR="00FA001D">
        <w:rPr>
          <w:b/>
          <w:sz w:val="28"/>
          <w:lang w:val="en-GB"/>
        </w:rPr>
        <w:t xml:space="preserve"> and Saturation</w:t>
      </w:r>
      <w:r w:rsidR="00025F30">
        <w:rPr>
          <w:b/>
          <w:sz w:val="28"/>
          <w:lang w:val="en-GB"/>
        </w:rPr>
        <w:t xml:space="preserve"> of BJT:</w:t>
      </w:r>
    </w:p>
    <w:p w:rsidR="00425EEC" w:rsidRDefault="00425EEC" w:rsidP="00C76C2B">
      <w:pPr>
        <w:rPr>
          <w:b/>
          <w:sz w:val="28"/>
        </w:rPr>
      </w:pPr>
    </w:p>
    <w:p w:rsidR="003A563D" w:rsidRDefault="00425EEC" w:rsidP="00025F30">
      <w:pPr>
        <w:ind w:firstLine="567"/>
      </w:pPr>
      <w:r>
        <w:t>We built the circuit according to Fig-2.2 in lab sheet. W</w:t>
      </w:r>
      <w:r>
        <w:rPr>
          <w:lang w:val="en-GB"/>
        </w:rPr>
        <w:t>e changed R</w:t>
      </w:r>
      <w:r w:rsidR="00025F30">
        <w:rPr>
          <w:vertAlign w:val="subscript"/>
          <w:lang w:val="en-GB"/>
        </w:rPr>
        <w:t>1</w:t>
      </w:r>
      <w:r>
        <w:rPr>
          <w:vertAlign w:val="subscript"/>
          <w:lang w:val="en-GB"/>
        </w:rPr>
        <w:t xml:space="preserve"> </w:t>
      </w:r>
      <w:r w:rsidR="00025F30">
        <w:rPr>
          <w:lang w:val="en-GB"/>
        </w:rPr>
        <w:t>potentiometer</w:t>
      </w:r>
      <w:r>
        <w:rPr>
          <w:lang w:val="en-GB"/>
        </w:rPr>
        <w:t xml:space="preserve"> </w:t>
      </w:r>
      <w:r w:rsidR="003A563D">
        <w:rPr>
          <w:lang w:val="en-GB"/>
        </w:rPr>
        <w:t xml:space="preserve">for adjust base current. </w:t>
      </w:r>
      <w:r w:rsidR="00025F30">
        <w:rPr>
          <w:lang w:val="en-GB"/>
        </w:rPr>
        <w:t xml:space="preserve">We fixed </w:t>
      </w:r>
      <w:r w:rsidR="003A563D">
        <w:t>V</w:t>
      </w:r>
      <w:r w:rsidR="003A563D">
        <w:rPr>
          <w:vertAlign w:val="subscript"/>
        </w:rPr>
        <w:t xml:space="preserve">CE </w:t>
      </w:r>
      <w:r w:rsidR="003A563D">
        <w:t>= 5V</w:t>
      </w:r>
      <w:r w:rsidR="00025F30">
        <w:t xml:space="preserve"> and measure </w:t>
      </w:r>
      <w:r w:rsidR="00025F30" w:rsidRPr="00647438">
        <w:t>V</w:t>
      </w:r>
      <w:r w:rsidR="00025F30" w:rsidRPr="00647438">
        <w:rPr>
          <w:vertAlign w:val="subscript"/>
        </w:rPr>
        <w:t xml:space="preserve">BE, </w:t>
      </w:r>
      <w:r w:rsidR="00025F30" w:rsidRPr="00647438">
        <w:t>I</w:t>
      </w:r>
      <w:r w:rsidR="00025F30" w:rsidRPr="00647438">
        <w:rPr>
          <w:vertAlign w:val="subscript"/>
        </w:rPr>
        <w:t xml:space="preserve">C, </w:t>
      </w:r>
      <w:r w:rsidR="00025F30" w:rsidRPr="00647438">
        <w:t>V</w:t>
      </w:r>
      <w:r w:rsidR="00025F30" w:rsidRPr="00647438">
        <w:rPr>
          <w:vertAlign w:val="subscript"/>
        </w:rPr>
        <w:t>R2</w:t>
      </w:r>
      <w:r w:rsidR="00025F30">
        <w:t xml:space="preserve"> values. </w:t>
      </w:r>
      <w:r w:rsidR="003A563D">
        <w:t xml:space="preserve">Then we calculated </w:t>
      </w:r>
      <w:r w:rsidR="003A563D" w:rsidRPr="00647438">
        <w:t>I</w:t>
      </w:r>
      <w:r w:rsidR="0086396B">
        <w:rPr>
          <w:vertAlign w:val="subscript"/>
        </w:rPr>
        <w:t>B</w:t>
      </w:r>
      <w:r w:rsidR="003A563D" w:rsidRPr="00647438">
        <w:rPr>
          <w:vertAlign w:val="subscript"/>
        </w:rPr>
        <w:t xml:space="preserve"> </w:t>
      </w:r>
      <w:r w:rsidR="003A563D">
        <w:t>and</w:t>
      </w:r>
      <w:r w:rsidR="003A563D" w:rsidRPr="00647438">
        <w:t xml:space="preserve"> β</w:t>
      </w:r>
      <w:r w:rsidR="003A563D">
        <w:t xml:space="preserve"> by</w:t>
      </w:r>
      <w:r w:rsidR="001533FD">
        <w:t xml:space="preserve"> BJT</w:t>
      </w:r>
      <w:r w:rsidR="00025F30">
        <w:t xml:space="preserve"> current</w:t>
      </w:r>
      <w:r w:rsidR="003A563D">
        <w:t xml:space="preserve"> formulas.</w:t>
      </w:r>
    </w:p>
    <w:p w:rsidR="003A563D" w:rsidRDefault="003A563D" w:rsidP="003A563D">
      <w:pPr>
        <w:ind w:firstLine="567"/>
        <w:rPr>
          <w:b/>
          <w:sz w:val="28"/>
        </w:rPr>
      </w:pPr>
    </w:p>
    <w:p w:rsidR="00C40637" w:rsidRPr="00C76C2B" w:rsidRDefault="00C40637" w:rsidP="00C76C2B"/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4"/>
      </w:tblGrid>
      <w:tr w:rsidR="00B9410B" w:rsidRPr="009B3C1B" w:rsidTr="00AF5301">
        <w:trPr>
          <w:trHeight w:val="301"/>
        </w:trPr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center"/>
              <w:rPr>
                <w:lang w:val="en-GB"/>
              </w:rPr>
            </w:pPr>
            <w:r w:rsidRPr="00AF5301">
              <w:rPr>
                <w:b/>
                <w:bCs/>
                <w:color w:val="000000"/>
              </w:rPr>
              <w:t>R</w:t>
            </w:r>
            <w:r w:rsidRPr="00AF5301">
              <w:rPr>
                <w:b/>
                <w:bCs/>
                <w:color w:val="000000"/>
                <w:vertAlign w:val="subscript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center"/>
              <w:rPr>
                <w:lang w:val="en-GB"/>
              </w:rPr>
            </w:pPr>
            <w:r w:rsidRPr="00AF5301">
              <w:rPr>
                <w:b/>
                <w:bCs/>
                <w:color w:val="000000"/>
              </w:rPr>
              <w:t>V</w:t>
            </w:r>
            <w:r w:rsidRPr="00AF5301">
              <w:rPr>
                <w:b/>
                <w:bCs/>
                <w:color w:val="000000"/>
                <w:vertAlign w:val="subscript"/>
              </w:rPr>
              <w:t>BE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center"/>
              <w:rPr>
                <w:lang w:val="en-GB"/>
              </w:rPr>
            </w:pPr>
            <w:r w:rsidRPr="00AF5301">
              <w:rPr>
                <w:b/>
                <w:bCs/>
                <w:color w:val="000000"/>
              </w:rPr>
              <w:t>I</w:t>
            </w:r>
            <w:r w:rsidRPr="00AF5301">
              <w:rPr>
                <w:b/>
                <w:bCs/>
                <w:color w:val="000000"/>
                <w:vertAlign w:val="subscript"/>
              </w:rPr>
              <w:t>C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center"/>
              <w:rPr>
                <w:lang w:val="en-GB"/>
              </w:rPr>
            </w:pPr>
            <w:r w:rsidRPr="00AF5301">
              <w:rPr>
                <w:b/>
                <w:bCs/>
                <w:color w:val="000000"/>
              </w:rPr>
              <w:t>V</w:t>
            </w:r>
            <w:r w:rsidRPr="00AF5301">
              <w:rPr>
                <w:b/>
                <w:bCs/>
                <w:color w:val="000000"/>
                <w:vertAlign w:val="subscript"/>
              </w:rPr>
              <w:t>R2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center"/>
              <w:rPr>
                <w:lang w:val="en-GB"/>
              </w:rPr>
            </w:pPr>
            <w:r w:rsidRPr="00AF5301">
              <w:rPr>
                <w:b/>
                <w:bCs/>
                <w:color w:val="000000"/>
              </w:rPr>
              <w:t>I</w:t>
            </w:r>
            <w:r w:rsidRPr="00AF5301">
              <w:rPr>
                <w:b/>
                <w:bCs/>
                <w:color w:val="000000"/>
                <w:vertAlign w:val="subscript"/>
              </w:rPr>
              <w:t>B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center"/>
              <w:rPr>
                <w:lang w:val="en-GB"/>
              </w:rPr>
            </w:pPr>
            <w:r w:rsidRPr="00AF5301">
              <w:rPr>
                <w:b/>
                <w:bCs/>
                <w:color w:val="000000"/>
              </w:rPr>
              <w:t>β</w:t>
            </w:r>
          </w:p>
        </w:tc>
      </w:tr>
      <w:tr w:rsidR="00B9410B" w:rsidRPr="009B3C1B" w:rsidTr="00AF5301">
        <w:trPr>
          <w:trHeight w:val="301"/>
        </w:trPr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1</w:t>
            </w:r>
            <w:r w:rsidRPr="00AF5301">
              <w:t xml:space="preserve"> </w:t>
            </w:r>
            <w:r w:rsidRPr="00AF5301">
              <w:rPr>
                <w:lang w:val="en-GB"/>
              </w:rPr>
              <w:t>MΩ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0.62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0.97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40.32 mV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4.032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240.57</w:t>
            </w:r>
          </w:p>
        </w:tc>
      </w:tr>
      <w:tr w:rsidR="00B9410B" w:rsidRPr="009B3C1B" w:rsidTr="00AF5301">
        <w:trPr>
          <w:trHeight w:val="301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680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0.639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1.42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57.96 mV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5.796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244.99</w:t>
            </w:r>
          </w:p>
        </w:tc>
      </w:tr>
      <w:tr w:rsidR="00B9410B" w:rsidRPr="009B3C1B" w:rsidTr="00AF5301">
        <w:trPr>
          <w:trHeight w:val="288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470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0.652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2.31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93.7 mV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9.370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246.53</w:t>
            </w:r>
          </w:p>
        </w:tc>
      </w:tr>
      <w:tr w:rsidR="00B9410B" w:rsidRPr="009B3C1B" w:rsidTr="00AF5301">
        <w:trPr>
          <w:trHeight w:val="301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330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0.660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3.10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125.27 mV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12.527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247.46</w:t>
            </w:r>
          </w:p>
        </w:tc>
      </w:tr>
      <w:tr w:rsidR="00B9410B" w:rsidRPr="009B3C1B" w:rsidTr="00AF5301">
        <w:trPr>
          <w:trHeight w:val="301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220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0.671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4.50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181.51 mV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18.151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247.93</w:t>
            </w:r>
          </w:p>
        </w:tc>
      </w:tr>
      <w:tr w:rsidR="00B9410B" w:rsidRPr="009B3C1B" w:rsidTr="00AF5301">
        <w:trPr>
          <w:trHeight w:val="301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150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0.678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6.06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0.24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24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252.5</w:t>
            </w:r>
          </w:p>
        </w:tc>
      </w:tr>
      <w:tr w:rsidR="00B9410B" w:rsidRPr="009B3C1B" w:rsidTr="00AF5301">
        <w:trPr>
          <w:trHeight w:val="301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100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0.691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9.85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0.38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38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259.21</w:t>
            </w:r>
          </w:p>
        </w:tc>
      </w:tr>
      <w:tr w:rsidR="00B9410B" w:rsidRPr="009B3C1B" w:rsidTr="00AF5301">
        <w:trPr>
          <w:trHeight w:val="301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68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0.701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14.09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0.55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55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256.18</w:t>
            </w:r>
          </w:p>
        </w:tc>
      </w:tr>
      <w:tr w:rsidR="00B9410B" w:rsidRPr="009B3C1B" w:rsidTr="00AF5301">
        <w:trPr>
          <w:trHeight w:val="288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47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0.711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19.85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0.77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77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257.79</w:t>
            </w:r>
          </w:p>
        </w:tc>
      </w:tr>
      <w:tr w:rsidR="00B9410B" w:rsidRPr="009B3C1B" w:rsidTr="00AF5301">
        <w:trPr>
          <w:trHeight w:val="301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33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0.715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24.58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0.94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94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261.48</w:t>
            </w:r>
          </w:p>
        </w:tc>
      </w:tr>
      <w:tr w:rsidR="00B9410B" w:rsidRPr="009B3C1B" w:rsidTr="00AF5301">
        <w:trPr>
          <w:trHeight w:val="315"/>
        </w:trPr>
        <w:tc>
          <w:tcPr>
            <w:tcW w:w="1554" w:type="dxa"/>
            <w:shd w:val="clear" w:color="auto" w:fill="auto"/>
          </w:tcPr>
          <w:p w:rsidR="00B9410B" w:rsidRPr="00AF5301" w:rsidRDefault="0090486E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22 k</w:t>
            </w:r>
            <w:r w:rsidR="00B9410B" w:rsidRPr="00AF5301">
              <w:rPr>
                <w:lang w:val="en-GB"/>
              </w:rPr>
              <w:t>Ω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0.724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34.64 mA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1.32 V</w:t>
            </w:r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 xml:space="preserve">132 </w:t>
            </w:r>
            <w:proofErr w:type="spellStart"/>
            <w:r w:rsidRPr="00AF5301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554" w:type="dxa"/>
            <w:shd w:val="clear" w:color="auto" w:fill="auto"/>
          </w:tcPr>
          <w:p w:rsidR="00B9410B" w:rsidRPr="00AF5301" w:rsidRDefault="00B9410B" w:rsidP="00B9410B">
            <w:pPr>
              <w:jc w:val="both"/>
              <w:rPr>
                <w:lang w:val="en-GB"/>
              </w:rPr>
            </w:pPr>
            <w:r w:rsidRPr="00AF5301">
              <w:rPr>
                <w:lang w:val="en-GB"/>
              </w:rPr>
              <w:t>262.42</w:t>
            </w:r>
          </w:p>
        </w:tc>
      </w:tr>
    </w:tbl>
    <w:p w:rsidR="00570565" w:rsidRDefault="00570565" w:rsidP="00C76C2B">
      <w:pPr>
        <w:rPr>
          <w:b/>
          <w:sz w:val="28"/>
        </w:rPr>
      </w:pPr>
    </w:p>
    <w:p w:rsidR="00425EEC" w:rsidRDefault="000C6608" w:rsidP="00C76C2B">
      <w:pPr>
        <w:rPr>
          <w:b/>
          <w:sz w:val="28"/>
        </w:rPr>
      </w:pPr>
      <w:r>
        <w:rPr>
          <w:noProof/>
          <w:lang w:val="tr-TR"/>
        </w:rPr>
        <w:drawing>
          <wp:inline distT="0" distB="0" distL="0" distR="0" wp14:anchorId="6C671EC4" wp14:editId="4B142509">
            <wp:extent cx="5120640" cy="3919993"/>
            <wp:effectExtent l="0" t="0" r="3810" b="4445"/>
            <wp:docPr id="7" name="Grafik 7" title="dsg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46182" w:rsidRDefault="00846182" w:rsidP="005901E4">
      <w:pPr>
        <w:spacing w:line="276" w:lineRule="auto"/>
        <w:ind w:firstLine="567"/>
      </w:pPr>
    </w:p>
    <w:p w:rsidR="000F6BC7" w:rsidRPr="005901E4" w:rsidRDefault="005901E4" w:rsidP="005901E4">
      <w:pPr>
        <w:spacing w:line="276" w:lineRule="auto"/>
        <w:ind w:firstLine="567"/>
      </w:pPr>
      <w:r w:rsidRPr="005901E4">
        <w:t xml:space="preserve">As </w:t>
      </w:r>
      <w:r w:rsidR="00846182">
        <w:t xml:space="preserve">it </w:t>
      </w:r>
      <w:r w:rsidRPr="005901E4">
        <w:t xml:space="preserve">can </w:t>
      </w:r>
      <w:r>
        <w:t>be seen 0.65-0.70V interval of V</w:t>
      </w:r>
      <w:r>
        <w:rPr>
          <w:vertAlign w:val="subscript"/>
        </w:rPr>
        <w:t>BE</w:t>
      </w:r>
      <w:r>
        <w:t xml:space="preserve"> is critical value for BJT. After that threshold value of V</w:t>
      </w:r>
      <w:r>
        <w:rPr>
          <w:vertAlign w:val="subscript"/>
        </w:rPr>
        <w:t>BE</w:t>
      </w:r>
      <w:r>
        <w:t>, I</w:t>
      </w:r>
      <w:r>
        <w:rPr>
          <w:vertAlign w:val="subscript"/>
        </w:rPr>
        <w:t>C</w:t>
      </w:r>
      <w:r>
        <w:t xml:space="preserve"> starts to increase exponentially.</w:t>
      </w:r>
    </w:p>
    <w:p w:rsidR="000F6BC7" w:rsidRDefault="000F6BC7" w:rsidP="00C76C2B">
      <w:pPr>
        <w:rPr>
          <w:b/>
          <w:sz w:val="28"/>
        </w:rPr>
      </w:pPr>
      <w:r>
        <w:rPr>
          <w:noProof/>
          <w:lang w:val="tr-TR"/>
        </w:rPr>
        <w:lastRenderedPageBreak/>
        <w:drawing>
          <wp:inline distT="0" distB="0" distL="0" distR="0" wp14:anchorId="5450BD5D" wp14:editId="387D71F3">
            <wp:extent cx="5160397" cy="3983603"/>
            <wp:effectExtent l="0" t="0" r="2540" b="0"/>
            <wp:docPr id="8" name="Grafik 8" title="dsg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F6BC7" w:rsidRDefault="000F6BC7" w:rsidP="00C76C2B">
      <w:pPr>
        <w:rPr>
          <w:b/>
          <w:sz w:val="28"/>
        </w:rPr>
      </w:pPr>
    </w:p>
    <w:p w:rsidR="00F6773C" w:rsidRPr="00FA001D" w:rsidRDefault="00FA001D" w:rsidP="00FA001D">
      <w:pPr>
        <w:ind w:firstLine="567"/>
      </w:pPr>
      <w:r>
        <w:t>In active region, while I</w:t>
      </w:r>
      <w:r>
        <w:rPr>
          <w:vertAlign w:val="subscript"/>
        </w:rPr>
        <w:t>B</w:t>
      </w:r>
      <w:r>
        <w:t xml:space="preserve"> increases I</w:t>
      </w:r>
      <w:r>
        <w:rPr>
          <w:vertAlign w:val="subscript"/>
        </w:rPr>
        <w:t>C</w:t>
      </w:r>
      <w:r>
        <w:t xml:space="preserve"> also increases linear proportional to I</w:t>
      </w:r>
      <w:r>
        <w:rPr>
          <w:vertAlign w:val="subscript"/>
        </w:rPr>
        <w:t>B.</w:t>
      </w:r>
    </w:p>
    <w:p w:rsidR="00FA001D" w:rsidRDefault="00FA001D" w:rsidP="00C76C2B">
      <w:pPr>
        <w:rPr>
          <w:b/>
          <w:sz w:val="28"/>
        </w:rPr>
      </w:pPr>
    </w:p>
    <w:p w:rsidR="00C76C2B" w:rsidRDefault="00C76C2B" w:rsidP="00C76C2B">
      <w:pPr>
        <w:rPr>
          <w:b/>
          <w:sz w:val="28"/>
        </w:rPr>
      </w:pPr>
      <w:r>
        <w:rPr>
          <w:b/>
          <w:sz w:val="28"/>
        </w:rPr>
        <w:t>Experiment 2.2</w:t>
      </w:r>
      <w:r w:rsidR="00025F30">
        <w:rPr>
          <w:b/>
          <w:sz w:val="28"/>
        </w:rPr>
        <w:t xml:space="preserve"> – </w:t>
      </w:r>
      <w:r w:rsidR="00025F30" w:rsidRPr="00025F30">
        <w:rPr>
          <w:b/>
          <w:sz w:val="28"/>
        </w:rPr>
        <w:t>Reverse</w:t>
      </w:r>
      <w:r w:rsidR="00025F30">
        <w:rPr>
          <w:b/>
          <w:sz w:val="28"/>
        </w:rPr>
        <w:t xml:space="preserve"> </w:t>
      </w:r>
      <w:r w:rsidR="00025F30" w:rsidRPr="00025F30">
        <w:rPr>
          <w:b/>
          <w:sz w:val="28"/>
        </w:rPr>
        <w:t>Active Region</w:t>
      </w:r>
      <w:r w:rsidR="00025F30">
        <w:rPr>
          <w:b/>
          <w:sz w:val="28"/>
        </w:rPr>
        <w:t xml:space="preserve"> of BJT:</w:t>
      </w:r>
    </w:p>
    <w:p w:rsidR="00FA001D" w:rsidRDefault="00FA001D" w:rsidP="00C76C2B">
      <w:pPr>
        <w:rPr>
          <w:b/>
          <w:sz w:val="28"/>
        </w:rPr>
      </w:pPr>
    </w:p>
    <w:p w:rsidR="00FA001D" w:rsidRPr="00FA001D" w:rsidRDefault="00FA001D" w:rsidP="00FA001D">
      <w:pPr>
        <w:ind w:firstLine="567"/>
      </w:pPr>
      <w:r>
        <w:t>In this experiment, we change direction of the BJT. Base remained same but collector and emitter terminals were swapped so BJT starts to operate in reverse active region.</w:t>
      </w:r>
    </w:p>
    <w:p w:rsidR="00F6773C" w:rsidRDefault="00F6773C" w:rsidP="00C76C2B">
      <w:pPr>
        <w:rPr>
          <w:b/>
          <w:sz w:val="28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354"/>
        <w:gridCol w:w="1339"/>
        <w:gridCol w:w="1276"/>
        <w:gridCol w:w="1275"/>
      </w:tblGrid>
      <w:tr w:rsidR="009B63DD" w:rsidRPr="009B3C1B" w:rsidTr="00B610E6">
        <w:trPr>
          <w:trHeight w:val="367"/>
        </w:trPr>
        <w:tc>
          <w:tcPr>
            <w:tcW w:w="209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F6773C" w:rsidRPr="00F6773C" w:rsidRDefault="00F6773C" w:rsidP="00F6773C">
            <w:pPr>
              <w:jc w:val="center"/>
              <w:rPr>
                <w:lang w:val="en-GB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center"/>
              <w:rPr>
                <w:lang w:val="en-GB"/>
              </w:rPr>
            </w:pPr>
            <w:r w:rsidRPr="00F6773C">
              <w:rPr>
                <w:b/>
                <w:bCs/>
                <w:color w:val="000000"/>
              </w:rPr>
              <w:t>V</w:t>
            </w:r>
            <w:r w:rsidRPr="00F6773C">
              <w:rPr>
                <w:b/>
                <w:bCs/>
                <w:color w:val="000000"/>
                <w:vertAlign w:val="subscript"/>
              </w:rPr>
              <w:t>BE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center"/>
              <w:rPr>
                <w:lang w:val="en-GB"/>
              </w:rPr>
            </w:pPr>
            <w:r w:rsidRPr="00F6773C">
              <w:rPr>
                <w:b/>
                <w:bCs/>
                <w:color w:val="000000"/>
              </w:rPr>
              <w:t>V</w:t>
            </w:r>
            <w:r w:rsidRPr="00F6773C">
              <w:rPr>
                <w:b/>
                <w:bCs/>
                <w:color w:val="000000"/>
                <w:vertAlign w:val="subscript"/>
              </w:rPr>
              <w:t>CE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center"/>
              <w:rPr>
                <w:lang w:val="en-GB"/>
              </w:rPr>
            </w:pPr>
            <w:r w:rsidRPr="00F6773C">
              <w:rPr>
                <w:b/>
                <w:bCs/>
                <w:color w:val="000000"/>
              </w:rPr>
              <w:t>I</w:t>
            </w:r>
            <w:r w:rsidRPr="00F6773C">
              <w:rPr>
                <w:b/>
                <w:bCs/>
                <w:color w:val="000000"/>
                <w:vertAlign w:val="subscript"/>
              </w:rP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center"/>
              <w:rPr>
                <w:lang w:val="en-GB"/>
              </w:rPr>
            </w:pPr>
            <w:r w:rsidRPr="00F6773C">
              <w:rPr>
                <w:b/>
                <w:bCs/>
                <w:color w:val="000000"/>
              </w:rPr>
              <w:t>I</w:t>
            </w:r>
            <w:r w:rsidRPr="00F6773C">
              <w:rPr>
                <w:b/>
                <w:bCs/>
                <w:color w:val="000000"/>
                <w:vertAlign w:val="subscript"/>
              </w:rPr>
              <w:t>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center"/>
              <w:rPr>
                <w:lang w:val="en-GB"/>
              </w:rPr>
            </w:pPr>
            <w:r w:rsidRPr="00F6773C">
              <w:rPr>
                <w:b/>
                <w:bCs/>
                <w:color w:val="000000"/>
              </w:rPr>
              <w:t>β</w:t>
            </w:r>
          </w:p>
        </w:tc>
      </w:tr>
      <w:tr w:rsidR="009B63DD" w:rsidRPr="009B3C1B" w:rsidTr="009B63DD">
        <w:trPr>
          <w:trHeight w:val="735"/>
        </w:trPr>
        <w:tc>
          <w:tcPr>
            <w:tcW w:w="2093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center"/>
              <w:rPr>
                <w:b/>
                <w:lang w:val="en-GB"/>
              </w:rPr>
            </w:pPr>
            <w:r w:rsidRPr="00F6773C">
              <w:rPr>
                <w:b/>
                <w:lang w:val="en-GB"/>
              </w:rPr>
              <w:t>Forward-active Mode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0.724 V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5 V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 xml:space="preserve">132 </w:t>
            </w:r>
            <w:proofErr w:type="spellStart"/>
            <w:r w:rsidRPr="00F6773C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34.64 mA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262.42</w:t>
            </w:r>
          </w:p>
        </w:tc>
      </w:tr>
      <w:tr w:rsidR="009B63DD" w:rsidRPr="009B3C1B" w:rsidTr="009B63DD">
        <w:trPr>
          <w:trHeight w:val="717"/>
        </w:trPr>
        <w:tc>
          <w:tcPr>
            <w:tcW w:w="2093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center"/>
              <w:rPr>
                <w:b/>
                <w:lang w:val="en-GB"/>
              </w:rPr>
            </w:pPr>
            <w:r w:rsidRPr="00F6773C">
              <w:rPr>
                <w:b/>
                <w:lang w:val="en-GB"/>
              </w:rPr>
              <w:t>Reverse-active Mode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-4.37 V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-5 V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 xml:space="preserve">197 </w:t>
            </w:r>
            <w:proofErr w:type="spellStart"/>
            <w:r w:rsidRPr="00F6773C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1.036 mA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5.25</w:t>
            </w:r>
          </w:p>
        </w:tc>
      </w:tr>
      <w:tr w:rsidR="009B63DD" w:rsidRPr="009B3C1B" w:rsidTr="009B63DD">
        <w:trPr>
          <w:trHeight w:val="384"/>
        </w:trPr>
        <w:tc>
          <w:tcPr>
            <w:tcW w:w="2093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center"/>
              <w:rPr>
                <w:b/>
                <w:lang w:val="en-GB"/>
              </w:rPr>
            </w:pPr>
            <w:r w:rsidRPr="00F6773C">
              <w:rPr>
                <w:b/>
                <w:lang w:val="en-GB"/>
              </w:rPr>
              <w:t>Saturation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0.705 V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34.54 mV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 xml:space="preserve">435 </w:t>
            </w:r>
            <w:proofErr w:type="spellStart"/>
            <w:r w:rsidRPr="00F6773C">
              <w:rPr>
                <w:color w:val="000000"/>
                <w:sz w:val="20"/>
                <w:szCs w:val="20"/>
                <w:shd w:val="clear" w:color="auto" w:fill="FFFFFF"/>
              </w:rPr>
              <w:t>μA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4.34 mA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6773C" w:rsidRPr="00F6773C" w:rsidRDefault="00F6773C" w:rsidP="00F6773C">
            <w:pPr>
              <w:jc w:val="both"/>
              <w:rPr>
                <w:lang w:val="en-GB"/>
              </w:rPr>
            </w:pPr>
            <w:r w:rsidRPr="00F6773C">
              <w:rPr>
                <w:lang w:val="en-GB"/>
              </w:rPr>
              <w:t>9.97</w:t>
            </w:r>
          </w:p>
        </w:tc>
      </w:tr>
    </w:tbl>
    <w:p w:rsidR="00C76C2B" w:rsidRPr="00C76C2B" w:rsidRDefault="00C76C2B" w:rsidP="00C76C2B"/>
    <w:sectPr w:rsidR="00C76C2B" w:rsidRPr="00C76C2B" w:rsidSect="00D76917">
      <w:headerReference w:type="default" r:id="rId13"/>
      <w:footerReference w:type="even" r:id="rId14"/>
      <w:footerReference w:type="default" r:id="rId15"/>
      <w:pgSz w:w="11906" w:h="16838" w:code="9"/>
      <w:pgMar w:top="1418" w:right="1418" w:bottom="1418" w:left="1418" w:header="709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76A" w:rsidRDefault="0078576A">
      <w:r>
        <w:separator/>
      </w:r>
    </w:p>
  </w:endnote>
  <w:endnote w:type="continuationSeparator" w:id="0">
    <w:p w:rsidR="0078576A" w:rsidRDefault="007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545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545E" w:rsidRDefault="009F545E" w:rsidP="00785D13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5B8" w:rsidRDefault="005D55B8" w:rsidP="005D55B8">
    <w:pPr>
      <w:pStyle w:val="Altbilgi"/>
      <w:rPr>
        <w:sz w:val="16"/>
        <w:szCs w:val="16"/>
      </w:rPr>
    </w:pPr>
    <w:r w:rsidRPr="005D55B8">
      <w:rPr>
        <w:sz w:val="16"/>
        <w:szCs w:val="16"/>
      </w:rPr>
      <w:t>Electronics &amp; Communication Engineering</w:t>
    </w:r>
  </w:p>
  <w:p w:rsidR="009F545E" w:rsidRPr="00E513EE" w:rsidRDefault="00E513EE" w:rsidP="00790F10">
    <w:pPr>
      <w:pStyle w:val="Altbilgi"/>
      <w:jc w:val="center"/>
      <w:rPr>
        <w:spacing w:val="100"/>
        <w:sz w:val="16"/>
        <w:szCs w:val="16"/>
      </w:rPr>
    </w:pPr>
    <w:r w:rsidRPr="00E513EE">
      <w:rPr>
        <w:spacing w:val="100"/>
        <w:sz w:val="16"/>
        <w:szCs w:val="16"/>
      </w:rPr>
      <w:t>Istanbul Technical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76A" w:rsidRDefault="0078576A">
      <w:r>
        <w:separator/>
      </w:r>
    </w:p>
  </w:footnote>
  <w:footnote w:type="continuationSeparator" w:id="0">
    <w:p w:rsidR="0078576A" w:rsidRDefault="00785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E" w:rsidRPr="00E513EE" w:rsidRDefault="0068652D" w:rsidP="00E513EE">
    <w:pPr>
      <w:pStyle w:val="stbilgi"/>
      <w:jc w:val="center"/>
      <w:rPr>
        <w:sz w:val="32"/>
        <w:szCs w:val="32"/>
        <w:lang w:val="tr-TR"/>
      </w:rPr>
    </w:pPr>
    <w:r w:rsidRPr="00E513EE">
      <w:rPr>
        <w:sz w:val="32"/>
        <w:szCs w:val="32"/>
        <w:lang w:val="tr-TR"/>
      </w:rPr>
      <w:t>I</w:t>
    </w:r>
    <w:r>
      <w:rPr>
        <w:sz w:val="32"/>
        <w:szCs w:val="32"/>
        <w:lang w:val="tr-TR"/>
      </w:rPr>
      <w:t xml:space="preserve">NTRODUCTION </w:t>
    </w:r>
    <w:proofErr w:type="spellStart"/>
    <w:r>
      <w:rPr>
        <w:sz w:val="32"/>
        <w:szCs w:val="32"/>
        <w:lang w:val="tr-TR"/>
      </w:rPr>
      <w:t>to</w:t>
    </w:r>
    <w:proofErr w:type="spellEnd"/>
    <w:r>
      <w:rPr>
        <w:sz w:val="32"/>
        <w:szCs w:val="32"/>
        <w:lang w:val="tr-TR"/>
      </w:rPr>
      <w:t xml:space="preserve"> ELECTRONICS </w:t>
    </w:r>
    <w:proofErr w:type="spellStart"/>
    <w:r>
      <w:rPr>
        <w:sz w:val="32"/>
        <w:szCs w:val="32"/>
        <w:lang w:val="tr-TR"/>
      </w:rPr>
      <w:t>and</w:t>
    </w:r>
    <w:proofErr w:type="spellEnd"/>
    <w:r w:rsidRPr="00E513EE">
      <w:rPr>
        <w:sz w:val="32"/>
        <w:szCs w:val="32"/>
        <w:lang w:val="tr-TR"/>
      </w:rPr>
      <w:t xml:space="preserve"> ANALOG ELECT</w:t>
    </w:r>
    <w:r>
      <w:rPr>
        <w:sz w:val="32"/>
        <w:szCs w:val="32"/>
      </w:rPr>
      <w:t xml:space="preserve">RONICS CIRCUITS </w:t>
    </w:r>
    <w:r w:rsidRPr="00E513EE">
      <w:rPr>
        <w:sz w:val="32"/>
        <w:szCs w:val="32"/>
        <w:lang w:val="tr-TR"/>
      </w:rPr>
      <w:t>LABORATORY</w:t>
    </w:r>
  </w:p>
  <w:p w:rsidR="009D0992" w:rsidRDefault="009D0992">
    <w:pPr>
      <w:pStyle w:val="stbilgi"/>
    </w:pPr>
  </w:p>
  <w:p w:rsidR="009D0992" w:rsidRDefault="009D099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059B4"/>
    <w:rsid w:val="00006382"/>
    <w:rsid w:val="00011CA1"/>
    <w:rsid w:val="00021F0E"/>
    <w:rsid w:val="00025F30"/>
    <w:rsid w:val="00027A9E"/>
    <w:rsid w:val="00032AE1"/>
    <w:rsid w:val="00044C9A"/>
    <w:rsid w:val="000666E3"/>
    <w:rsid w:val="00073AEC"/>
    <w:rsid w:val="00073B76"/>
    <w:rsid w:val="0008251F"/>
    <w:rsid w:val="0008295E"/>
    <w:rsid w:val="0009092A"/>
    <w:rsid w:val="000C6608"/>
    <w:rsid w:val="000E62EE"/>
    <w:rsid w:val="000F6BC7"/>
    <w:rsid w:val="001456D5"/>
    <w:rsid w:val="001533FD"/>
    <w:rsid w:val="00195DE9"/>
    <w:rsid w:val="00197CA7"/>
    <w:rsid w:val="001D4C74"/>
    <w:rsid w:val="00211F71"/>
    <w:rsid w:val="002350C8"/>
    <w:rsid w:val="00245D3F"/>
    <w:rsid w:val="00260D6D"/>
    <w:rsid w:val="00295248"/>
    <w:rsid w:val="002A54C9"/>
    <w:rsid w:val="002B29A9"/>
    <w:rsid w:val="002C202E"/>
    <w:rsid w:val="002C3286"/>
    <w:rsid w:val="002C57E1"/>
    <w:rsid w:val="002E77AB"/>
    <w:rsid w:val="00306E24"/>
    <w:rsid w:val="00310B09"/>
    <w:rsid w:val="0031224C"/>
    <w:rsid w:val="003154D0"/>
    <w:rsid w:val="003156B4"/>
    <w:rsid w:val="00337DA6"/>
    <w:rsid w:val="00356548"/>
    <w:rsid w:val="00381162"/>
    <w:rsid w:val="0039222A"/>
    <w:rsid w:val="003A563D"/>
    <w:rsid w:val="003D1035"/>
    <w:rsid w:val="003E5E20"/>
    <w:rsid w:val="004026E5"/>
    <w:rsid w:val="0040503B"/>
    <w:rsid w:val="00425EEC"/>
    <w:rsid w:val="00431240"/>
    <w:rsid w:val="004405DE"/>
    <w:rsid w:val="00462488"/>
    <w:rsid w:val="00467671"/>
    <w:rsid w:val="00473028"/>
    <w:rsid w:val="0049167A"/>
    <w:rsid w:val="00493DE7"/>
    <w:rsid w:val="004C623F"/>
    <w:rsid w:val="004D3601"/>
    <w:rsid w:val="004D4C53"/>
    <w:rsid w:val="005424CC"/>
    <w:rsid w:val="00570565"/>
    <w:rsid w:val="005901E4"/>
    <w:rsid w:val="00597C9E"/>
    <w:rsid w:val="005D55B8"/>
    <w:rsid w:val="00604AA4"/>
    <w:rsid w:val="006331BD"/>
    <w:rsid w:val="00634706"/>
    <w:rsid w:val="0063731D"/>
    <w:rsid w:val="006603CE"/>
    <w:rsid w:val="00663FA9"/>
    <w:rsid w:val="00671AA1"/>
    <w:rsid w:val="00677183"/>
    <w:rsid w:val="006805D6"/>
    <w:rsid w:val="00682292"/>
    <w:rsid w:val="0068652D"/>
    <w:rsid w:val="00715E9C"/>
    <w:rsid w:val="0075068B"/>
    <w:rsid w:val="0077044D"/>
    <w:rsid w:val="00775BEF"/>
    <w:rsid w:val="00782E98"/>
    <w:rsid w:val="0078576A"/>
    <w:rsid w:val="00785D13"/>
    <w:rsid w:val="00790F10"/>
    <w:rsid w:val="007C38FD"/>
    <w:rsid w:val="007C410C"/>
    <w:rsid w:val="00817401"/>
    <w:rsid w:val="00832BF9"/>
    <w:rsid w:val="008372E8"/>
    <w:rsid w:val="00846182"/>
    <w:rsid w:val="008465E9"/>
    <w:rsid w:val="00857AF5"/>
    <w:rsid w:val="0086264B"/>
    <w:rsid w:val="0086396B"/>
    <w:rsid w:val="00884AA4"/>
    <w:rsid w:val="008B69C5"/>
    <w:rsid w:val="008C4F15"/>
    <w:rsid w:val="008C6258"/>
    <w:rsid w:val="008E673D"/>
    <w:rsid w:val="008E7A1D"/>
    <w:rsid w:val="0090486E"/>
    <w:rsid w:val="00921C73"/>
    <w:rsid w:val="00951A5B"/>
    <w:rsid w:val="0096262E"/>
    <w:rsid w:val="00983C8F"/>
    <w:rsid w:val="009A317D"/>
    <w:rsid w:val="009A5E65"/>
    <w:rsid w:val="009B185F"/>
    <w:rsid w:val="009B42C0"/>
    <w:rsid w:val="009B63DD"/>
    <w:rsid w:val="009D0992"/>
    <w:rsid w:val="009E3F6A"/>
    <w:rsid w:val="009F545E"/>
    <w:rsid w:val="00A8280F"/>
    <w:rsid w:val="00A9156B"/>
    <w:rsid w:val="00AB3546"/>
    <w:rsid w:val="00AB4691"/>
    <w:rsid w:val="00AC2A33"/>
    <w:rsid w:val="00AF0B72"/>
    <w:rsid w:val="00AF5301"/>
    <w:rsid w:val="00B103B5"/>
    <w:rsid w:val="00B25A04"/>
    <w:rsid w:val="00B610E6"/>
    <w:rsid w:val="00B91689"/>
    <w:rsid w:val="00B9410B"/>
    <w:rsid w:val="00BE6F73"/>
    <w:rsid w:val="00BF1EE8"/>
    <w:rsid w:val="00C40637"/>
    <w:rsid w:val="00C4211A"/>
    <w:rsid w:val="00C42194"/>
    <w:rsid w:val="00C76C2B"/>
    <w:rsid w:val="00C77BE7"/>
    <w:rsid w:val="00C83E4B"/>
    <w:rsid w:val="00C94BF3"/>
    <w:rsid w:val="00CC6808"/>
    <w:rsid w:val="00D1506A"/>
    <w:rsid w:val="00D4065F"/>
    <w:rsid w:val="00D465D8"/>
    <w:rsid w:val="00D76917"/>
    <w:rsid w:val="00DA1AD0"/>
    <w:rsid w:val="00DC5F0B"/>
    <w:rsid w:val="00DF384D"/>
    <w:rsid w:val="00DF4956"/>
    <w:rsid w:val="00DF5A50"/>
    <w:rsid w:val="00E0095E"/>
    <w:rsid w:val="00E317E0"/>
    <w:rsid w:val="00E32612"/>
    <w:rsid w:val="00E513EE"/>
    <w:rsid w:val="00E538AA"/>
    <w:rsid w:val="00E86E71"/>
    <w:rsid w:val="00EE4ACA"/>
    <w:rsid w:val="00EE4CBD"/>
    <w:rsid w:val="00EE566A"/>
    <w:rsid w:val="00F03B6F"/>
    <w:rsid w:val="00F14726"/>
    <w:rsid w:val="00F34AB1"/>
    <w:rsid w:val="00F55BE5"/>
    <w:rsid w:val="00F613DF"/>
    <w:rsid w:val="00F618E1"/>
    <w:rsid w:val="00F63863"/>
    <w:rsid w:val="00F6773C"/>
    <w:rsid w:val="00F74B29"/>
    <w:rsid w:val="00F81515"/>
    <w:rsid w:val="00FA001D"/>
    <w:rsid w:val="00FC214D"/>
    <w:rsid w:val="00FC4A4F"/>
    <w:rsid w:val="00FE2E2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513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Balk1Char">
    <w:name w:val="Başlık 1 Char"/>
    <w:link w:val="Balk1"/>
    <w:uiPriority w:val="9"/>
    <w:rsid w:val="00E513E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08251F"/>
    <w:rPr>
      <w:color w:val="808080"/>
    </w:rPr>
  </w:style>
  <w:style w:type="paragraph" w:styleId="ListeParagraf">
    <w:name w:val="List Paragraph"/>
    <w:basedOn w:val="Normal"/>
    <w:uiPriority w:val="34"/>
    <w:qFormat/>
    <w:rsid w:val="00590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513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Balk1Char">
    <w:name w:val="Başlık 1 Char"/>
    <w:link w:val="Balk1"/>
    <w:uiPriority w:val="9"/>
    <w:rsid w:val="00E513E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08251F"/>
    <w:rPr>
      <w:color w:val="808080"/>
    </w:rPr>
  </w:style>
  <w:style w:type="paragraph" w:styleId="ListeParagraf">
    <w:name w:val="List Paragraph"/>
    <w:basedOn w:val="Normal"/>
    <w:uiPriority w:val="34"/>
    <w:qFormat/>
    <w:rsid w:val="0059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04;T&#220;%20Ders\EHB%20311E%20Intr.to%20Electronics%20Laboratory\2\Yeni%20Microsoft%20Excel%20&#199;al&#305;&#351;ma%20Sayfas&#30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04;T&#220;%20Ders\EHB%20311E%20Intr.to%20Electronics%20Laboratory\2\Yeni%20Microsoft%20Excel%20&#199;al&#305;&#351;ma%20Sayfas&#30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04;T&#220;%20Ders\EHB%20311E%20Intr.to%20Electronics%20Laboratory\2\Yeni%20Microsoft%20Excel%20&#199;al&#305;&#351;ma%20Sayfas&#30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04;T&#220;%20Ders\EHB%20311E%20Intr.to%20Electronics%20Laboratory\2\Yeni%20Microsoft%20Excel%20&#199;al&#305;&#351;ma%20Sayfas&#30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743876339763168E-2"/>
          <c:y val="2.9270514513268453E-2"/>
          <c:w val="0.85912367973395165"/>
          <c:h val="0.82206122051965846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Sayfa1!$B$2:$B$12</c:f>
              <c:numCache>
                <c:formatCode>0.00</c:formatCode>
                <c:ptCount val="11"/>
                <c:pt idx="0">
                  <c:v>13.28</c:v>
                </c:pt>
                <c:pt idx="1">
                  <c:v>12.33</c:v>
                </c:pt>
                <c:pt idx="2">
                  <c:v>11.08</c:v>
                </c:pt>
                <c:pt idx="3">
                  <c:v>10.130000000000001</c:v>
                </c:pt>
                <c:pt idx="4">
                  <c:v>8.08</c:v>
                </c:pt>
                <c:pt idx="5">
                  <c:v>6.43</c:v>
                </c:pt>
                <c:pt idx="6">
                  <c:v>4.5599999999999996</c:v>
                </c:pt>
                <c:pt idx="7">
                  <c:v>2.3199999999999998</c:v>
                </c:pt>
                <c:pt idx="8">
                  <c:v>1.26</c:v>
                </c:pt>
                <c:pt idx="9">
                  <c:v>0.51</c:v>
                </c:pt>
                <c:pt idx="10">
                  <c:v>0.21</c:v>
                </c:pt>
              </c:numCache>
            </c:numRef>
          </c:xVal>
          <c:yVal>
            <c:numRef>
              <c:f>Sayfa1!$C$2:$C$12</c:f>
              <c:numCache>
                <c:formatCode>0.00</c:formatCode>
                <c:ptCount val="11"/>
                <c:pt idx="0">
                  <c:v>9.17</c:v>
                </c:pt>
                <c:pt idx="1">
                  <c:v>8.7899999999999991</c:v>
                </c:pt>
                <c:pt idx="2">
                  <c:v>8.27</c:v>
                </c:pt>
                <c:pt idx="3">
                  <c:v>7.87</c:v>
                </c:pt>
                <c:pt idx="4">
                  <c:v>7</c:v>
                </c:pt>
                <c:pt idx="5">
                  <c:v>6.25</c:v>
                </c:pt>
                <c:pt idx="6">
                  <c:v>5.32</c:v>
                </c:pt>
                <c:pt idx="7">
                  <c:v>4.03</c:v>
                </c:pt>
                <c:pt idx="8">
                  <c:v>3.26</c:v>
                </c:pt>
                <c:pt idx="9">
                  <c:v>2.5099999999999998</c:v>
                </c:pt>
                <c:pt idx="10">
                  <c:v>2.06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16352"/>
        <c:axId val="36511744"/>
      </c:scatterChart>
      <c:valAx>
        <c:axId val="365163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V</a:t>
                </a:r>
                <a:r>
                  <a:rPr lang="en-US" sz="1400" b="1" i="0" baseline="-25000">
                    <a:effectLst/>
                  </a:rPr>
                  <a:t>GS</a:t>
                </a:r>
                <a:r>
                  <a:rPr lang="en-US" sz="1400" b="1" i="0" baseline="0">
                    <a:effectLst/>
                  </a:rPr>
                  <a:t> (V)</a:t>
                </a:r>
                <a:endParaRPr lang="tr-TR" sz="800">
                  <a:effectLst/>
                </a:endParaRPr>
              </a:p>
            </c:rich>
          </c:tx>
          <c:overlay val="0"/>
        </c:title>
        <c:numFmt formatCode="0" sourceLinked="0"/>
        <c:majorTickMark val="cross"/>
        <c:minorTickMark val="in"/>
        <c:tickLblPos val="nextTo"/>
        <c:crossAx val="36511744"/>
        <c:crosses val="autoZero"/>
        <c:crossBetween val="midCat"/>
      </c:valAx>
      <c:valAx>
        <c:axId val="36511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I</a:t>
                </a:r>
                <a:r>
                  <a:rPr lang="en-US" sz="1400" b="1" i="0" baseline="-25000">
                    <a:effectLst/>
                  </a:rPr>
                  <a:t>D</a:t>
                </a:r>
                <a:r>
                  <a:rPr lang="en-US" sz="1400" b="1" i="0" baseline="0">
                    <a:effectLst/>
                  </a:rPr>
                  <a:t> (mA)</a:t>
                </a:r>
                <a:endParaRPr lang="tr-TR" sz="800">
                  <a:effectLst/>
                </a:endParaRPr>
              </a:p>
            </c:rich>
          </c:tx>
          <c:overlay val="0"/>
        </c:title>
        <c:numFmt formatCode="0" sourceLinked="0"/>
        <c:majorTickMark val="cross"/>
        <c:minorTickMark val="in"/>
        <c:tickLblPos val="nextTo"/>
        <c:crossAx val="36516352"/>
        <c:crosses val="autoZero"/>
        <c:crossBetween val="midCat"/>
      </c:valAx>
      <c:spPr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164706575139644E-2"/>
          <c:y val="2.4865002561831249E-2"/>
          <c:w val="0.86891193889225393"/>
          <c:h val="0.86751535336811503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Sayfa1!$A$27:$A$37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Sayfa1!$B$27:$B$37</c:f>
              <c:numCache>
                <c:formatCode>General</c:formatCode>
                <c:ptCount val="11"/>
                <c:pt idx="0">
                  <c:v>0</c:v>
                </c:pt>
                <c:pt idx="1">
                  <c:v>2.0299999999999998</c:v>
                </c:pt>
                <c:pt idx="2">
                  <c:v>3.14</c:v>
                </c:pt>
                <c:pt idx="3">
                  <c:v>3.23</c:v>
                </c:pt>
                <c:pt idx="4">
                  <c:v>3.26</c:v>
                </c:pt>
                <c:pt idx="5">
                  <c:v>3.27</c:v>
                </c:pt>
                <c:pt idx="6">
                  <c:v>3.29</c:v>
                </c:pt>
                <c:pt idx="7">
                  <c:v>3.3</c:v>
                </c:pt>
                <c:pt idx="8">
                  <c:v>3.31</c:v>
                </c:pt>
                <c:pt idx="9">
                  <c:v>3.319</c:v>
                </c:pt>
                <c:pt idx="10">
                  <c:v>3.327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19232"/>
        <c:axId val="42113216"/>
      </c:scatterChart>
      <c:valAx>
        <c:axId val="3651923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V</a:t>
                </a:r>
                <a:r>
                  <a:rPr lang="tr-TR" sz="1400" b="1" i="0" baseline="-25000">
                    <a:effectLst/>
                  </a:rPr>
                  <a:t>D</a:t>
                </a:r>
                <a:r>
                  <a:rPr lang="en-US" sz="1400" b="1" i="0" baseline="-25000">
                    <a:effectLst/>
                  </a:rPr>
                  <a:t>S</a:t>
                </a:r>
                <a:r>
                  <a:rPr lang="en-US" sz="1400" b="1" i="0" baseline="0">
                    <a:effectLst/>
                  </a:rPr>
                  <a:t> (V)</a:t>
                </a:r>
                <a:endParaRPr lang="tr-TR" sz="800">
                  <a:effectLst/>
                </a:endParaRPr>
              </a:p>
            </c:rich>
          </c:tx>
          <c:overlay val="0"/>
        </c:title>
        <c:numFmt formatCode="0" sourceLinked="0"/>
        <c:majorTickMark val="cross"/>
        <c:minorTickMark val="in"/>
        <c:tickLblPos val="nextTo"/>
        <c:crossAx val="42113216"/>
        <c:crosses val="autoZero"/>
        <c:crossBetween val="midCat"/>
      </c:valAx>
      <c:valAx>
        <c:axId val="421132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I</a:t>
                </a:r>
                <a:r>
                  <a:rPr lang="en-US" sz="1400" b="1" i="0" baseline="-25000">
                    <a:effectLst/>
                  </a:rPr>
                  <a:t>D</a:t>
                </a:r>
                <a:r>
                  <a:rPr lang="en-US" sz="1400" b="1" i="0" baseline="0">
                    <a:effectLst/>
                  </a:rPr>
                  <a:t> (mA)</a:t>
                </a:r>
                <a:endParaRPr lang="tr-TR" sz="800">
                  <a:effectLst/>
                </a:endParaRPr>
              </a:p>
            </c:rich>
          </c:tx>
          <c:layout>
            <c:manualLayout>
              <c:xMode val="edge"/>
              <c:yMode val="edge"/>
              <c:x val="0"/>
              <c:y val="0.36054489215742908"/>
            </c:manualLayout>
          </c:layout>
          <c:overlay val="0"/>
        </c:title>
        <c:numFmt formatCode="0.0" sourceLinked="0"/>
        <c:majorTickMark val="cross"/>
        <c:minorTickMark val="in"/>
        <c:tickLblPos val="nextTo"/>
        <c:crossAx val="36519232"/>
        <c:crosses val="autoZero"/>
        <c:crossBetween val="midCat"/>
      </c:valAx>
      <c:spPr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9675899887514E-2"/>
          <c:y val="3.757196861799203E-2"/>
          <c:w val="0.87310902543432067"/>
          <c:h val="0.82658490838032206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Sayfa1!$A$50:$A$60</c:f>
              <c:numCache>
                <c:formatCode>0.00</c:formatCode>
                <c:ptCount val="11"/>
                <c:pt idx="0">
                  <c:v>0.62</c:v>
                </c:pt>
                <c:pt idx="1">
                  <c:v>0.63900000000000001</c:v>
                </c:pt>
                <c:pt idx="2">
                  <c:v>0.65200000000000002</c:v>
                </c:pt>
                <c:pt idx="3">
                  <c:v>0.66</c:v>
                </c:pt>
                <c:pt idx="4">
                  <c:v>0.67100000000000004</c:v>
                </c:pt>
                <c:pt idx="5">
                  <c:v>0.67800000000000005</c:v>
                </c:pt>
                <c:pt idx="6">
                  <c:v>0.69099999999999995</c:v>
                </c:pt>
                <c:pt idx="7">
                  <c:v>0.70099999999999996</c:v>
                </c:pt>
                <c:pt idx="8">
                  <c:v>0.71099999999999997</c:v>
                </c:pt>
                <c:pt idx="9">
                  <c:v>0.71499999999999997</c:v>
                </c:pt>
                <c:pt idx="10">
                  <c:v>0.72399999999999998</c:v>
                </c:pt>
              </c:numCache>
            </c:numRef>
          </c:xVal>
          <c:yVal>
            <c:numRef>
              <c:f>Sayfa1!$B$50:$B$60</c:f>
              <c:numCache>
                <c:formatCode>0.00</c:formatCode>
                <c:ptCount val="11"/>
                <c:pt idx="0">
                  <c:v>0.97</c:v>
                </c:pt>
                <c:pt idx="1">
                  <c:v>1.42</c:v>
                </c:pt>
                <c:pt idx="2">
                  <c:v>2.31</c:v>
                </c:pt>
                <c:pt idx="3">
                  <c:v>3.1</c:v>
                </c:pt>
                <c:pt idx="4">
                  <c:v>4.5</c:v>
                </c:pt>
                <c:pt idx="5">
                  <c:v>6.06</c:v>
                </c:pt>
                <c:pt idx="6">
                  <c:v>9.85</c:v>
                </c:pt>
                <c:pt idx="7">
                  <c:v>14.09</c:v>
                </c:pt>
                <c:pt idx="8">
                  <c:v>19.850000000000001</c:v>
                </c:pt>
                <c:pt idx="9">
                  <c:v>24.58</c:v>
                </c:pt>
                <c:pt idx="10">
                  <c:v>34.64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248768"/>
        <c:axId val="138249344"/>
      </c:scatterChart>
      <c:valAx>
        <c:axId val="138248768"/>
        <c:scaling>
          <c:orientation val="minMax"/>
          <c:min val="0.55000000000000004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V</a:t>
                </a:r>
                <a:r>
                  <a:rPr lang="tr-TR" sz="1400" b="1" i="0" baseline="-25000">
                    <a:effectLst/>
                  </a:rPr>
                  <a:t>BE</a:t>
                </a:r>
                <a:r>
                  <a:rPr lang="en-US" sz="1400" b="1" i="0" baseline="0">
                    <a:effectLst/>
                  </a:rPr>
                  <a:t> (V)</a:t>
                </a:r>
                <a:endParaRPr lang="tr-TR" sz="800">
                  <a:effectLst/>
                </a:endParaRPr>
              </a:p>
            </c:rich>
          </c:tx>
          <c:overlay val="0"/>
        </c:title>
        <c:numFmt formatCode="0.00" sourceLinked="0"/>
        <c:majorTickMark val="cross"/>
        <c:minorTickMark val="in"/>
        <c:tickLblPos val="nextTo"/>
        <c:crossAx val="138249344"/>
        <c:crosses val="autoZero"/>
        <c:crossBetween val="midCat"/>
      </c:valAx>
      <c:valAx>
        <c:axId val="1382493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I</a:t>
                </a:r>
                <a:r>
                  <a:rPr lang="tr-TR" sz="1400" b="1" i="0" baseline="-25000">
                    <a:effectLst/>
                  </a:rPr>
                  <a:t>C</a:t>
                </a:r>
                <a:r>
                  <a:rPr lang="en-US" sz="1400" b="1" i="0" baseline="0">
                    <a:effectLst/>
                  </a:rPr>
                  <a:t> (mA)</a:t>
                </a:r>
                <a:endParaRPr lang="tr-TR" sz="800">
                  <a:effectLst/>
                </a:endParaRPr>
              </a:p>
            </c:rich>
          </c:tx>
          <c:overlay val="0"/>
        </c:title>
        <c:numFmt formatCode="0" sourceLinked="0"/>
        <c:majorTickMark val="cross"/>
        <c:minorTickMark val="in"/>
        <c:tickLblPos val="nextTo"/>
        <c:crossAx val="138248768"/>
        <c:crosses val="autoZero"/>
        <c:crossBetween val="midCat"/>
      </c:valAx>
      <c:spPr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8.9689266717766489E-2"/>
          <c:y val="1.8576920006970359E-2"/>
          <c:w val="0.86329593756532641"/>
          <c:h val="0.87444699134769321"/>
        </c:manualLayout>
      </c:layout>
      <c:scatterChart>
        <c:scatterStyle val="smoothMarker"/>
        <c:varyColors val="0"/>
        <c:ser>
          <c:idx val="0"/>
          <c:order val="0"/>
          <c:marker>
            <c:spPr>
              <a:ln>
                <a:gradFill>
                  <a:gsLst>
                    <a:gs pos="0">
                      <a:schemeClr val="accent1">
                        <a:tint val="66000"/>
                        <a:satMod val="160000"/>
                      </a:schemeClr>
                    </a:gs>
                    <a:gs pos="50000">
                      <a:schemeClr val="accent1">
                        <a:tint val="44500"/>
                        <a:satMod val="160000"/>
                      </a:schemeClr>
                    </a:gs>
                    <a:gs pos="100000">
                      <a:schemeClr val="accent1">
                        <a:tint val="23500"/>
                        <a:satMod val="160000"/>
                      </a:schemeClr>
                    </a:gs>
                  </a:gsLst>
                  <a:lin ang="5400000" scaled="0"/>
                </a:gradFill>
              </a:ln>
            </c:spPr>
          </c:marker>
          <c:dLbls>
            <c:delete val="1"/>
          </c:dLbls>
          <c:xVal>
            <c:numRef>
              <c:f>Sayfa1!$B$74:$B$84</c:f>
              <c:numCache>
                <c:formatCode>General</c:formatCode>
                <c:ptCount val="11"/>
                <c:pt idx="0">
                  <c:v>4.032</c:v>
                </c:pt>
                <c:pt idx="1">
                  <c:v>5.7960000000000003</c:v>
                </c:pt>
                <c:pt idx="2">
                  <c:v>9.3699999999999992</c:v>
                </c:pt>
                <c:pt idx="3">
                  <c:v>12.526999999999999</c:v>
                </c:pt>
                <c:pt idx="4">
                  <c:v>18.151</c:v>
                </c:pt>
                <c:pt idx="5">
                  <c:v>24</c:v>
                </c:pt>
                <c:pt idx="6">
                  <c:v>38</c:v>
                </c:pt>
                <c:pt idx="7">
                  <c:v>55</c:v>
                </c:pt>
                <c:pt idx="8">
                  <c:v>77</c:v>
                </c:pt>
                <c:pt idx="9">
                  <c:v>94</c:v>
                </c:pt>
                <c:pt idx="10">
                  <c:v>132</c:v>
                </c:pt>
              </c:numCache>
            </c:numRef>
          </c:xVal>
          <c:yVal>
            <c:numRef>
              <c:f>Sayfa1!$A$74:$A$84</c:f>
              <c:numCache>
                <c:formatCode>General</c:formatCode>
                <c:ptCount val="11"/>
                <c:pt idx="0">
                  <c:v>0.97</c:v>
                </c:pt>
                <c:pt idx="1">
                  <c:v>1.42</c:v>
                </c:pt>
                <c:pt idx="2">
                  <c:v>2.31</c:v>
                </c:pt>
                <c:pt idx="3">
                  <c:v>3.1</c:v>
                </c:pt>
                <c:pt idx="4">
                  <c:v>4.5</c:v>
                </c:pt>
                <c:pt idx="5">
                  <c:v>6.06</c:v>
                </c:pt>
                <c:pt idx="6">
                  <c:v>9.85</c:v>
                </c:pt>
                <c:pt idx="7">
                  <c:v>14.09</c:v>
                </c:pt>
                <c:pt idx="8">
                  <c:v>19.850000000000001</c:v>
                </c:pt>
                <c:pt idx="9">
                  <c:v>24.58</c:v>
                </c:pt>
                <c:pt idx="10">
                  <c:v>34.64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38253952"/>
        <c:axId val="138254528"/>
      </c:scatterChart>
      <c:valAx>
        <c:axId val="138253952"/>
        <c:scaling>
          <c:orientation val="minMax"/>
          <c:min val="0.5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I</a:t>
                </a:r>
                <a:r>
                  <a:rPr lang="tr-TR" sz="1400" b="1" i="0" baseline="-25000">
                    <a:effectLst/>
                  </a:rPr>
                  <a:t>B</a:t>
                </a:r>
                <a:r>
                  <a:rPr lang="en-US" sz="1400" b="1" i="0" baseline="0">
                    <a:effectLst/>
                  </a:rPr>
                  <a:t> (</a:t>
                </a:r>
                <a:r>
                  <a:rPr lang="tr-TR" sz="1400">
                    <a:effectLst/>
                  </a:rPr>
                  <a:t>μA</a:t>
                </a:r>
                <a:r>
                  <a:rPr lang="en-US" sz="1400" b="1" i="0" baseline="0">
                    <a:effectLst/>
                  </a:rPr>
                  <a:t>)</a:t>
                </a:r>
                <a:endParaRPr lang="tr-TR" sz="800">
                  <a:effectLst/>
                </a:endParaRPr>
              </a:p>
            </c:rich>
          </c:tx>
          <c:overlay val="0"/>
        </c:title>
        <c:numFmt formatCode="0.00" sourceLinked="0"/>
        <c:majorTickMark val="cross"/>
        <c:minorTickMark val="in"/>
        <c:tickLblPos val="nextTo"/>
        <c:crossAx val="138254528"/>
        <c:crosses val="autoZero"/>
        <c:crossBetween val="midCat"/>
      </c:valAx>
      <c:valAx>
        <c:axId val="1382545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I</a:t>
                </a:r>
                <a:r>
                  <a:rPr lang="tr-TR" sz="1400" b="1" i="0" baseline="-25000">
                    <a:effectLst/>
                  </a:rPr>
                  <a:t>C</a:t>
                </a:r>
                <a:r>
                  <a:rPr lang="en-US" sz="1400" b="1" i="0" baseline="0">
                    <a:effectLst/>
                  </a:rPr>
                  <a:t> (mA)</a:t>
                </a:r>
                <a:endParaRPr lang="tr-TR" sz="800">
                  <a:effectLst/>
                </a:endParaRPr>
              </a:p>
            </c:rich>
          </c:tx>
          <c:overlay val="0"/>
        </c:title>
        <c:numFmt formatCode="0" sourceLinked="0"/>
        <c:majorTickMark val="cross"/>
        <c:minorTickMark val="in"/>
        <c:tickLblPos val="nextTo"/>
        <c:crossAx val="138253952"/>
        <c:crosses val="autoZero"/>
        <c:crossBetween val="midCat"/>
      </c:valAx>
      <c:spPr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9E61-58F3-4E4D-9C13-0B5670C6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subject/>
  <dc:creator>Aayan</dc:creator>
  <cp:keywords/>
  <dc:description/>
  <cp:lastModifiedBy>Tuğrul</cp:lastModifiedBy>
  <cp:revision>48</cp:revision>
  <cp:lastPrinted>2008-09-28T12:17:00Z</cp:lastPrinted>
  <dcterms:created xsi:type="dcterms:W3CDTF">2013-10-20T23:38:00Z</dcterms:created>
  <dcterms:modified xsi:type="dcterms:W3CDTF">2013-10-21T03:12:00Z</dcterms:modified>
</cp:coreProperties>
</file>