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3E" w:rsidRPr="00D0723E" w:rsidRDefault="00D0723E" w:rsidP="00D0723E">
      <w:pPr>
        <w:spacing w:after="630" w:line="465" w:lineRule="atLeast"/>
        <w:jc w:val="center"/>
        <w:outlineLvl w:val="1"/>
        <w:rPr>
          <w:rFonts w:ascii="Roboto" w:eastAsia="Times New Roman" w:hAnsi="Roboto" w:cs="Arial"/>
          <w:caps/>
          <w:color w:val="161616"/>
          <w:sz w:val="36"/>
          <w:szCs w:val="36"/>
          <w:lang w:eastAsia="ru-RU"/>
        </w:rPr>
      </w:pPr>
      <w:r w:rsidRPr="00D0723E">
        <w:rPr>
          <w:rFonts w:ascii="Roboto" w:eastAsia="Times New Roman" w:hAnsi="Roboto" w:cs="Arial"/>
          <w:caps/>
          <w:color w:val="161616"/>
          <w:sz w:val="36"/>
          <w:szCs w:val="36"/>
          <w:lang w:eastAsia="ru-RU"/>
        </w:rPr>
        <w:t>ТИПОВОЙ УСТАВ N 15, НА ОСНОВАНИИ КОТОРОГО ДЕЙСТВУЕТ ОБЩЕСТВО С ОГРАНИЧЕННОЙ ОТВЕТСТВЕННОСТЬЮ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I. ОБЩИЕ ПОЛОЖЕНИЯ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1. Общество с ограниченной ответственностью (далее - Общество), действующее на основании настоящего Типового устава, создано в соответствии с законодательством Российской Федерации.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II. ПРАВА И ОБЯЗАННОСТИ УЧАСТНИКОВ ОБЩЕСТВА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2. Участники Общества имеют права и несут обязанности, предусмотренные Гражданским кодексом Российской Федерации &lt;1&gt; и Федеральным законом от 8 февраля 1998 г. N 14-ФЗ "Об обществах с ограниченной ответственностью" &lt;2&gt; (далее - Федеральный закон "Об обществах с ограниченной ответственностью").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--------------------------------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&lt;1&gt; Собрание законодательства Российской Федерации, 1994, N 32, ст. 3301; 2018, N 22, ст. 3044.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&lt;2&gt; Собрание законодательства Российской Федерации, 1998, N 7, ст. 785; N 28, ст. 3261; 1999, N 1, ст. 2; 2002, N 12, ст. 1093; 2005, N 1, ст. 18; 2006, N 31, ст. 3437; N 52, ст. 5497; 2008, N 18, ст. 1941; N 52, ст. 6227; 2009, N 1, ст. 20; N 29, ст. 3642; N 31, ст. 3923; N 52, ст. 6428; 2010, N 31, ст. 4196; 2011, N 1, ст. 13, 21; N 29, ст. 4291; N 30, ст. 4576; N 50, ст. 7347; 2012, N 53, ст. 7607; 2013, N 30, ст. 4043; N 51, ст. 6699; 2014, N 19, ст. 2334; 2015, N 13, ст. 1811; N 14, ст. 2022; N 27, ст. 4000, 4001; 2016, N 1, ст. 11, 29; N 27, ст. 4276, 4293; 2017, N 1, ст. 29; N 31, ст. 4782; 2018, N 1, ст. 65, 70; N 18, ст. 2557.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III. ПОРЯДОК ПЕРЕХОДА ДОЛИ ИЛИ ЧАСТИ ДОЛИ УЧАСТНИКА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Общества в уставном капитале Общества к другому лицу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3. Участник Общества вправе продать или осуществить отчуждение иным образом своей доли или ее части в уставном капитале Общества одному или нескольким участникам данного Общества.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4. Участник Общества вправе продать или осуществить отчуждение иным образом своей доли или ее части в уставном капитале Общества третьим лицам без согласия остальных участников Общества.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lastRenderedPageBreak/>
        <w:t>5. Доли в уставном капитале Общества переходят к наследникам граждан и к правопреемникам юридических лиц, являвшихся участниками Общества.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6. Участник Общества вправе передать в залог принадлежащую ему долю или часть доли в уставном капитале Общества другому участнику Общества. Залог доли или части доли в уставном капитале Общества третьему лицу не допускается.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IV. ВЫХОД УЧАСТНИКА ИЗ ОБЩЕСТВА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7. Выход участника из Общества не предусмотрен.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V. УПРАВЛЕНИЕ В ОБЩЕСТВЕ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8. Высшим органом Общества является общее собрание участников Общества.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Порядок созыва, проведения и компетенция общего собрания участников Общества, а также порядок принятия им решений определяются Федеральным законом "Об обществах с ограниченной ответственностью".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9. Принятие общим собранием участников Общества решения и состав участников Общества, присутствовавших при его принятии, подтверждаются путем нотариального удостоверения.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10. При наличии в Обществе более одного участника каждый участник Общества, действуя совместно с остальными участниками Общества, осуществляет полномочия единоличного исполнительного органа Общества (директора) до тех пор, пока не перестанет быть участником Общества.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В случае если в Обществе только один участник, такой участник Общества обладает полномочиями единоличного исполнительного органа Общества (директора) до тех пор, пока не перестанет быть участником Общества, или до тех пор, пока в Обществе не станет более одного участника. В последнем случае порядок осуществления полномочий единоличного исполнительного органа Общества (директора) определяется в соответствии с абзацем первым настоящего пункта.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11. Права и обязанности единоличного исполнительного органа Общества, а также его компетенция определяются Федеральным законом "Об обществах с ограниченной ответственностью".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VI. ПОРЯДОК ХРАНЕНИЯ ДОКУМЕНТОВ ОБЩЕСТВА И ПОРЯДОК ПРЕДОСТАВЛЕНИЯ ИНФОРМАЦИИ УЧАСТНИКАМ ОБЩЕСТВА И ДРУГИМ ЛИЦАМ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12. Общество хранит документы, предусмотренные Федеральным законом "Об обществах с ограниченной ответственностью", по месту нахождения его единоличного исполнительного органа и обязано предоставлять к ним доступ в порядке, предусмотренном Федеральным законом "Об обществах с ограниченной ответственностью".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lastRenderedPageBreak/>
        <w:t>VII. СДЕЛКИ ОБЩЕСТВА, В СОВЕРШЕНИИ КОТОРЫХ ИМЕЕТСЯ ЗАИНТЕРЕСОВАННОСТЬ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13. Сделки Общества, в совершении которых имеется заинтересованность, совершаются в порядке, предусмотренном Федеральным законом "Об обществах с ограниченной ответственностью".</w:t>
      </w:r>
    </w:p>
    <w:p w:rsidR="00D0723E" w:rsidRPr="00D0723E" w:rsidRDefault="00D0723E" w:rsidP="00D0723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</w:pPr>
      <w:r w:rsidRPr="00D0723E">
        <w:rPr>
          <w:rFonts w:ascii="Arial" w:eastAsia="Times New Roman" w:hAnsi="Arial" w:cs="Arial"/>
          <w:caps/>
          <w:color w:val="161616"/>
          <w:sz w:val="33"/>
          <w:szCs w:val="33"/>
          <w:lang w:eastAsia="ru-RU"/>
        </w:rPr>
        <w:t>VIII. РЕОРГАНИЗАЦИЯ И ЛИКВИДАЦИЯ ОБЩЕСТВА</w:t>
      </w:r>
    </w:p>
    <w:p w:rsidR="00D0723E" w:rsidRPr="00D0723E" w:rsidRDefault="00D0723E" w:rsidP="00D072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1"/>
          <w:szCs w:val="21"/>
          <w:lang w:eastAsia="ru-RU"/>
        </w:rPr>
      </w:pPr>
      <w:r w:rsidRPr="00D0723E">
        <w:rPr>
          <w:rFonts w:ascii="Arial" w:eastAsia="Times New Roman" w:hAnsi="Arial" w:cs="Arial"/>
          <w:color w:val="161616"/>
          <w:sz w:val="21"/>
          <w:szCs w:val="21"/>
          <w:lang w:eastAsia="ru-RU"/>
        </w:rPr>
        <w:t>14. Реорганизация и ликвидация общества осуществляются в порядке, предусмотренном законодательством Российской Федерации.</w:t>
      </w:r>
    </w:p>
    <w:p w:rsidR="00D0723E" w:rsidRPr="00D0723E" w:rsidRDefault="00D0723E" w:rsidP="00D0723E">
      <w:pPr>
        <w:spacing w:after="0" w:line="210" w:lineRule="atLeast"/>
        <w:jc w:val="right"/>
        <w:rPr>
          <w:rFonts w:ascii="Arial" w:eastAsia="Times New Roman" w:hAnsi="Arial" w:cs="Arial"/>
          <w:color w:val="AAB2BD"/>
          <w:sz w:val="17"/>
          <w:szCs w:val="17"/>
          <w:lang w:eastAsia="ru-RU"/>
        </w:rPr>
      </w:pPr>
      <w:r w:rsidRPr="00D0723E">
        <w:rPr>
          <w:rFonts w:ascii="Arial" w:eastAsia="Times New Roman" w:hAnsi="Arial" w:cs="Arial"/>
          <w:color w:val="AAB2BD"/>
          <w:sz w:val="17"/>
          <w:szCs w:val="17"/>
          <w:lang w:eastAsia="ru-RU"/>
        </w:rPr>
        <w:t>5 пользователей добавили</w:t>
      </w:r>
      <w:r w:rsidRPr="00D0723E">
        <w:rPr>
          <w:rFonts w:ascii="Arial" w:eastAsia="Times New Roman" w:hAnsi="Arial" w:cs="Arial"/>
          <w:color w:val="AAB2BD"/>
          <w:sz w:val="17"/>
          <w:szCs w:val="17"/>
          <w:lang w:eastAsia="ru-RU"/>
        </w:rPr>
        <w:br/>
        <w:t>этот документ в избранное</w:t>
      </w:r>
    </w:p>
    <w:p w:rsidR="00A5452A" w:rsidRDefault="00D0723E">
      <w:bookmarkStart w:id="0" w:name="_GoBack"/>
      <w:bookmarkEnd w:id="0"/>
    </w:p>
    <w:sectPr w:rsidR="00A5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E3"/>
    <w:rsid w:val="003B5AE3"/>
    <w:rsid w:val="00570C76"/>
    <w:rsid w:val="00911AEC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2D67B-0D7B-40E0-A604-125DA746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7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7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72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72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2024-04-13T04:33:00Z</dcterms:created>
  <dcterms:modified xsi:type="dcterms:W3CDTF">2024-04-13T04:33:00Z</dcterms:modified>
</cp:coreProperties>
</file>