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52A" w:rsidRDefault="005F622A">
      <w:r>
        <w:t>ТИПОВОЙ УСТАВ № 1, НА ОСНОВАНИИ КОТОРОГО ДЕЙСТВУЕТ ОБЩЕСТВО С ОГРАНИЧЕННОЙ ОТВЕТСТВЕННОСТЬЮ I. Общие положения 1. Общество с ограниченной ответственностью (далее - Общество), действующее на основании настоящего Типового устава, создано в соответствии с законодательством Российской Федерации. II. Права и обязанности участников Общества 2. Участники Общества имеют права и несут обязанности, предусмотренные Гражданским кодексом Российской Федерации и Федеральным законом от 8 февраля 1998 г. № 14-ФЗ «Об обществах с ограниченной ответственностью» (далее - Федеральный закон «Об обществах с ограниченной ответственностью»). -------------------------------- Собрание законодательства Российской Федерации, 1994, № 32, ст. 3301; 2018, № 22, ст. 3044. Собрание законодательства Российской Федерации, 1998, № 7, ст. 785; № 28, ст. 3261; 1999, № 1, ст. 2; 2002, № 12, ст. 1093; 2005, № 1, ст. 18; 2006, № 31, ст. 3437; № 52, ст. 5497; 2008, № 18, ст. 1941; № 52, ст. 6227; 2009, № 1, ст. 20; № 29, ст. 3642; № 31, ст. 3923; № 52, ст. 6428; 2010, № 31, ст. 4196; 2011, № 1, ст. 13, 21; № 29, ст. 4291; № 30, ст. 4576; № 50, ст. 7347; 2012, № 53, ст. 7607; 2013, № 30, ст. 4043; № 51, ст. 6699; 2014, № 19, ст. 2334; 2015, № 13, ст. 1811; № 14, ст. 2022; № 27, ст. 4000, 4001; 2016, № 1, ст. 11, 29; № 27, ст. 4276, 4293; 2017, № 1, ст. 29; № 31, ст. 4782; 2018, № 1, ст. 65, 70; № 18, ст. 2557. III. Порядок перехода доли или части доли участника Общества в уставном капитале Общества к другому лицу 3. Участник Общества вправе продать или осуществить отчуждение иным образом своей доли или ее части в уставном капитале Общества одному или нескольким участникам данного Общества. 4. Участник Общества вправе продать или осуществить отчуждение иным образом своей доли или ее части в уставном капитале Общества третьим лицам с согласия остальных участников Общества. 5. Доли в уставном капитале Общества переходят к наследникам граждан и к правопреемникам юридических лиц, являвшихся участниками Общества. 6. Участник Общества вправе передать в залог принадлежащую ему долю или часть доли в уставном капитале Общества другому участнику Общества. Залог доли или части доли в уставном капитале Общества третьему лицу не допускается. IV. Выход участника из Общества 7. Выход участника из Общества не предусмотрен. V. Управление в Обществе 8. Высшим органом Общества является общее собрание участников Общества. Порядок созыва, проведения и компетенция общего собрания участников Общества, а также порядок принятия им решений определяются Федеральным законом «Об обществах с ограниченной ответственностью». 9. Принятие общим собранием участников Общества решения и состав участников Общества, присутствовавших при его принятии, подтверждаются путем нотариального удостоверения. 10. Руководство текущей деятельностью Общества осуществляет единоличный исполнительный орган Общества (генеральный директор), который избирается общим собранием участников Общества сроком на пять лет. 11. Права и обязанности единоличного исполнительного органа Общества, а также его компетенция определяются Федеральным законом «Об обществах с ограниченной ответственностью». VI. Порядок хранения документов Общества и порядок предоставления информации участникам Общества и другим лицам 12. Общество хранит документы, предусмотренные Федеральным законом «Об обществах с ограниченной ответственностью», по месту нахождения его единоличного исполнительного органа и обязано предоставлять к ним доступ в порядке, предусмотренном Федеральным законом «Об обществах с ограниченной ответственностью». VII. Сделки Общества, в совершении которых имеется заинтересованность 13. Сделки Общества, в совершении которых имеется заинтересованность, совершаются в порядке, предусмотренном Федеральным законом «Об обществах с ограниченной ответственностью». VIII. Реорганизация и ликвидация Общества 14. Реорганизация и ликвидация Общества осуществляются в порядке, предусмотренном законодательством Российской Федерации.</w:t>
      </w:r>
      <w:bookmarkStart w:id="0" w:name="_GoBack"/>
      <w:bookmarkEnd w:id="0"/>
    </w:p>
    <w:sectPr w:rsidR="00A545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C67"/>
    <w:rsid w:val="004C1C67"/>
    <w:rsid w:val="00570C76"/>
    <w:rsid w:val="005F622A"/>
    <w:rsid w:val="00911A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77B8A-D6FA-40C5-B48A-6FBC2E54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2024-04-13T04:39:00Z</dcterms:created>
  <dcterms:modified xsi:type="dcterms:W3CDTF">2024-04-13T04:39:00Z</dcterms:modified>
</cp:coreProperties>
</file>