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0" w:name="_Toc243918561"/>
      <w:bookmarkStart w:id="1" w:name="_GoBack"/>
      <w:bookmarkEnd w:id="1"/>
      <w:r>
        <w:rPr>
          <w:rFonts w:ascii="Times New Roman" w:hAnsi="Times New Roman" w:cs="Times New Roman"/>
          <w:caps/>
        </w:rPr>
        <w:t>Общие положения</w:t>
      </w:r>
      <w:bookmarkEnd w:id="0"/>
    </w:p>
    <w:p w:rsidR="00FC345A" w:rsidRDefault="007C4D35" w:rsidP="007C4D35">
      <w:pPr>
        <w:pStyle w:val="a4"/>
        <w:numPr>
          <w:ilvl w:val="1"/>
          <w:numId w:val="1"/>
        </w:numPr>
        <w:jc w:val="both"/>
      </w:pPr>
      <w:r w:rsidRPr="007C4D35">
        <w:t>Общество с ограниченной ответственностью "</w:t>
      </w:r>
      <w:r w:rsidR="00C73F47" w:rsidRPr="00C73F47">
        <w:rPr>
          <w:color w:val="FF0000"/>
        </w:rPr>
        <w:t>Планета</w:t>
      </w:r>
      <w:r w:rsidRPr="007C4D35">
        <w:t>",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w:t>
      </w:r>
      <w:r w:rsidR="00C73F47" w:rsidRPr="00C73F47">
        <w:rPr>
          <w:color w:val="FF0000"/>
        </w:rPr>
        <w:t>Планета</w:t>
      </w:r>
      <w:r>
        <w:t>".</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w:t>
      </w:r>
      <w:r w:rsidR="00C73F47" w:rsidRPr="00C73F47">
        <w:rPr>
          <w:color w:val="FF0000"/>
        </w:rPr>
        <w:t>Планета</w:t>
      </w:r>
      <w:r w:rsidRPr="001B4279">
        <w:t>".</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2" w:name="_Toc243918562"/>
      <w:r>
        <w:rPr>
          <w:rFonts w:ascii="Times New Roman" w:hAnsi="Times New Roman" w:cs="Times New Roman"/>
          <w:caps/>
        </w:rPr>
        <w:t>Юридический статус общества</w:t>
      </w:r>
      <w:bookmarkEnd w:id="2"/>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7C4D35" w:rsidRPr="007C4D35" w:rsidRDefault="007C4D35">
      <w:pPr>
        <w:pStyle w:val="a4"/>
        <w:numPr>
          <w:ilvl w:val="1"/>
          <w:numId w:val="1"/>
        </w:numPr>
        <w:jc w:val="both"/>
      </w:pPr>
      <w:r w:rsidRPr="00424767">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3"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3"/>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w:t>
      </w:r>
      <w:r w:rsidR="005F6224">
        <w:t>также</w:t>
      </w:r>
      <w:r>
        <w:t xml:space="preserve"> извлечения прибыли </w:t>
      </w:r>
      <w:r w:rsidR="005F6224">
        <w:t>от своей деятельности</w:t>
      </w:r>
      <w:r>
        <w:t xml:space="preserve">. </w:t>
      </w:r>
      <w:r w:rsidR="007C4D35" w:rsidRPr="007C4D35">
        <w:t>В соответствии с ГК РФ ООО"</w:t>
      </w:r>
      <w:r w:rsidR="00C73F47" w:rsidRPr="00C73F47">
        <w:rPr>
          <w:color w:val="FF0000"/>
        </w:rPr>
        <w:t>Планета</w:t>
      </w:r>
      <w:r w:rsidR="007C4D35" w:rsidRPr="007C4D35">
        <w:t>"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 xml:space="preserve">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w:t>
      </w:r>
      <w:r w:rsidRPr="007C4D35">
        <w:lastRenderedPageBreak/>
        <w:t>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FC345A" w:rsidRDefault="00FC345A">
      <w:pPr>
        <w:pStyle w:val="a4"/>
        <w:numPr>
          <w:ilvl w:val="1"/>
          <w:numId w:val="1"/>
        </w:numPr>
        <w:jc w:val="both"/>
      </w:pPr>
      <w:r>
        <w:t>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 xml:space="preserve">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w:t>
      </w:r>
      <w:r>
        <w:lastRenderedPageBreak/>
        <w:t>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B случае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Юридическое лицо признается зависимым по отношению к Обществу, если Общество имеет 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 xml:space="preserve">Уставный капитал Общества определяет минимальный размер имущества, гарантирующий интересы его кредиторов и составляет </w:t>
      </w:r>
      <w:r w:rsidRPr="00C73F47">
        <w:rPr>
          <w:color w:val="FF0000"/>
        </w:rPr>
        <w:t>10000 руб. 00 коп</w:t>
      </w:r>
      <w:r>
        <w:t>.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lastRenderedPageBreak/>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w:t>
      </w:r>
      <w:r>
        <w:lastRenderedPageBreak/>
        <w:t xml:space="preserve">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Уменьшение уставного капитала Общества осуществляется путем уменьшения номинальной 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 xml:space="preserve">Участниками Общества могут быть российские и иностранные юридические и физические </w:t>
      </w:r>
      <w:r>
        <w:lastRenderedPageBreak/>
        <w:t>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 xml:space="preserve">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w:t>
      </w:r>
      <w:r w:rsidR="00FC345A">
        <w:rPr>
          <w:rFonts w:ascii="Times New Roman" w:hAnsi="Times New Roman" w:cs="Times New Roman"/>
          <w:b w:val="0"/>
          <w:bCs w:val="0"/>
          <w:sz w:val="24"/>
          <w:szCs w:val="24"/>
        </w:rPr>
        <w:lastRenderedPageBreak/>
        <w:t>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t>Общество пользуется, владеет и распоряжается принадлежащим ему имуществом в порядке, 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lastRenderedPageBreak/>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она уже оплачена.</w:t>
      </w:r>
    </w:p>
    <w:p w:rsidR="00FC345A" w:rsidRDefault="00FC345A">
      <w:pPr>
        <w:pStyle w:val="a4"/>
        <w:numPr>
          <w:ilvl w:val="1"/>
          <w:numId w:val="1"/>
        </w:numPr>
        <w:jc w:val="both"/>
      </w:pPr>
      <w:r>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lastRenderedPageBreak/>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доли или части доли, если меньший срок не предусмотрен 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 xml:space="preserve">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w:t>
      </w:r>
      <w:r>
        <w:lastRenderedPageBreak/>
        <w:t>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t>общее собрание участников общества</w:t>
      </w:r>
      <w:bookmarkEnd w:id="20"/>
    </w:p>
    <w:p w:rsidR="00FC345A" w:rsidRDefault="00FC345A">
      <w:pPr>
        <w:pStyle w:val="a4"/>
        <w:numPr>
          <w:ilvl w:val="1"/>
          <w:numId w:val="1"/>
        </w:numPr>
        <w:jc w:val="both"/>
      </w:pPr>
      <w:r>
        <w:t>Высшим органом Общества является общее собрание участников Общества. Общее 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lastRenderedPageBreak/>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за предоставление данных копий, не может превышать затраты 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lastRenderedPageBreak/>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 xml:space="preserve">избрание и досрочное прекращение полномочий ревизионной комиссии (ревизора) </w:t>
      </w:r>
      <w:r w:rsidRPr="00A165BE">
        <w:lastRenderedPageBreak/>
        <w:t>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 xml:space="preserve">представляет интересы Общества в государственных органах и органах местного </w:t>
      </w:r>
      <w:r>
        <w:lastRenderedPageBreak/>
        <w:t>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Крупная сделка требует одобрения Общего собрания участников. Решение принимается двумя третями голосов.</w:t>
      </w:r>
    </w:p>
    <w:p w:rsidR="00FC345A" w:rsidRDefault="00FC345A" w:rsidP="003F225B">
      <w:pPr>
        <w:pStyle w:val="a4"/>
        <w:numPr>
          <w:ilvl w:val="1"/>
          <w:numId w:val="1"/>
        </w:numPr>
        <w:jc w:val="both"/>
      </w:pPr>
      <w:r>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lastRenderedPageBreak/>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lastRenderedPageBreak/>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 xml:space="preserve">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w:t>
      </w:r>
      <w:r>
        <w:lastRenderedPageBreak/>
        <w:t>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 xml:space="preserve">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w:t>
      </w:r>
      <w:r>
        <w:lastRenderedPageBreak/>
        <w:t>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t>B случае, если действия лиц, несанкционированно распространивших сведения, 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lastRenderedPageBreak/>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FC345A">
      <w:pPr>
        <w:pStyle w:val="a7"/>
        <w:numPr>
          <w:ilvl w:val="2"/>
          <w:numId w:val="1"/>
        </w:numPr>
        <w:tabs>
          <w:tab w:val="clear" w:pos="720"/>
        </w:tabs>
        <w:jc w:val="both"/>
      </w:pPr>
      <w:r>
        <w:t xml:space="preserve">Бухгалтерскую и налоговую отчетность;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lastRenderedPageBreak/>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t>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lastRenderedPageBreak/>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pPr>
        <w:pStyle w:val="a4"/>
        <w:numPr>
          <w:ilvl w:val="1"/>
          <w:numId w:val="1"/>
        </w:numP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FC345A" w:rsidRDefault="00FC345A">
      <w:pPr>
        <w:pStyle w:val="a4"/>
        <w:ind w:left="0" w:firstLine="0"/>
        <w:jc w:val="both"/>
      </w:pPr>
    </w:p>
    <w:sectPr w:rsidR="00FC345A">
      <w:footerReference w:type="even" r:id="rId7"/>
      <w:footerReference w:type="default" r:id="rId8"/>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D72" w:rsidRDefault="00696D72">
      <w:r>
        <w:separator/>
      </w:r>
    </w:p>
  </w:endnote>
  <w:endnote w:type="continuationSeparator" w:id="0">
    <w:p w:rsidR="00696D72" w:rsidRDefault="0069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C0310" w:rsidRPr="002C0310">
      <w:rPr>
        <w:sz w:val="20"/>
        <w:szCs w:val="20"/>
      </w:rPr>
      <w:fldChar w:fldCharType="begin"/>
    </w:r>
    <w:r w:rsidR="002C0310" w:rsidRPr="002C0310">
      <w:rPr>
        <w:sz w:val="20"/>
        <w:szCs w:val="20"/>
      </w:rPr>
      <w:instrText xml:space="preserve"> PAGE   \* MERGEFORMAT </w:instrText>
    </w:r>
    <w:r w:rsidR="002C0310" w:rsidRPr="002C0310">
      <w:rPr>
        <w:sz w:val="20"/>
        <w:szCs w:val="20"/>
      </w:rPr>
      <w:fldChar w:fldCharType="separate"/>
    </w:r>
    <w:r w:rsidR="003D05C4">
      <w:rPr>
        <w:noProof/>
        <w:sz w:val="20"/>
        <w:szCs w:val="20"/>
      </w:rPr>
      <w:t>12</w:t>
    </w:r>
    <w:r w:rsidR="002C0310" w:rsidRPr="002C0310">
      <w:rPr>
        <w:sz w:val="20"/>
        <w:szCs w:val="20"/>
      </w:rPr>
      <w:fldChar w:fldCharType="end"/>
    </w:r>
    <w:r>
      <w:rPr>
        <w:sz w:val="20"/>
        <w:szCs w:val="20"/>
      </w:rPr>
      <w:t xml:space="preserve"> из </w:t>
    </w:r>
    <w:r w:rsidR="007A140C">
      <w:rPr>
        <w:sz w:val="20"/>
        <w:szCs w:val="20"/>
      </w:rPr>
      <w:fldChar w:fldCharType="begin"/>
    </w:r>
    <w:r w:rsidR="007A140C">
      <w:rPr>
        <w:sz w:val="20"/>
        <w:szCs w:val="20"/>
      </w:rPr>
      <w:instrText xml:space="preserve"> NUMPAGES  </w:instrText>
    </w:r>
    <w:r w:rsidR="007A140C">
      <w:rPr>
        <w:sz w:val="20"/>
        <w:szCs w:val="20"/>
      </w:rPr>
      <w:fldChar w:fldCharType="separate"/>
    </w:r>
    <w:r w:rsidR="003D05C4">
      <w:rPr>
        <w:noProof/>
        <w:sz w:val="20"/>
        <w:szCs w:val="20"/>
      </w:rPr>
      <w:t>21</w:t>
    </w:r>
    <w:r w:rsidR="007A140C">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C0310" w:rsidRPr="002C0310">
      <w:rPr>
        <w:sz w:val="20"/>
        <w:szCs w:val="20"/>
      </w:rPr>
      <w:fldChar w:fldCharType="begin"/>
    </w:r>
    <w:r w:rsidR="002C0310" w:rsidRPr="002C0310">
      <w:rPr>
        <w:sz w:val="20"/>
        <w:szCs w:val="20"/>
      </w:rPr>
      <w:instrText xml:space="preserve"> PAGE   \* MERGEFORMAT </w:instrText>
    </w:r>
    <w:r w:rsidR="002C0310" w:rsidRPr="002C0310">
      <w:rPr>
        <w:sz w:val="20"/>
        <w:szCs w:val="20"/>
      </w:rPr>
      <w:fldChar w:fldCharType="separate"/>
    </w:r>
    <w:r w:rsidR="003D05C4">
      <w:rPr>
        <w:noProof/>
        <w:sz w:val="20"/>
        <w:szCs w:val="20"/>
      </w:rPr>
      <w:t>11</w:t>
    </w:r>
    <w:r w:rsidR="002C0310" w:rsidRPr="002C0310">
      <w:rPr>
        <w:sz w:val="20"/>
        <w:szCs w:val="20"/>
      </w:rPr>
      <w:fldChar w:fldCharType="end"/>
    </w:r>
    <w:r>
      <w:rPr>
        <w:sz w:val="20"/>
        <w:szCs w:val="20"/>
      </w:rPr>
      <w:t xml:space="preserve"> из </w:t>
    </w:r>
    <w:r w:rsidR="007A140C">
      <w:rPr>
        <w:sz w:val="20"/>
        <w:szCs w:val="20"/>
      </w:rPr>
      <w:fldChar w:fldCharType="begin"/>
    </w:r>
    <w:r w:rsidR="007A140C">
      <w:rPr>
        <w:sz w:val="20"/>
        <w:szCs w:val="20"/>
      </w:rPr>
      <w:instrText xml:space="preserve"> NUMPAGES  </w:instrText>
    </w:r>
    <w:r w:rsidR="007A140C">
      <w:rPr>
        <w:sz w:val="20"/>
        <w:szCs w:val="20"/>
      </w:rPr>
      <w:fldChar w:fldCharType="separate"/>
    </w:r>
    <w:r w:rsidR="003D05C4">
      <w:rPr>
        <w:noProof/>
        <w:sz w:val="20"/>
        <w:szCs w:val="20"/>
      </w:rPr>
      <w:t>21</w:t>
    </w:r>
    <w:r w:rsidR="007A140C">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D72" w:rsidRDefault="00696D72">
      <w:r>
        <w:separator/>
      </w:r>
    </w:p>
  </w:footnote>
  <w:footnote w:type="continuationSeparator" w:id="0">
    <w:p w:rsidR="00696D72" w:rsidRDefault="00696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7A"/>
    <w:rsid w:val="00015BB1"/>
    <w:rsid w:val="000239BF"/>
    <w:rsid w:val="00026FF1"/>
    <w:rsid w:val="00072FF5"/>
    <w:rsid w:val="000C1CFA"/>
    <w:rsid w:val="000C4A35"/>
    <w:rsid w:val="000D044D"/>
    <w:rsid w:val="000E5B5D"/>
    <w:rsid w:val="000F0A69"/>
    <w:rsid w:val="00114955"/>
    <w:rsid w:val="00143AE5"/>
    <w:rsid w:val="00143E0E"/>
    <w:rsid w:val="00154801"/>
    <w:rsid w:val="00191C22"/>
    <w:rsid w:val="001B4279"/>
    <w:rsid w:val="002125A1"/>
    <w:rsid w:val="00217372"/>
    <w:rsid w:val="0022636F"/>
    <w:rsid w:val="0025703D"/>
    <w:rsid w:val="00257C82"/>
    <w:rsid w:val="002B5DF6"/>
    <w:rsid w:val="002C0310"/>
    <w:rsid w:val="002C2318"/>
    <w:rsid w:val="002C4106"/>
    <w:rsid w:val="003D05C4"/>
    <w:rsid w:val="003F225B"/>
    <w:rsid w:val="00424767"/>
    <w:rsid w:val="00430F18"/>
    <w:rsid w:val="00495BEA"/>
    <w:rsid w:val="0049707A"/>
    <w:rsid w:val="004A15EA"/>
    <w:rsid w:val="004B3136"/>
    <w:rsid w:val="00506E67"/>
    <w:rsid w:val="00513D7D"/>
    <w:rsid w:val="00543F67"/>
    <w:rsid w:val="00556780"/>
    <w:rsid w:val="00573EDF"/>
    <w:rsid w:val="00575F8F"/>
    <w:rsid w:val="005859BB"/>
    <w:rsid w:val="005C714B"/>
    <w:rsid w:val="005F6224"/>
    <w:rsid w:val="00653E44"/>
    <w:rsid w:val="006620D7"/>
    <w:rsid w:val="0067645A"/>
    <w:rsid w:val="00692D6C"/>
    <w:rsid w:val="00696D72"/>
    <w:rsid w:val="006D51C8"/>
    <w:rsid w:val="00703AAD"/>
    <w:rsid w:val="00706F4E"/>
    <w:rsid w:val="007264F6"/>
    <w:rsid w:val="0075437A"/>
    <w:rsid w:val="0077721E"/>
    <w:rsid w:val="007A140C"/>
    <w:rsid w:val="007C4D35"/>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808D1"/>
    <w:rsid w:val="009C1FF4"/>
    <w:rsid w:val="009D0B75"/>
    <w:rsid w:val="009D3BB7"/>
    <w:rsid w:val="009E3893"/>
    <w:rsid w:val="00A01DC6"/>
    <w:rsid w:val="00A165BE"/>
    <w:rsid w:val="00A20DC3"/>
    <w:rsid w:val="00A31BC9"/>
    <w:rsid w:val="00A421B7"/>
    <w:rsid w:val="00A71692"/>
    <w:rsid w:val="00AD0D0E"/>
    <w:rsid w:val="00AD1220"/>
    <w:rsid w:val="00AE0A20"/>
    <w:rsid w:val="00B04C52"/>
    <w:rsid w:val="00B23942"/>
    <w:rsid w:val="00B37187"/>
    <w:rsid w:val="00B5030D"/>
    <w:rsid w:val="00B72FB4"/>
    <w:rsid w:val="00BE10D8"/>
    <w:rsid w:val="00BF1F78"/>
    <w:rsid w:val="00BF2262"/>
    <w:rsid w:val="00C1012A"/>
    <w:rsid w:val="00C22756"/>
    <w:rsid w:val="00C25AAE"/>
    <w:rsid w:val="00C26AAC"/>
    <w:rsid w:val="00C73F47"/>
    <w:rsid w:val="00C9657B"/>
    <w:rsid w:val="00CF2769"/>
    <w:rsid w:val="00D70877"/>
    <w:rsid w:val="00DC31B7"/>
    <w:rsid w:val="00E701C0"/>
    <w:rsid w:val="00F12FCB"/>
    <w:rsid w:val="00F15D57"/>
    <w:rsid w:val="00F656A8"/>
    <w:rsid w:val="00F719CA"/>
    <w:rsid w:val="00FA7388"/>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5CF205-9701-4400-9E43-4388AF43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N w:val="0"/>
      <w:adjustRightInd w:val="0"/>
      <w:spacing w:after="0" w:line="240" w:lineRule="auto"/>
    </w:pPr>
    <w:rPr>
      <w:sz w:val="24"/>
      <w:szCs w:val="24"/>
    </w:rPr>
  </w:style>
  <w:style w:type="paragraph" w:styleId="1">
    <w:name w:val="heading 1"/>
    <w:basedOn w:val="a"/>
    <w:next w:val="a"/>
    <w:link w:val="10"/>
    <w:uiPriority w:val="99"/>
    <w:qFormat/>
    <w:pPr>
      <w:keepNext/>
      <w:spacing w:before="240" w:after="60"/>
      <w:outlineLvl w:val="0"/>
    </w:pPr>
    <w:rPr>
      <w:rFonts w:ascii="Arial" w:hAnsi="Arial" w:cs="Arial"/>
      <w:b/>
      <w:bCs/>
      <w:sz w:val="32"/>
      <w:szCs w:val="32"/>
    </w:rPr>
  </w:style>
  <w:style w:type="paragraph" w:styleId="2">
    <w:name w:val="heading 2"/>
    <w:basedOn w:val="a"/>
    <w:next w:val="a"/>
    <w:link w:val="20"/>
    <w:uiPriority w:val="99"/>
    <w:qFormat/>
    <w:pPr>
      <w:keepNext/>
      <w:outlineLvl w:val="1"/>
    </w:pPr>
    <w:rPr>
      <w:sz w:val="96"/>
      <w:szCs w:val="96"/>
    </w:rPr>
  </w:style>
  <w:style w:type="paragraph" w:styleId="3">
    <w:name w:val="heading 3"/>
    <w:basedOn w:val="a"/>
    <w:next w:val="a"/>
    <w:link w:val="30"/>
    <w:uiPriority w:val="99"/>
    <w:qFormat/>
    <w:pPr>
      <w:keepNext/>
      <w:spacing w:before="240" w:after="60"/>
      <w:outlineLvl w:val="2"/>
    </w:pPr>
    <w:rPr>
      <w:rFonts w:ascii="Arial" w:hAnsi="Arial" w:cs="Arial"/>
      <w:b/>
      <w:bCs/>
      <w:sz w:val="26"/>
      <w:szCs w:val="26"/>
    </w:rPr>
  </w:style>
  <w:style w:type="paragraph" w:styleId="4">
    <w:name w:val="heading 4"/>
    <w:basedOn w:val="a"/>
    <w:next w:val="a"/>
    <w:link w:val="40"/>
    <w:uiPriority w:val="99"/>
    <w:qFormat/>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pPr>
      <w:tabs>
        <w:tab w:val="left" w:pos="1296"/>
      </w:tabs>
      <w:spacing w:before="240" w:after="60"/>
      <w:ind w:left="1296" w:hanging="288"/>
      <w:outlineLvl w:val="6"/>
    </w:pPr>
  </w:style>
  <w:style w:type="paragraph" w:styleId="8">
    <w:name w:val="heading 8"/>
    <w:basedOn w:val="a"/>
    <w:next w:val="a"/>
    <w:link w:val="80"/>
    <w:uiPriority w:val="99"/>
    <w:qFormat/>
    <w:pPr>
      <w:tabs>
        <w:tab w:val="left" w:pos="1440"/>
      </w:tabs>
      <w:spacing w:before="240" w:after="60"/>
      <w:ind w:left="1440" w:hanging="432"/>
      <w:outlineLvl w:val="7"/>
    </w:pPr>
    <w:rPr>
      <w:i/>
      <w:iCs/>
    </w:rPr>
  </w:style>
  <w:style w:type="paragraph" w:styleId="9">
    <w:name w:val="heading 9"/>
    <w:basedOn w:val="a"/>
    <w:next w:val="a"/>
    <w:link w:val="90"/>
    <w:uiPriority w:val="99"/>
    <w:qFormat/>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Pr>
      <w:rFonts w:ascii="Cambria" w:hAnsi="Cambria" w:cs="Cambria"/>
      <w:b/>
      <w:bCs/>
      <w:kern w:val="32"/>
      <w:sz w:val="32"/>
      <w:szCs w:val="32"/>
    </w:rPr>
  </w:style>
  <w:style w:type="character" w:customStyle="1" w:styleId="20">
    <w:name w:val="Заголовок 2 Знак"/>
    <w:basedOn w:val="a0"/>
    <w:link w:val="2"/>
    <w:uiPriority w:val="99"/>
    <w:semiHidden/>
    <w:locked/>
    <w:rPr>
      <w:rFonts w:ascii="Cambria" w:hAnsi="Cambria" w:cs="Cambria"/>
      <w:b/>
      <w:bCs/>
      <w:i/>
      <w:iCs/>
      <w:sz w:val="28"/>
      <w:szCs w:val="28"/>
    </w:rPr>
  </w:style>
  <w:style w:type="character" w:customStyle="1" w:styleId="30">
    <w:name w:val="Заголовок 3 Знак"/>
    <w:basedOn w:val="a0"/>
    <w:link w:val="3"/>
    <w:uiPriority w:val="99"/>
    <w:semiHidden/>
    <w:locked/>
    <w:rPr>
      <w:rFonts w:ascii="Cambria" w:hAnsi="Cambria" w:cs="Cambria"/>
      <w:b/>
      <w:bCs/>
      <w:sz w:val="26"/>
      <w:szCs w:val="26"/>
    </w:rPr>
  </w:style>
  <w:style w:type="character" w:customStyle="1" w:styleId="40">
    <w:name w:val="Заголовок 4 Знак"/>
    <w:basedOn w:val="a0"/>
    <w:link w:val="4"/>
    <w:uiPriority w:val="99"/>
    <w:semiHidden/>
    <w:locked/>
    <w:rPr>
      <w:rFonts w:ascii="Calibri" w:hAnsi="Calibri" w:cs="Calibri"/>
      <w:b/>
      <w:bCs/>
      <w:sz w:val="28"/>
      <w:szCs w:val="28"/>
    </w:rPr>
  </w:style>
  <w:style w:type="character" w:customStyle="1" w:styleId="50">
    <w:name w:val="Заголовок 5 Знак"/>
    <w:basedOn w:val="a0"/>
    <w:link w:val="5"/>
    <w:uiPriority w:val="99"/>
    <w:semiHidden/>
    <w:locked/>
    <w:rPr>
      <w:rFonts w:ascii="Calibri" w:hAnsi="Calibri" w:cs="Calibri"/>
      <w:b/>
      <w:bCs/>
      <w:i/>
      <w:iCs/>
      <w:sz w:val="26"/>
      <w:szCs w:val="26"/>
    </w:rPr>
  </w:style>
  <w:style w:type="character" w:customStyle="1" w:styleId="60">
    <w:name w:val="Заголовок 6 Знак"/>
    <w:basedOn w:val="a0"/>
    <w:link w:val="6"/>
    <w:uiPriority w:val="99"/>
    <w:semiHidden/>
    <w:locked/>
    <w:rPr>
      <w:rFonts w:ascii="Calibri" w:hAnsi="Calibri" w:cs="Calibri"/>
      <w:b/>
      <w:bCs/>
    </w:rPr>
  </w:style>
  <w:style w:type="character" w:customStyle="1" w:styleId="70">
    <w:name w:val="Заголовок 7 Знак"/>
    <w:basedOn w:val="a0"/>
    <w:link w:val="7"/>
    <w:uiPriority w:val="99"/>
    <w:semiHidden/>
    <w:locked/>
    <w:rPr>
      <w:rFonts w:ascii="Calibri" w:hAnsi="Calibri" w:cs="Calibri"/>
      <w:sz w:val="24"/>
      <w:szCs w:val="24"/>
    </w:rPr>
  </w:style>
  <w:style w:type="character" w:customStyle="1" w:styleId="80">
    <w:name w:val="Заголовок 8 Знак"/>
    <w:basedOn w:val="a0"/>
    <w:link w:val="8"/>
    <w:uiPriority w:val="99"/>
    <w:semiHidden/>
    <w:locked/>
    <w:rPr>
      <w:rFonts w:ascii="Calibri" w:hAnsi="Calibri" w:cs="Calibri"/>
      <w:i/>
      <w:iCs/>
      <w:sz w:val="24"/>
      <w:szCs w:val="24"/>
    </w:rPr>
  </w:style>
  <w:style w:type="character" w:customStyle="1" w:styleId="90">
    <w:name w:val="Заголовок 9 Знак"/>
    <w:basedOn w:val="a0"/>
    <w:link w:val="9"/>
    <w:uiPriority w:val="99"/>
    <w:semiHidden/>
    <w:locked/>
    <w:rPr>
      <w:rFonts w:ascii="Cambria" w:hAnsi="Cambria" w:cs="Cambria"/>
    </w:rPr>
  </w:style>
  <w:style w:type="paragraph" w:styleId="a3">
    <w:name w:val="Title"/>
    <w:basedOn w:val="a"/>
    <w:next w:val="a4"/>
    <w:link w:val="a5"/>
    <w:uiPriority w:val="99"/>
    <w:qFormat/>
    <w:pPr>
      <w:keepNext/>
      <w:spacing w:before="240" w:after="120"/>
    </w:pPr>
    <w:rPr>
      <w:rFonts w:ascii="Liberation Sans" w:hAnsi="Liberation Sans" w:cs="Liberation Sans"/>
      <w:sz w:val="28"/>
      <w:szCs w:val="28"/>
    </w:rPr>
  </w:style>
  <w:style w:type="character" w:customStyle="1" w:styleId="a5">
    <w:name w:val="Название Знак"/>
    <w:basedOn w:val="a0"/>
    <w:link w:val="a3"/>
    <w:uiPriority w:val="99"/>
    <w:locked/>
    <w:rPr>
      <w:rFonts w:ascii="Cambria" w:hAnsi="Cambria" w:cs="Cambria"/>
      <w:b/>
      <w:bCs/>
      <w:kern w:val="28"/>
      <w:sz w:val="32"/>
      <w:szCs w:val="32"/>
    </w:rPr>
  </w:style>
  <w:style w:type="paragraph" w:styleId="a4">
    <w:name w:val="Body Text"/>
    <w:basedOn w:val="a"/>
    <w:link w:val="a6"/>
    <w:uiPriority w:val="99"/>
    <w:pPr>
      <w:spacing w:after="120"/>
      <w:ind w:left="567" w:hanging="567"/>
    </w:pPr>
  </w:style>
  <w:style w:type="character" w:customStyle="1" w:styleId="a6">
    <w:name w:val="Основной текст Знак"/>
    <w:basedOn w:val="a0"/>
    <w:link w:val="a4"/>
    <w:uiPriority w:val="99"/>
    <w:semiHidden/>
    <w:locked/>
    <w:rPr>
      <w:rFonts w:cs="Times New Roman"/>
      <w:sz w:val="24"/>
      <w:szCs w:val="24"/>
    </w:rPr>
  </w:style>
  <w:style w:type="paragraph" w:styleId="a7">
    <w:name w:val="List"/>
    <w:basedOn w:val="a"/>
    <w:uiPriority w:val="99"/>
    <w:pPr>
      <w:tabs>
        <w:tab w:val="left" w:pos="720"/>
      </w:tabs>
      <w:ind w:left="720" w:hanging="432"/>
    </w:pPr>
  </w:style>
  <w:style w:type="paragraph" w:styleId="a8">
    <w:name w:val="caption"/>
    <w:basedOn w:val="a"/>
    <w:uiPriority w:val="99"/>
    <w:qFormat/>
    <w:pPr>
      <w:spacing w:before="120" w:after="120"/>
    </w:pPr>
    <w:rPr>
      <w:i/>
      <w:iCs/>
    </w:rPr>
  </w:style>
  <w:style w:type="paragraph" w:customStyle="1" w:styleId="Index">
    <w:name w:val="Index"/>
    <w:basedOn w:val="a"/>
    <w:uiPriority w:val="99"/>
  </w:style>
  <w:style w:type="paragraph" w:styleId="a9">
    <w:name w:val="Subtitle"/>
    <w:basedOn w:val="WW-Title"/>
    <w:next w:val="a4"/>
    <w:link w:val="aa"/>
    <w:uiPriority w:val="99"/>
    <w:qFormat/>
    <w:pPr>
      <w:jc w:val="center"/>
    </w:pPr>
    <w:rPr>
      <w:i/>
      <w:iCs/>
    </w:rPr>
  </w:style>
  <w:style w:type="character" w:customStyle="1" w:styleId="aa">
    <w:name w:val="Подзаголовок Знак"/>
    <w:basedOn w:val="a0"/>
    <w:link w:val="a9"/>
    <w:uiPriority w:val="99"/>
    <w:locked/>
    <w:rPr>
      <w:rFonts w:ascii="Cambria" w:hAnsi="Cambria" w:cs="Cambria"/>
      <w:sz w:val="24"/>
      <w:szCs w:val="24"/>
    </w:rPr>
  </w:style>
  <w:style w:type="paragraph" w:customStyle="1" w:styleId="Index1">
    <w:name w:val="Index1"/>
    <w:basedOn w:val="a"/>
    <w:uiPriority w:val="99"/>
  </w:style>
  <w:style w:type="paragraph" w:customStyle="1" w:styleId="WW-Title">
    <w:name w:val="WW-Title"/>
    <w:basedOn w:val="a"/>
    <w:next w:val="a4"/>
    <w:uiPriority w:val="99"/>
    <w:pPr>
      <w:keepNext/>
      <w:spacing w:before="240" w:after="120"/>
    </w:pPr>
    <w:rPr>
      <w:rFonts w:ascii="Liberation Sans" w:hAnsi="Liberation Sans" w:cs="Liberation Sans"/>
      <w:sz w:val="28"/>
      <w:szCs w:val="28"/>
    </w:rPr>
  </w:style>
  <w:style w:type="paragraph" w:customStyle="1" w:styleId="WW-caption">
    <w:name w:val="WW-caption"/>
    <w:basedOn w:val="a"/>
    <w:uiPriority w:val="99"/>
    <w:pPr>
      <w:spacing w:before="120" w:after="120"/>
    </w:pPr>
    <w:rPr>
      <w:i/>
      <w:iCs/>
    </w:rPr>
  </w:style>
  <w:style w:type="paragraph" w:customStyle="1" w:styleId="WW-Index">
    <w:name w:val="WW-Index"/>
    <w:basedOn w:val="a"/>
    <w:uiPriority w:val="99"/>
  </w:style>
  <w:style w:type="paragraph" w:customStyle="1" w:styleId="WW-Title1">
    <w:name w:val="WW-Title1"/>
    <w:basedOn w:val="a"/>
    <w:next w:val="a4"/>
    <w:uiPriority w:val="99"/>
    <w:pPr>
      <w:keepNext/>
      <w:spacing w:before="240" w:after="120"/>
    </w:pPr>
    <w:rPr>
      <w:rFonts w:ascii="Liberation Sans" w:hAnsi="Liberation Sans" w:cs="Liberation Sans"/>
      <w:sz w:val="28"/>
      <w:szCs w:val="28"/>
    </w:rPr>
  </w:style>
  <w:style w:type="paragraph" w:customStyle="1" w:styleId="WW-caption1">
    <w:name w:val="WW-caption1"/>
    <w:basedOn w:val="a"/>
    <w:uiPriority w:val="99"/>
    <w:pPr>
      <w:spacing w:before="120" w:after="120"/>
    </w:pPr>
    <w:rPr>
      <w:i/>
      <w:iCs/>
    </w:rPr>
  </w:style>
  <w:style w:type="paragraph" w:customStyle="1" w:styleId="WW-Index1">
    <w:name w:val="WW-Index1"/>
    <w:basedOn w:val="a"/>
    <w:uiPriority w:val="99"/>
  </w:style>
  <w:style w:type="paragraph" w:customStyle="1" w:styleId="WW-caption11">
    <w:name w:val="WW-caption11"/>
    <w:basedOn w:val="a"/>
    <w:uiPriority w:val="99"/>
    <w:pPr>
      <w:spacing w:before="120" w:after="120"/>
    </w:pPr>
    <w:rPr>
      <w:i/>
      <w:iCs/>
    </w:rPr>
  </w:style>
  <w:style w:type="paragraph" w:customStyle="1" w:styleId="WW-Index11">
    <w:name w:val="WW-Index11"/>
    <w:basedOn w:val="a"/>
    <w:uiPriority w:val="99"/>
  </w:style>
  <w:style w:type="paragraph" w:customStyle="1" w:styleId="WW-Title11">
    <w:name w:val="WW-Title11"/>
    <w:basedOn w:val="a"/>
    <w:next w:val="a4"/>
    <w:uiPriority w:val="99"/>
    <w:pPr>
      <w:keepNext/>
      <w:spacing w:before="240" w:after="120"/>
    </w:pPr>
    <w:rPr>
      <w:rFonts w:ascii="Liberation Sans" w:hAnsi="Liberation Sans" w:cs="Liberation Sans"/>
      <w:sz w:val="28"/>
      <w:szCs w:val="28"/>
    </w:rPr>
  </w:style>
  <w:style w:type="paragraph" w:customStyle="1" w:styleId="WW-caption111">
    <w:name w:val="WW-caption111"/>
    <w:basedOn w:val="a"/>
    <w:uiPriority w:val="99"/>
    <w:pPr>
      <w:spacing w:before="120" w:after="120"/>
    </w:pPr>
    <w:rPr>
      <w:i/>
      <w:iCs/>
    </w:rPr>
  </w:style>
  <w:style w:type="paragraph" w:customStyle="1" w:styleId="WW-Index111">
    <w:name w:val="WW-Index111"/>
    <w:basedOn w:val="a"/>
    <w:uiPriority w:val="99"/>
  </w:style>
  <w:style w:type="paragraph" w:styleId="ab">
    <w:name w:val="header"/>
    <w:basedOn w:val="a"/>
    <w:link w:val="ac"/>
    <w:uiPriority w:val="99"/>
    <w:pPr>
      <w:tabs>
        <w:tab w:val="center" w:pos="4677"/>
        <w:tab w:val="right" w:pos="9355"/>
      </w:tabs>
    </w:pPr>
  </w:style>
  <w:style w:type="character" w:customStyle="1" w:styleId="ac">
    <w:name w:val="Верхний колонтитул Знак"/>
    <w:basedOn w:val="a0"/>
    <w:link w:val="ab"/>
    <w:uiPriority w:val="99"/>
    <w:semiHidden/>
    <w:locked/>
    <w:rPr>
      <w:rFonts w:cs="Times New Roman"/>
      <w:sz w:val="24"/>
      <w:szCs w:val="24"/>
    </w:rPr>
  </w:style>
  <w:style w:type="paragraph" w:styleId="ad">
    <w:name w:val="footer"/>
    <w:basedOn w:val="a"/>
    <w:link w:val="ae"/>
    <w:uiPriority w:val="99"/>
    <w:pPr>
      <w:tabs>
        <w:tab w:val="center" w:pos="4320"/>
        <w:tab w:val="right" w:pos="8640"/>
      </w:tabs>
    </w:pPr>
  </w:style>
  <w:style w:type="character" w:customStyle="1" w:styleId="ae">
    <w:name w:val="Нижний колонтитул Знак"/>
    <w:basedOn w:val="a0"/>
    <w:link w:val="ad"/>
    <w:uiPriority w:val="99"/>
    <w:semiHidden/>
    <w:locked/>
    <w:rPr>
      <w:rFonts w:cs="Times New Roman"/>
      <w:sz w:val="24"/>
      <w:szCs w:val="24"/>
    </w:rPr>
  </w:style>
  <w:style w:type="paragraph" w:styleId="af">
    <w:name w:val="Body Text Indent"/>
    <w:basedOn w:val="a"/>
    <w:link w:val="af0"/>
    <w:uiPriority w:val="99"/>
    <w:pPr>
      <w:tabs>
        <w:tab w:val="left" w:pos="900"/>
      </w:tabs>
      <w:ind w:firstLine="540"/>
      <w:jc w:val="both"/>
    </w:pPr>
  </w:style>
  <w:style w:type="character" w:customStyle="1" w:styleId="af0">
    <w:name w:val="Основной текст с отступом Знак"/>
    <w:basedOn w:val="a0"/>
    <w:link w:val="af"/>
    <w:uiPriority w:val="99"/>
    <w:semiHidden/>
    <w:locked/>
    <w:rPr>
      <w:rFonts w:cs="Times New Roman"/>
      <w:sz w:val="24"/>
      <w:szCs w:val="24"/>
    </w:rPr>
  </w:style>
  <w:style w:type="paragraph" w:styleId="af1">
    <w:name w:val="No Spacing"/>
    <w:uiPriority w:val="99"/>
    <w:qFormat/>
    <w:pPr>
      <w:widowControl w:val="0"/>
      <w:autoSpaceDN w:val="0"/>
      <w:adjustRightInd w:val="0"/>
      <w:spacing w:after="0" w:line="240" w:lineRule="auto"/>
    </w:pPr>
    <w:rPr>
      <w:sz w:val="24"/>
      <w:szCs w:val="24"/>
    </w:rPr>
  </w:style>
  <w:style w:type="paragraph" w:styleId="21">
    <w:name w:val="Body Text 2"/>
    <w:basedOn w:val="a"/>
    <w:link w:val="22"/>
    <w:uiPriority w:val="99"/>
    <w:pPr>
      <w:spacing w:after="120" w:line="480" w:lineRule="auto"/>
    </w:pPr>
  </w:style>
  <w:style w:type="character" w:customStyle="1" w:styleId="22">
    <w:name w:val="Основной текст 2 Знак"/>
    <w:basedOn w:val="a0"/>
    <w:link w:val="21"/>
    <w:uiPriority w:val="99"/>
    <w:semiHidden/>
    <w:locked/>
    <w:rPr>
      <w:rFonts w:cs="Times New Roman"/>
      <w:sz w:val="24"/>
      <w:szCs w:val="24"/>
    </w:rPr>
  </w:style>
  <w:style w:type="paragraph" w:styleId="af2">
    <w:name w:val="Plain Text"/>
    <w:basedOn w:val="a"/>
    <w:link w:val="af3"/>
    <w:uiPriority w:val="99"/>
    <w:rPr>
      <w:rFonts w:ascii="Courier New" w:hAnsi="Courier New" w:cs="Courier New"/>
      <w:sz w:val="20"/>
      <w:szCs w:val="20"/>
    </w:rPr>
  </w:style>
  <w:style w:type="character" w:customStyle="1" w:styleId="af3">
    <w:name w:val="Текст Знак"/>
    <w:basedOn w:val="a0"/>
    <w:link w:val="af2"/>
    <w:uiPriority w:val="99"/>
    <w:semiHidden/>
    <w:locked/>
    <w:rPr>
      <w:rFonts w:ascii="Courier New" w:hAnsi="Courier New" w:cs="Courier New"/>
      <w:sz w:val="20"/>
      <w:szCs w:val="20"/>
    </w:rPr>
  </w:style>
  <w:style w:type="paragraph" w:styleId="11">
    <w:name w:val="toc 1"/>
    <w:basedOn w:val="a"/>
    <w:next w:val="a"/>
    <w:autoRedefine/>
    <w:uiPriority w:val="99"/>
    <w:semiHidden/>
  </w:style>
  <w:style w:type="paragraph" w:customStyle="1" w:styleId="u">
    <w:name w:val="u"/>
    <w:basedOn w:val="a"/>
    <w:uiPriority w:val="99"/>
    <w:pPr>
      <w:ind w:firstLine="390"/>
      <w:jc w:val="both"/>
    </w:pPr>
  </w:style>
  <w:style w:type="paragraph" w:customStyle="1" w:styleId="uni">
    <w:name w:val="uni"/>
    <w:basedOn w:val="a"/>
    <w:uiPriority w:val="99"/>
    <w:pPr>
      <w:ind w:firstLine="390"/>
      <w:jc w:val="both"/>
    </w:pPr>
  </w:style>
  <w:style w:type="paragraph" w:customStyle="1" w:styleId="WW-footer">
    <w:name w:val="WW-footer"/>
    <w:basedOn w:val="a"/>
    <w:uiPriority w:val="99"/>
    <w:pPr>
      <w:tabs>
        <w:tab w:val="center" w:pos="5103"/>
        <w:tab w:val="right" w:pos="10206"/>
      </w:tabs>
    </w:pPr>
  </w:style>
  <w:style w:type="paragraph" w:customStyle="1" w:styleId="TableContents">
    <w:name w:val="Table Contents"/>
    <w:basedOn w:val="a"/>
    <w:uiPriority w:val="99"/>
  </w:style>
  <w:style w:type="paragraph" w:customStyle="1" w:styleId="TableHeading">
    <w:name w:val="Table Heading"/>
    <w:basedOn w:val="TableContents"/>
    <w:uiPriority w:val="99"/>
    <w:pPr>
      <w:jc w:val="center"/>
    </w:pPr>
    <w:rPr>
      <w:b/>
      <w:bCs/>
    </w:rPr>
  </w:style>
  <w:style w:type="paragraph" w:customStyle="1" w:styleId="WW-footer1">
    <w:name w:val="WW-footer1"/>
    <w:basedOn w:val="a"/>
    <w:uiPriority w:val="99"/>
    <w:pPr>
      <w:tabs>
        <w:tab w:val="center" w:pos="4320"/>
        <w:tab w:val="right" w:pos="8640"/>
      </w:tabs>
    </w:pPr>
  </w:style>
  <w:style w:type="paragraph" w:customStyle="1" w:styleId="WW-TableContents">
    <w:name w:val="WW-Table Contents"/>
    <w:basedOn w:val="a"/>
    <w:uiPriority w:val="99"/>
  </w:style>
  <w:style w:type="paragraph" w:customStyle="1" w:styleId="WW-TableHeading">
    <w:name w:val="WW-Table Heading"/>
    <w:basedOn w:val="WW-TableContents"/>
    <w:uiPriority w:val="99"/>
    <w:pPr>
      <w:jc w:val="center"/>
    </w:pPr>
    <w:rPr>
      <w:b/>
      <w:bCs/>
    </w:rPr>
  </w:style>
  <w:style w:type="paragraph" w:customStyle="1" w:styleId="WW-footer12">
    <w:name w:val="WW-footer12"/>
    <w:basedOn w:val="a"/>
    <w:uiPriority w:val="99"/>
    <w:pPr>
      <w:tabs>
        <w:tab w:val="center" w:pos="4320"/>
        <w:tab w:val="right" w:pos="8640"/>
      </w:tabs>
    </w:pPr>
  </w:style>
  <w:style w:type="paragraph" w:customStyle="1" w:styleId="WW-TableContents1">
    <w:name w:val="WW-Table Contents1"/>
    <w:basedOn w:val="a"/>
    <w:uiPriority w:val="99"/>
  </w:style>
  <w:style w:type="paragraph" w:customStyle="1" w:styleId="WW-TableHeading1">
    <w:name w:val="WW-Table Heading1"/>
    <w:basedOn w:val="WW-TableContents1"/>
    <w:uiPriority w:val="99"/>
    <w:pPr>
      <w:jc w:val="center"/>
    </w:pPr>
    <w:rPr>
      <w:b/>
      <w:bCs/>
    </w:rPr>
  </w:style>
  <w:style w:type="paragraph" w:customStyle="1" w:styleId="WW-footer123">
    <w:name w:val="WW-footer123"/>
    <w:basedOn w:val="a"/>
    <w:uiPriority w:val="99"/>
    <w:pPr>
      <w:tabs>
        <w:tab w:val="center" w:pos="4320"/>
        <w:tab w:val="right" w:pos="8640"/>
      </w:tabs>
    </w:pPr>
  </w:style>
  <w:style w:type="paragraph" w:customStyle="1" w:styleId="WW-TableContents12">
    <w:name w:val="WW-Table Contents12"/>
    <w:basedOn w:val="a"/>
    <w:uiPriority w:val="99"/>
  </w:style>
  <w:style w:type="paragraph" w:customStyle="1" w:styleId="WW-TableHeading12">
    <w:name w:val="WW-Table Heading12"/>
    <w:basedOn w:val="WW-TableContents12"/>
    <w:uiPriority w:val="99"/>
    <w:pPr>
      <w:jc w:val="center"/>
    </w:pPr>
    <w:rPr>
      <w:b/>
      <w:bCs/>
    </w:rPr>
  </w:style>
  <w:style w:type="paragraph" w:customStyle="1" w:styleId="WW-footer1234">
    <w:name w:val="WW-footer1234"/>
    <w:basedOn w:val="a"/>
    <w:uiPriority w:val="99"/>
    <w:pPr>
      <w:tabs>
        <w:tab w:val="center" w:pos="4320"/>
        <w:tab w:val="right" w:pos="8640"/>
      </w:tabs>
    </w:pPr>
  </w:style>
  <w:style w:type="paragraph" w:customStyle="1" w:styleId="WW-TableContents123">
    <w:name w:val="WW-Table Contents123"/>
    <w:basedOn w:val="a"/>
    <w:uiPriority w:val="99"/>
  </w:style>
  <w:style w:type="paragraph" w:customStyle="1" w:styleId="WW-TableHeading123">
    <w:name w:val="WW-Table Heading123"/>
    <w:basedOn w:val="WW-TableContents123"/>
    <w:uiPriority w:val="99"/>
    <w:pPr>
      <w:jc w:val="center"/>
    </w:pPr>
    <w:rPr>
      <w:b/>
      <w:bCs/>
    </w:rPr>
  </w:style>
  <w:style w:type="paragraph" w:customStyle="1" w:styleId="TableContents1">
    <w:name w:val="Table Contents1"/>
    <w:basedOn w:val="a"/>
    <w:uiPriority w:val="99"/>
  </w:style>
  <w:style w:type="paragraph" w:customStyle="1" w:styleId="TableHeading1">
    <w:name w:val="Table Heading1"/>
    <w:basedOn w:val="TableContents1"/>
    <w:uiPriority w:val="99"/>
    <w:pPr>
      <w:jc w:val="center"/>
    </w:pPr>
    <w:rPr>
      <w:b/>
      <w:bCs/>
    </w:rPr>
  </w:style>
  <w:style w:type="character" w:customStyle="1" w:styleId="RTFNum21">
    <w:name w:val="RTF_Num 2 1"/>
    <w:uiPriority w:val="99"/>
  </w:style>
  <w:style w:type="character" w:customStyle="1" w:styleId="RTFNum22">
    <w:name w:val="RTF_Num 2 2"/>
    <w:uiPriority w:val="99"/>
    <w:rPr>
      <w:caps/>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Symbol" w:hAnsi="Symbol"/>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WW-RTFNum21">
    <w:name w:val="WW-RTF_Num 2 1"/>
    <w:uiPriority w:val="99"/>
  </w:style>
  <w:style w:type="character" w:customStyle="1" w:styleId="RTFNum31">
    <w:name w:val="RTF_Num 3 1"/>
    <w:uiPriority w:val="99"/>
    <w:rPr>
      <w:rFonts w:ascii="Symbol" w:hAnsi="Symbol"/>
    </w:rPr>
  </w:style>
  <w:style w:type="character" w:customStyle="1" w:styleId="RTFNum32">
    <w:name w:val="RTF_Num 3 2"/>
    <w:uiPriority w:val="99"/>
    <w:rPr>
      <w:rFonts w:ascii="Symbol" w:hAnsi="Symbol"/>
    </w:rPr>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41">
    <w:name w:val="RTF_Num 4 1"/>
    <w:uiPriority w:val="99"/>
  </w:style>
  <w:style w:type="character" w:customStyle="1" w:styleId="RTFNum42">
    <w:name w:val="RTF_Num 4 2"/>
    <w:uiPriority w:val="99"/>
    <w:rPr>
      <w:b/>
    </w:rPr>
  </w:style>
  <w:style w:type="character" w:customStyle="1" w:styleId="RTFNum43">
    <w:name w:val="RTF_Num 4 3"/>
    <w:uiPriority w:val="99"/>
  </w:style>
  <w:style w:type="character" w:customStyle="1" w:styleId="RTFNum44">
    <w:name w:val="RTF_Num 4 4"/>
    <w:uiPriority w:val="99"/>
  </w:style>
  <w:style w:type="character" w:customStyle="1" w:styleId="RTFNum45">
    <w:name w:val="RTF_Num 4 5"/>
    <w:uiPriority w:val="99"/>
  </w:style>
  <w:style w:type="character" w:customStyle="1" w:styleId="RTFNum46">
    <w:name w:val="RTF_Num 4 6"/>
    <w:uiPriority w:val="99"/>
  </w:style>
  <w:style w:type="character" w:customStyle="1" w:styleId="RTFNum47">
    <w:name w:val="RTF_Num 4 7"/>
    <w:uiPriority w:val="99"/>
  </w:style>
  <w:style w:type="character" w:customStyle="1" w:styleId="RTFNum48">
    <w:name w:val="RTF_Num 4 8"/>
    <w:uiPriority w:val="99"/>
  </w:style>
  <w:style w:type="character" w:customStyle="1" w:styleId="RTFNum49">
    <w:name w:val="RTF_Num 4 9"/>
    <w:uiPriority w:val="99"/>
  </w:style>
  <w:style w:type="character" w:customStyle="1" w:styleId="RTFNum51">
    <w:name w:val="RTF_Num 5 1"/>
    <w:uiPriority w:val="99"/>
    <w:rPr>
      <w:caps/>
    </w:rPr>
  </w:style>
  <w:style w:type="character" w:customStyle="1" w:styleId="RTFNum52">
    <w:name w:val="RTF_Num 5 2"/>
    <w:uiPriority w:val="99"/>
  </w:style>
  <w:style w:type="character" w:customStyle="1" w:styleId="RTFNum53">
    <w:name w:val="RTF_Num 5 3"/>
    <w:uiPriority w:val="99"/>
    <w:rPr>
      <w:rFonts w:ascii="Symbol" w:hAnsi="Symbol"/>
    </w:rPr>
  </w:style>
  <w:style w:type="character" w:customStyle="1" w:styleId="RTFNum54">
    <w:name w:val="RTF_Num 5 4"/>
    <w:uiPriority w:val="99"/>
  </w:style>
  <w:style w:type="character" w:customStyle="1" w:styleId="RTFNum55">
    <w:name w:val="RTF_Num 5 5"/>
    <w:uiPriority w:val="99"/>
  </w:style>
  <w:style w:type="character" w:customStyle="1" w:styleId="RTFNum56">
    <w:name w:val="RTF_Num 5 6"/>
    <w:uiPriority w:val="99"/>
  </w:style>
  <w:style w:type="character" w:customStyle="1" w:styleId="RTFNum57">
    <w:name w:val="RTF_Num 5 7"/>
    <w:uiPriority w:val="99"/>
  </w:style>
  <w:style w:type="character" w:customStyle="1" w:styleId="RTFNum58">
    <w:name w:val="RTF_Num 5 8"/>
    <w:uiPriority w:val="99"/>
  </w:style>
  <w:style w:type="character" w:customStyle="1" w:styleId="RTFNum59">
    <w:name w:val="RTF_Num 5 9"/>
    <w:uiPriority w:val="99"/>
  </w:style>
  <w:style w:type="character" w:customStyle="1" w:styleId="RTFNum61">
    <w:name w:val="RTF_Num 6 1"/>
    <w:uiPriority w:val="99"/>
    <w:rPr>
      <w:caps/>
    </w:rPr>
  </w:style>
  <w:style w:type="character" w:customStyle="1" w:styleId="RTFNum62">
    <w:name w:val="RTF_Num 6 2"/>
    <w:uiPriority w:val="99"/>
  </w:style>
  <w:style w:type="character" w:customStyle="1" w:styleId="RTFNum63">
    <w:name w:val="RTF_Num 6 3"/>
    <w:uiPriority w:val="99"/>
    <w:rPr>
      <w:rFonts w:ascii="Symbol" w:hAnsi="Symbol"/>
    </w:rPr>
  </w:style>
  <w:style w:type="character" w:customStyle="1" w:styleId="RTFNum64">
    <w:name w:val="RTF_Num 6 4"/>
    <w:uiPriority w:val="99"/>
  </w:style>
  <w:style w:type="character" w:customStyle="1" w:styleId="RTFNum65">
    <w:name w:val="RTF_Num 6 5"/>
    <w:uiPriority w:val="99"/>
  </w:style>
  <w:style w:type="character" w:customStyle="1" w:styleId="RTFNum66">
    <w:name w:val="RTF_Num 6 6"/>
    <w:uiPriority w:val="99"/>
  </w:style>
  <w:style w:type="character" w:customStyle="1" w:styleId="RTFNum67">
    <w:name w:val="RTF_Num 6 7"/>
    <w:uiPriority w:val="99"/>
  </w:style>
  <w:style w:type="character" w:customStyle="1" w:styleId="RTFNum68">
    <w:name w:val="RTF_Num 6 8"/>
    <w:uiPriority w:val="99"/>
  </w:style>
  <w:style w:type="character" w:customStyle="1" w:styleId="RTFNum69">
    <w:name w:val="RTF_Num 6 9"/>
    <w:uiPriority w:val="99"/>
  </w:style>
  <w:style w:type="character" w:customStyle="1" w:styleId="RTFNum71">
    <w:name w:val="RTF_Num 7 1"/>
    <w:uiPriority w:val="99"/>
    <w:rPr>
      <w:caps/>
    </w:rPr>
  </w:style>
  <w:style w:type="character" w:customStyle="1" w:styleId="RTFNum72">
    <w:name w:val="RTF_Num 7 2"/>
    <w:uiPriority w:val="99"/>
  </w:style>
  <w:style w:type="character" w:customStyle="1" w:styleId="RTFNum73">
    <w:name w:val="RTF_Num 7 3"/>
    <w:uiPriority w:val="99"/>
    <w:rPr>
      <w:rFonts w:ascii="Symbol" w:hAnsi="Symbol"/>
    </w:rPr>
  </w:style>
  <w:style w:type="character" w:customStyle="1" w:styleId="RTFNum74">
    <w:name w:val="RTF_Num 7 4"/>
    <w:uiPriority w:val="99"/>
  </w:style>
  <w:style w:type="character" w:customStyle="1" w:styleId="RTFNum75">
    <w:name w:val="RTF_Num 7 5"/>
    <w:uiPriority w:val="99"/>
  </w:style>
  <w:style w:type="character" w:customStyle="1" w:styleId="RTFNum76">
    <w:name w:val="RTF_Num 7 6"/>
    <w:uiPriority w:val="99"/>
  </w:style>
  <w:style w:type="character" w:customStyle="1" w:styleId="RTFNum77">
    <w:name w:val="RTF_Num 7 7"/>
    <w:uiPriority w:val="99"/>
  </w:style>
  <w:style w:type="character" w:customStyle="1" w:styleId="RTFNum78">
    <w:name w:val="RTF_Num 7 8"/>
    <w:uiPriority w:val="99"/>
  </w:style>
  <w:style w:type="character" w:customStyle="1" w:styleId="RTFNum79">
    <w:name w:val="RTF_Num 7 9"/>
    <w:uiPriority w:val="99"/>
  </w:style>
  <w:style w:type="character" w:customStyle="1" w:styleId="RTFNum81">
    <w:name w:val="RTF_Num 8 1"/>
    <w:uiPriority w:val="99"/>
  </w:style>
  <w:style w:type="character" w:customStyle="1" w:styleId="RTFNum82">
    <w:name w:val="RTF_Num 8 2"/>
    <w:uiPriority w:val="99"/>
    <w:rPr>
      <w:b/>
    </w:rPr>
  </w:style>
  <w:style w:type="character" w:customStyle="1" w:styleId="RTFNum83">
    <w:name w:val="RTF_Num 8 3"/>
    <w:uiPriority w:val="99"/>
  </w:style>
  <w:style w:type="character" w:customStyle="1" w:styleId="RTFNum84">
    <w:name w:val="RTF_Num 8 4"/>
    <w:uiPriority w:val="99"/>
  </w:style>
  <w:style w:type="character" w:customStyle="1" w:styleId="RTFNum85">
    <w:name w:val="RTF_Num 8 5"/>
    <w:uiPriority w:val="99"/>
  </w:style>
  <w:style w:type="character" w:customStyle="1" w:styleId="RTFNum86">
    <w:name w:val="RTF_Num 8 6"/>
    <w:uiPriority w:val="99"/>
  </w:style>
  <w:style w:type="character" w:customStyle="1" w:styleId="RTFNum87">
    <w:name w:val="RTF_Num 8 7"/>
    <w:uiPriority w:val="99"/>
  </w:style>
  <w:style w:type="character" w:customStyle="1" w:styleId="RTFNum88">
    <w:name w:val="RTF_Num 8 8"/>
    <w:uiPriority w:val="99"/>
  </w:style>
  <w:style w:type="character" w:customStyle="1" w:styleId="RTFNum89">
    <w:name w:val="RTF_Num 8 9"/>
    <w:uiPriority w:val="99"/>
  </w:style>
  <w:style w:type="character" w:customStyle="1" w:styleId="RTFNum91">
    <w:name w:val="RTF_Num 9 1"/>
    <w:uiPriority w:val="99"/>
  </w:style>
  <w:style w:type="character" w:customStyle="1" w:styleId="RTFNum92">
    <w:name w:val="RTF_Num 9 2"/>
    <w:uiPriority w:val="99"/>
    <w:rPr>
      <w:b/>
    </w:rPr>
  </w:style>
  <w:style w:type="character" w:customStyle="1" w:styleId="RTFNum93">
    <w:name w:val="RTF_Num 9 3"/>
    <w:uiPriority w:val="99"/>
  </w:style>
  <w:style w:type="character" w:customStyle="1" w:styleId="RTFNum94">
    <w:name w:val="RTF_Num 9 4"/>
    <w:uiPriority w:val="99"/>
  </w:style>
  <w:style w:type="character" w:customStyle="1" w:styleId="RTFNum95">
    <w:name w:val="RTF_Num 9 5"/>
    <w:uiPriority w:val="99"/>
  </w:style>
  <w:style w:type="character" w:customStyle="1" w:styleId="RTFNum96">
    <w:name w:val="RTF_Num 9 6"/>
    <w:uiPriority w:val="99"/>
  </w:style>
  <w:style w:type="character" w:customStyle="1" w:styleId="RTFNum97">
    <w:name w:val="RTF_Num 9 7"/>
    <w:uiPriority w:val="99"/>
  </w:style>
  <w:style w:type="character" w:customStyle="1" w:styleId="RTFNum98">
    <w:name w:val="RTF_Num 9 8"/>
    <w:uiPriority w:val="99"/>
  </w:style>
  <w:style w:type="character" w:customStyle="1" w:styleId="RTFNum99">
    <w:name w:val="RTF_Num 9 9"/>
    <w:uiPriority w:val="99"/>
  </w:style>
  <w:style w:type="character" w:customStyle="1" w:styleId="RTFNum101">
    <w:name w:val="RTF_Num 10 1"/>
    <w:uiPriority w:val="99"/>
  </w:style>
  <w:style w:type="character" w:customStyle="1" w:styleId="RTFNum102">
    <w:name w:val="RTF_Num 10 2"/>
    <w:uiPriority w:val="99"/>
  </w:style>
  <w:style w:type="character" w:customStyle="1" w:styleId="RTFNum103">
    <w:name w:val="RTF_Num 10 3"/>
    <w:uiPriority w:val="99"/>
  </w:style>
  <w:style w:type="character" w:customStyle="1" w:styleId="RTFNum104">
    <w:name w:val="RTF_Num 10 4"/>
    <w:uiPriority w:val="99"/>
  </w:style>
  <w:style w:type="character" w:customStyle="1" w:styleId="RTFNum105">
    <w:name w:val="RTF_Num 10 5"/>
    <w:uiPriority w:val="99"/>
  </w:style>
  <w:style w:type="character" w:customStyle="1" w:styleId="RTFNum106">
    <w:name w:val="RTF_Num 10 6"/>
    <w:uiPriority w:val="99"/>
  </w:style>
  <w:style w:type="character" w:customStyle="1" w:styleId="RTFNum107">
    <w:name w:val="RTF_Num 10 7"/>
    <w:uiPriority w:val="99"/>
  </w:style>
  <w:style w:type="character" w:customStyle="1" w:styleId="RTFNum108">
    <w:name w:val="RTF_Num 10 8"/>
    <w:uiPriority w:val="99"/>
  </w:style>
  <w:style w:type="character" w:customStyle="1" w:styleId="RTFNum109">
    <w:name w:val="RTF_Num 10 9"/>
    <w:uiPriority w:val="99"/>
  </w:style>
  <w:style w:type="character" w:customStyle="1" w:styleId="RTFNum111">
    <w:name w:val="RTF_Num 11 1"/>
    <w:uiPriority w:val="99"/>
  </w:style>
  <w:style w:type="character" w:customStyle="1" w:styleId="RTFNum112">
    <w:name w:val="RTF_Num 11 2"/>
    <w:uiPriority w:val="99"/>
    <w:rPr>
      <w:b/>
    </w:rPr>
  </w:style>
  <w:style w:type="character" w:customStyle="1" w:styleId="RTFNum113">
    <w:name w:val="RTF_Num 11 3"/>
    <w:uiPriority w:val="99"/>
  </w:style>
  <w:style w:type="character" w:customStyle="1" w:styleId="RTFNum114">
    <w:name w:val="RTF_Num 11 4"/>
    <w:uiPriority w:val="99"/>
  </w:style>
  <w:style w:type="character" w:customStyle="1" w:styleId="RTFNum115">
    <w:name w:val="RTF_Num 11 5"/>
    <w:uiPriority w:val="99"/>
  </w:style>
  <w:style w:type="character" w:customStyle="1" w:styleId="RTFNum116">
    <w:name w:val="RTF_Num 11 6"/>
    <w:uiPriority w:val="99"/>
  </w:style>
  <w:style w:type="character" w:customStyle="1" w:styleId="RTFNum117">
    <w:name w:val="RTF_Num 11 7"/>
    <w:uiPriority w:val="99"/>
  </w:style>
  <w:style w:type="character" w:customStyle="1" w:styleId="RTFNum118">
    <w:name w:val="RTF_Num 11 8"/>
    <w:uiPriority w:val="99"/>
  </w:style>
  <w:style w:type="character" w:customStyle="1" w:styleId="RTFNum119">
    <w:name w:val="RTF_Num 11 9"/>
    <w:uiPriority w:val="99"/>
  </w:style>
  <w:style w:type="character" w:customStyle="1" w:styleId="3f3f3f3f3f3f3f3f3f3f3f3f3f3f3f3f3f3f3f3f3f">
    <w:name w:val="В3fе3fр3fх3fн3fи3fй3f к3fо3fл3fо3fн3fт3fи3fт3fу3fл3f З3fн3fа3fк3f"/>
    <w:basedOn w:val="a0"/>
    <w:uiPriority w:val="99"/>
    <w:rPr>
      <w:rFonts w:cs="Times New Roman"/>
    </w:rPr>
  </w:style>
  <w:style w:type="character" w:customStyle="1" w:styleId="Internetlink">
    <w:name w:val="Internet link"/>
    <w:basedOn w:val="a0"/>
    <w:uiPriority w:val="99"/>
    <w:rPr>
      <w:rFonts w:cs="Times New Roman"/>
      <w:color w:val="0000FF"/>
      <w:u w:val="single"/>
    </w:rPr>
  </w:style>
  <w:style w:type="character" w:customStyle="1" w:styleId="WW-Internetlink">
    <w:name w:val="WW-Internet link"/>
    <w:uiPriority w:val="99"/>
    <w:rPr>
      <w:color w:val="000080"/>
      <w:u w:val="single"/>
      <w:lang w:val="x-none"/>
    </w:rPr>
  </w:style>
  <w:style w:type="character" w:customStyle="1" w:styleId="WW-Internetlink1">
    <w:name w:val="WW-Internet link1"/>
    <w:uiPriority w:val="99"/>
    <w:rPr>
      <w:color w:val="000080"/>
      <w:u w:val="single"/>
      <w:lang w:val="x-none"/>
    </w:rPr>
  </w:style>
  <w:style w:type="character" w:customStyle="1" w:styleId="WW-Internetlink12">
    <w:name w:val="WW-Internet link12"/>
    <w:uiPriority w:val="99"/>
    <w:rPr>
      <w:color w:val="000080"/>
      <w:u w:val="single"/>
      <w:lang w:val="x-none"/>
    </w:rPr>
  </w:style>
  <w:style w:type="character" w:customStyle="1" w:styleId="WW-Internetlink123">
    <w:name w:val="WW-Internet link123"/>
    <w:uiPriority w:val="99"/>
    <w:rPr>
      <w:color w:val="000080"/>
      <w:u w:val="single"/>
      <w:lang w:val="x-none"/>
    </w:rPr>
  </w:style>
  <w:style w:type="character" w:customStyle="1" w:styleId="Internetlink1">
    <w:name w:val="Internet link1"/>
    <w:uiPriority w:val="99"/>
    <w:rPr>
      <w:color w:val="000080"/>
      <w:u w:val="single"/>
      <w:lang w:val="x-none"/>
    </w:rPr>
  </w:style>
  <w:style w:type="character" w:customStyle="1" w:styleId="apple-style-span">
    <w:name w:val="apple-style-span"/>
    <w:basedOn w:val="a0"/>
    <w:uiPriority w:val="99"/>
    <w:rsid w:val="00F15D5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9524</Words>
  <Characters>54287</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Учетная запись Майкрософт</cp:lastModifiedBy>
  <cp:revision>3</cp:revision>
  <dcterms:created xsi:type="dcterms:W3CDTF">2020-01-24T06:21:00Z</dcterms:created>
  <dcterms:modified xsi:type="dcterms:W3CDTF">2024-04-12T20:28:00Z</dcterms:modified>
</cp:coreProperties>
</file>