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b/>
          <w:bCs/>
          <w:color w:val="2F5496"/>
          <w:sz w:val="44"/>
          <w:szCs w:val="44"/>
        </w:rPr>
        <w:t xml:space="preserve">Business Change Request (BCR)</w:t>
      </w:r>
    </w:p>
    <w:p>
      <w:pPr>
        <w:spacing w:after="300"/>
      </w:pPr>
      <w:r>
        <w:rPr>
          <w:color w:val="444444"/>
          <w:sz w:val="28"/>
          <w:szCs w:val="28"/>
        </w:rPr>
        <w:t xml:space="preserve">Partial Shipment Support for Multi-Line Orders</w:t>
      </w:r>
    </w:p>
    <w:p>
      <w:pPr>
        <w:pBdr>
          <w:bottom w:val="single" w:color="AAAAAA" w:sz="6" w:space="1"/>
        </w:pBdr>
        <w:spacing w:after="240"/>
      </w:pPr>
    </w:p>
    <w:p>
      <w:pPr>
        <w:spacing w:after="60"/>
      </w:pPr>
      <w:r>
        <w:rPr>
          <w:b/>
          <w:bCs/>
        </w:rPr>
        <w:t xml:space="preserve">Document ID: </w:t>
      </w:r>
      <w:r>
        <w:t xml:space="preserve">BCR-001</w:t>
      </w:r>
    </w:p>
    <w:p>
      <w:pPr>
        <w:spacing w:after="60"/>
      </w:pPr>
      <w:r>
        <w:rPr>
          <w:b/>
          <w:bCs/>
        </w:rPr>
        <w:t xml:space="preserve">Status: </w:t>
      </w:r>
      <w:r>
        <w:t xml:space="preserve">Proposed — Pending Impact Assessment</w:t>
      </w:r>
    </w:p>
    <w:p>
      <w:pPr>
        <w:spacing w:after="60"/>
      </w:pPr>
      <w:r>
        <w:rPr>
          <w:b/>
          <w:bCs/>
        </w:rPr>
        <w:t xml:space="preserve">Requested By: </w:t>
      </w:r>
      <w:r>
        <w:t xml:space="preserve">VP, Supply Chain Operations</w:t>
      </w:r>
    </w:p>
    <w:p>
      <w:pPr>
        <w:spacing w:after="60"/>
      </w:pPr>
      <w:r>
        <w:rPr>
          <w:b/>
          <w:bCs/>
        </w:rPr>
        <w:t xml:space="preserve">Date Raised: </w:t>
      </w:r>
      <w:r>
        <w:t xml:space="preserve">2026-08-10</w:t>
      </w:r>
    </w:p>
    <w:p>
      <w:pPr>
        <w:spacing w:after="60"/>
      </w:pPr>
      <w:r>
        <w:rPr>
          <w:b/>
          <w:bCs/>
        </w:rPr>
        <w:t xml:space="preserve">Target Workflow: </w:t>
      </w:r>
      <w:r>
        <w:t xml:space="preserve">OrderWorkflow (EPIC-001 / TDD-ORD-001)</w:t>
      </w:r>
    </w:p>
    <w:p>
      <w:pPr>
        <w:pBdr>
          <w:bottom w:val="single" w:color="AAAAAA" w:sz="6" w:space="1"/>
        </w:pBdr>
        <w:spacing w:after="240"/>
      </w:pPr>
    </w:p>
    <w:p>
      <w:pPr>
        <w:pStyle w:val="Heading1"/>
        <w:spacing w:after="160" w:before="320"/>
      </w:pPr>
      <w:r>
        <w:t xml:space="preserve">1. Change Summary</w:t>
      </w:r>
    </w:p>
    <w:p>
      <w:pPr>
        <w:spacing w:after="160"/>
      </w:pPr>
      <w:r>
        <w:t xml:space="preserve">Currently, OrderWorkflow provisions and dispatches an order as a single unit — if any line item is backordered, the entire order waits until all items are available (see current TDD §4.1/§4.6). The business now wants to support partial (split) shipments: line items that are in stock should ship immediately, while backordered items ship separately once replenished, without blocking or delaying the in-stock items.</w:t>
      </w:r>
    </w:p>
    <w:p>
      <w:pPr>
        <w:pStyle w:val="Heading1"/>
        <w:spacing w:after="160" w:before="320"/>
      </w:pPr>
      <w:r>
        <w:t xml:space="preserve">2. Business Justification</w:t>
      </w:r>
    </w:p>
    <w:p>
      <w:pPr>
        <w:pStyle w:val="ListParagraph"/>
        <w:numPr>
          <w:ilvl w:val="0"/>
          <w:numId w:val="2"/>
        </w:numPr>
        <w:spacing w:after="80"/>
      </w:pPr>
      <w:r>
        <w:t xml:space="preserve">Customer complaints have increased where a single backordered item (out of 5+ on an order) delays delivery of everything else.</w:t>
      </w:r>
    </w:p>
    <w:p>
      <w:pPr>
        <w:pStyle w:val="ListParagraph"/>
        <w:numPr>
          <w:ilvl w:val="0"/>
          <w:numId w:val="2"/>
        </w:numPr>
        <w:spacing w:after="80"/>
      </w:pPr>
      <w:r>
        <w:t xml:space="preserve">Competitor benchmarking shows partial shipment as a standard capability.</w:t>
      </w:r>
    </w:p>
    <w:p>
      <w:pPr>
        <w:pStyle w:val="ListParagraph"/>
        <w:numPr>
          <w:ilvl w:val="0"/>
          <w:numId w:val="2"/>
        </w:numPr>
        <w:spacing w:after="80"/>
      </w:pPr>
      <w:r>
        <w:t xml:space="preserve">Expected to reduce average delivery time for the non-backordered portion of multi-line orders by an estimated 30–40%.</w:t>
      </w:r>
    </w:p>
    <w:p>
      <w:pPr>
        <w:pStyle w:val="Heading1"/>
        <w:spacing w:after="160" w:before="320"/>
      </w:pPr>
      <w:r>
        <w:t xml:space="preserve">3. Requested Change — Functional Requirements</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200"/>
        <w:gridCol w:w="7300"/>
      </w:tblGrid>
      <w:tr>
        <w:trPr>
          <w:tblHeader/>
        </w:trPr>
        <w:tc>
          <w:tcPr>
            <w:tcW w:type="dxa" w:w="1200"/>
            <w:shd w:fill="2F5496" w:val="clear"/>
            <w:tcMar>
              <w:top w:type="dxa" w:w="80"/>
              <w:left w:type="dxa" w:w="100"/>
              <w:bottom w:type="dxa" w:w="80"/>
              <w:right w:type="dxa" w:w="100"/>
            </w:tcMar>
          </w:tcPr>
          <w:p>
            <w:r>
              <w:rPr>
                <w:b/>
                <w:bCs/>
                <w:color w:val="FFFFFF"/>
              </w:rPr>
              <w:t xml:space="preserve">Req ID</w:t>
            </w:r>
          </w:p>
        </w:tc>
        <w:tc>
          <w:tcPr>
            <w:tcW w:type="dxa" w:w="7300"/>
            <w:shd w:fill="2F5496" w:val="clear"/>
            <w:tcMar>
              <w:top w:type="dxa" w:w="80"/>
              <w:left w:type="dxa" w:w="100"/>
              <w:bottom w:type="dxa" w:w="80"/>
              <w:right w:type="dxa" w:w="100"/>
            </w:tcMar>
          </w:tcPr>
          <w:p>
            <w:r>
              <w:rPr>
                <w:b/>
                <w:bCs/>
                <w:color w:val="FFFFFF"/>
              </w:rPr>
              <w:t xml:space="preserve">Requirement</w:t>
            </w:r>
          </w:p>
        </w:tc>
      </w:tr>
      <w:tr>
        <w:tc>
          <w:tcPr>
            <w:tcW w:type="dxa" w:w="1200"/>
            <w:shd w:fill="FFFFFF" w:val="clear"/>
            <w:tcMar>
              <w:top w:type="dxa" w:w="80"/>
              <w:left w:type="dxa" w:w="100"/>
              <w:bottom w:type="dxa" w:w="80"/>
              <w:right w:type="dxa" w:w="100"/>
            </w:tcMar>
          </w:tcPr>
          <w:p>
            <w:r>
              <w:rPr>
                <w:b w:val="false"/>
                <w:bCs w:val="false"/>
                <w:color w:val="000000"/>
              </w:rPr>
              <w:t xml:space="preserve">BCR-01-01</w:t>
            </w:r>
          </w:p>
        </w:tc>
        <w:tc>
          <w:tcPr>
            <w:tcW w:type="dxa" w:w="7300"/>
            <w:shd w:fill="FFFFFF" w:val="clear"/>
            <w:tcMar>
              <w:top w:type="dxa" w:w="80"/>
              <w:left w:type="dxa" w:w="100"/>
              <w:bottom w:type="dxa" w:w="80"/>
              <w:right w:type="dxa" w:w="100"/>
            </w:tcMar>
          </w:tcPr>
          <w:p>
            <w:r>
              <w:rPr>
                <w:b w:val="false"/>
                <w:bCs w:val="false"/>
                <w:color w:val="000000"/>
              </w:rPr>
              <w:t xml:space="preserve">The system shall split an order into one or more “shipment groups” based on line-item availability at provisioning time.</w:t>
            </w:r>
          </w:p>
        </w:tc>
      </w:tr>
      <w:tr>
        <w:tc>
          <w:tcPr>
            <w:tcW w:type="dxa" w:w="1200"/>
            <w:shd w:fill="F2F2F2" w:val="clear"/>
            <w:tcMar>
              <w:top w:type="dxa" w:w="80"/>
              <w:left w:type="dxa" w:w="100"/>
              <w:bottom w:type="dxa" w:w="80"/>
              <w:right w:type="dxa" w:w="100"/>
            </w:tcMar>
          </w:tcPr>
          <w:p>
            <w:r>
              <w:rPr>
                <w:b w:val="false"/>
                <w:bCs w:val="false"/>
                <w:color w:val="000000"/>
              </w:rPr>
              <w:t xml:space="preserve">BCR-01-02</w:t>
            </w:r>
          </w:p>
        </w:tc>
        <w:tc>
          <w:tcPr>
            <w:tcW w:type="dxa" w:w="7300"/>
            <w:shd w:fill="F2F2F2" w:val="clear"/>
            <w:tcMar>
              <w:top w:type="dxa" w:w="80"/>
              <w:left w:type="dxa" w:w="100"/>
              <w:bottom w:type="dxa" w:w="80"/>
              <w:right w:type="dxa" w:w="100"/>
            </w:tcMar>
          </w:tcPr>
          <w:p>
            <w:r>
              <w:rPr>
                <w:b w:val="false"/>
                <w:bCs w:val="false"/>
                <w:color w:val="000000"/>
              </w:rPr>
              <w:t xml:space="preserve">Each shipment group shall be independently provisioned, dispatched, and tracked (its own tracking number), while remaining associated with the parent order.</w:t>
            </w:r>
          </w:p>
        </w:tc>
      </w:tr>
      <w:tr>
        <w:tc>
          <w:tcPr>
            <w:tcW w:type="dxa" w:w="1200"/>
            <w:shd w:fill="FFFFFF" w:val="clear"/>
            <w:tcMar>
              <w:top w:type="dxa" w:w="80"/>
              <w:left w:type="dxa" w:w="100"/>
              <w:bottom w:type="dxa" w:w="80"/>
              <w:right w:type="dxa" w:w="100"/>
            </w:tcMar>
          </w:tcPr>
          <w:p>
            <w:r>
              <w:rPr>
                <w:b w:val="false"/>
                <w:bCs w:val="false"/>
                <w:color w:val="000000"/>
              </w:rPr>
              <w:t xml:space="preserve">BCR-01-03</w:t>
            </w:r>
          </w:p>
        </w:tc>
        <w:tc>
          <w:tcPr>
            <w:tcW w:type="dxa" w:w="7300"/>
            <w:shd w:fill="FFFFFF" w:val="clear"/>
            <w:tcMar>
              <w:top w:type="dxa" w:w="80"/>
              <w:left w:type="dxa" w:w="100"/>
              <w:bottom w:type="dxa" w:w="80"/>
              <w:right w:type="dxa" w:w="100"/>
            </w:tcMar>
          </w:tcPr>
          <w:p>
            <w:r>
              <w:rPr>
                <w:b w:val="false"/>
                <w:bCs w:val="false"/>
                <w:color w:val="000000"/>
              </w:rPr>
              <w:t xml:space="preserve">The parent order shall remain in a PARTIALLY_DISPATCHED status until all shipment groups reach DISPATCHED.</w:t>
            </w:r>
          </w:p>
        </w:tc>
      </w:tr>
      <w:tr>
        <w:tc>
          <w:tcPr>
            <w:tcW w:type="dxa" w:w="1200"/>
            <w:shd w:fill="F2F2F2" w:val="clear"/>
            <w:tcMar>
              <w:top w:type="dxa" w:w="80"/>
              <w:left w:type="dxa" w:w="100"/>
              <w:bottom w:type="dxa" w:w="80"/>
              <w:right w:type="dxa" w:w="100"/>
            </w:tcMar>
          </w:tcPr>
          <w:p>
            <w:r>
              <w:rPr>
                <w:b w:val="false"/>
                <w:bCs w:val="false"/>
                <w:color w:val="000000"/>
              </w:rPr>
              <w:t xml:space="preserve">BCR-01-04</w:t>
            </w:r>
          </w:p>
        </w:tc>
        <w:tc>
          <w:tcPr>
            <w:tcW w:type="dxa" w:w="7300"/>
            <w:shd w:fill="F2F2F2" w:val="clear"/>
            <w:tcMar>
              <w:top w:type="dxa" w:w="80"/>
              <w:left w:type="dxa" w:w="100"/>
              <w:bottom w:type="dxa" w:w="80"/>
              <w:right w:type="dxa" w:w="100"/>
            </w:tcMar>
          </w:tcPr>
          <w:p>
            <w:r>
              <w:rPr>
                <w:b w:val="false"/>
                <w:bCs w:val="false"/>
                <w:color w:val="000000"/>
              </w:rPr>
              <w:t xml:space="preserve">The parent order shall reach COMPLETED only once all shipment groups report delivery confirmation and a single consolidated invoice (or itemized multi-shipment invoice, pending Finance input) has been generated.</w:t>
            </w:r>
          </w:p>
        </w:tc>
      </w:tr>
      <w:tr>
        <w:tc>
          <w:tcPr>
            <w:tcW w:type="dxa" w:w="1200"/>
            <w:shd w:fill="FFFFFF" w:val="clear"/>
            <w:tcMar>
              <w:top w:type="dxa" w:w="80"/>
              <w:left w:type="dxa" w:w="100"/>
              <w:bottom w:type="dxa" w:w="80"/>
              <w:right w:type="dxa" w:w="100"/>
            </w:tcMar>
          </w:tcPr>
          <w:p>
            <w:r>
              <w:rPr>
                <w:b w:val="false"/>
                <w:bCs w:val="false"/>
                <w:color w:val="000000"/>
              </w:rPr>
              <w:t xml:space="preserve">BCR-01-05</w:t>
            </w:r>
          </w:p>
        </w:tc>
        <w:tc>
          <w:tcPr>
            <w:tcW w:type="dxa" w:w="7300"/>
            <w:shd w:fill="FFFFFF" w:val="clear"/>
            <w:tcMar>
              <w:top w:type="dxa" w:w="80"/>
              <w:left w:type="dxa" w:w="100"/>
              <w:bottom w:type="dxa" w:w="80"/>
              <w:right w:type="dxa" w:w="100"/>
            </w:tcMar>
          </w:tcPr>
          <w:p>
            <w:r>
              <w:rPr>
                <w:b w:val="false"/>
                <w:bCs w:val="false"/>
                <w:color w:val="000000"/>
              </w:rPr>
              <w:t xml:space="preserve">Cancellation must support cancelling the entire order (all shipment groups, including unshipped backordered items) or an individual shipment group (e.g., customer no longer wants the backordered item but still wants the rest).</w:t>
            </w:r>
          </w:p>
        </w:tc>
      </w:tr>
      <w:tr>
        <w:tc>
          <w:tcPr>
            <w:tcW w:type="dxa" w:w="1200"/>
            <w:shd w:fill="F2F2F2" w:val="clear"/>
            <w:tcMar>
              <w:top w:type="dxa" w:w="80"/>
              <w:left w:type="dxa" w:w="100"/>
              <w:bottom w:type="dxa" w:w="80"/>
              <w:right w:type="dxa" w:w="100"/>
            </w:tcMar>
          </w:tcPr>
          <w:p>
            <w:r>
              <w:rPr>
                <w:b w:val="false"/>
                <w:bCs w:val="false"/>
                <w:color w:val="000000"/>
              </w:rPr>
              <w:t xml:space="preserve">BCR-01-06</w:t>
            </w:r>
          </w:p>
        </w:tc>
        <w:tc>
          <w:tcPr>
            <w:tcW w:type="dxa" w:w="7300"/>
            <w:shd w:fill="F2F2F2" w:val="clear"/>
            <w:tcMar>
              <w:top w:type="dxa" w:w="80"/>
              <w:left w:type="dxa" w:w="100"/>
              <w:bottom w:type="dxa" w:w="80"/>
              <w:right w:type="dxa" w:w="100"/>
            </w:tcMar>
          </w:tcPr>
          <w:p>
            <w:r>
              <w:rPr>
                <w:b w:val="false"/>
                <w:bCs w:val="false"/>
                <w:color w:val="000000"/>
              </w:rPr>
              <w:t xml:space="preserve">Status query (get_status) shall return per-shipment-group status in addition to overall order status.</w:t>
            </w:r>
          </w:p>
        </w:tc>
      </w:tr>
    </w:tbl>
    <w:p>
      <w:pPr>
        <w:spacing w:after="200"/>
      </w:pPr>
    </w:p>
    <w:p>
      <w:pPr>
        <w:pStyle w:val="Heading1"/>
        <w:spacing w:after="160" w:before="320"/>
      </w:pPr>
      <w:r>
        <w:t xml:space="preserve">4. Impact on Existing Design (Preliminary — TDD update required)</w:t>
      </w:r>
    </w:p>
    <w:p>
      <w:pPr>
        <w:spacing w:after="160"/>
      </w:pPr>
      <w:r>
        <w:t xml:space="preserve">This is a structural change to the workflow, not an incremental one:</w:t>
      </w:r>
    </w:p>
    <w:p>
      <w:pPr>
        <w:pStyle w:val="ListParagraph"/>
        <w:numPr>
          <w:ilvl w:val="0"/>
          <w:numId w:val="2"/>
        </w:numPr>
        <w:spacing w:after="80"/>
      </w:pPr>
      <w:r>
        <w:t xml:space="preserve">State machine: needs new states (PARTIALLY_PROVISIONED, PARTIALLY_DISPATCHED) and a shipment-group sub-state-machine nested under the order — see current diagram docs/diagrams/mermaid/order-state-machine.mmd, which will need a companion order-state-machine-partial-shipment.mmd.</w:t>
      </w:r>
    </w:p>
    <w:p>
      <w:pPr>
        <w:pStyle w:val="ListParagraph"/>
        <w:numPr>
          <w:ilvl w:val="0"/>
          <w:numId w:val="2"/>
        </w:numPr>
        <w:spacing w:after="80"/>
      </w:pPr>
      <w:r>
        <w:t xml:space="preserve">Data contracts (src/shared/types.py): ProvisioningResult and DispatchResult currently assume one reservation / one shipment per order. These need to become list[ProvisioningResult] / list[DispatchResult] keyed by shipment group.</w:t>
      </w:r>
    </w:p>
    <w:p>
      <w:pPr>
        <w:pStyle w:val="ListParagraph"/>
        <w:numPr>
          <w:ilvl w:val="0"/>
          <w:numId w:val="2"/>
        </w:numPr>
        <w:spacing w:after="80"/>
      </w:pPr>
      <w:r>
        <w:t xml:space="preserve">Workflow (src/workflows/order_workflow.py): provisioning and dispatch currently await a single activity call each; they'll need to fan out (e.g., asyncio.gather over per-group activities) and track completion of each group independently, including independent compensation per group.</w:t>
      </w:r>
    </w:p>
    <w:p>
      <w:pPr>
        <w:pStyle w:val="ListParagraph"/>
        <w:numPr>
          <w:ilvl w:val="0"/>
          <w:numId w:val="2"/>
        </w:numPr>
        <w:spacing w:after="80"/>
      </w:pPr>
      <w:r>
        <w:t xml:space="preserve">Saga/compensation logic (TDD §4.3): must be re-scoped from “order-level” to “shipment-group-level” compensation, while still supporting order-level (all groups) compensation for BCR-01-05.</w:t>
      </w:r>
    </w:p>
    <w:p>
      <w:pPr>
        <w:pStyle w:val="ListParagraph"/>
        <w:numPr>
          <w:ilvl w:val="0"/>
          <w:numId w:val="2"/>
        </w:numPr>
        <w:spacing w:after="80"/>
      </w:pPr>
      <w:r>
        <w:t xml:space="preserve">Continue-as-new strategy (TDD §4.7): each shipment group may have its own, independent delivery-wait duration — needs design work to avoid one slow group blocking history-size management for the others.</w:t>
      </w:r>
    </w:p>
    <w:p>
      <w:pPr>
        <w:pStyle w:val="ListParagraph"/>
        <w:numPr>
          <w:ilvl w:val="0"/>
          <w:numId w:val="2"/>
        </w:numPr>
        <w:spacing w:after="80"/>
      </w:pPr>
      <w:r>
        <w:t xml:space="preserve">Invoicing (complete_order activity): needs a decision from Finance (BCR-01-04) on consolidated vs. itemized invoicing before implementation.</w:t>
      </w:r>
    </w:p>
    <w:p>
      <w:pPr>
        <w:pStyle w:val="Heading1"/>
        <w:spacing w:after="160" w:before="320"/>
      </w:pPr>
      <w:r>
        <w:t xml:space="preserve">5. Out of Scope for This Change</w:t>
      </w:r>
    </w:p>
    <w:p>
      <w:pPr>
        <w:pStyle w:val="ListParagraph"/>
        <w:numPr>
          <w:ilvl w:val="0"/>
          <w:numId w:val="2"/>
        </w:numPr>
        <w:spacing w:after="80"/>
      </w:pPr>
      <w:r>
        <w:t xml:space="preserve">Multi-warehouse optimization / routing logic for which warehouse fulfills which shipment group (assumed to reuse existing single-warehouse allocation per group for v1).</w:t>
      </w:r>
    </w:p>
    <w:p>
      <w:pPr>
        <w:pStyle w:val="ListParagraph"/>
        <w:numPr>
          <w:ilvl w:val="0"/>
          <w:numId w:val="2"/>
        </w:numPr>
        <w:spacing w:after="80"/>
      </w:pPr>
      <w:r>
        <w:t xml:space="preserve">Customer-facing UI changes to display multiple tracking numbers (separate front-end workstream).</w:t>
      </w:r>
    </w:p>
    <w:p>
      <w:pPr>
        <w:pStyle w:val="Heading1"/>
        <w:spacing w:after="160" w:before="320"/>
      </w:pPr>
      <w:r>
        <w:t xml:space="preserve">6. Dependencies / Follow-up Actions</w:t>
      </w:r>
    </w:p>
    <w:p>
      <w:pPr>
        <w:spacing w:after="80"/>
        <w:ind w:left="360"/>
      </w:pPr>
      <w:r>
        <w:t xml:space="preserve">☐  Engineering: produce an updated TDD section (or new TDD-ORD-002) covering the shipment-group design before implementation begins.</w:t>
      </w:r>
    </w:p>
    <w:p>
      <w:pPr>
        <w:spacing w:after="80"/>
        <w:ind w:left="360"/>
      </w:pPr>
      <w:r>
        <w:t xml:space="preserve">☐  Finance: decide consolidated vs. itemized invoicing (blocks BCR-01-04).</w:t>
      </w:r>
    </w:p>
    <w:p>
      <w:pPr>
        <w:spacing w:after="80"/>
        <w:ind w:left="360"/>
      </w:pPr>
      <w:r>
        <w:t xml:space="preserve">☐  QA: extend docs/test-cases/TC-order-workflow.md with partial-shipment scenarios (split provisioning, independent dispatch failure/compensation per group, mixed cancel scenarios).</w:t>
      </w:r>
    </w:p>
    <w:p>
      <w:pPr>
        <w:spacing w:after="80"/>
        <w:ind w:left="360"/>
      </w:pPr>
      <w:r>
        <w:t xml:space="preserve">☐  Update EPIC-001 story map or raise a new EPIC-002 if this is sized as its own epic (recommended, given the structural impact in §4).</w:t>
      </w:r>
    </w:p>
    <w:p>
      <w:pPr>
        <w:spacing w:after="120"/>
      </w:pPr>
    </w:p>
    <w:p>
      <w:pPr>
        <w:pStyle w:val="Heading1"/>
        <w:spacing w:after="160" w:before="320"/>
      </w:pPr>
      <w:r>
        <w:t xml:space="preserve">7. Risks</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400"/>
        <w:gridCol w:w="6100"/>
      </w:tblGrid>
      <w:tr>
        <w:trPr>
          <w:tblHeader/>
        </w:trPr>
        <w:tc>
          <w:tcPr>
            <w:tcW w:type="dxa" w:w="2400"/>
            <w:shd w:fill="2F5496" w:val="clear"/>
            <w:tcMar>
              <w:top w:type="dxa" w:w="80"/>
              <w:left w:type="dxa" w:w="100"/>
              <w:bottom w:type="dxa" w:w="80"/>
              <w:right w:type="dxa" w:w="100"/>
            </w:tcMar>
          </w:tcPr>
          <w:p>
            <w:r>
              <w:rPr>
                <w:b/>
                <w:bCs/>
                <w:color w:val="FFFFFF"/>
              </w:rPr>
              <w:t xml:space="preserve">Risk</w:t>
            </w:r>
          </w:p>
        </w:tc>
        <w:tc>
          <w:tcPr>
            <w:tcW w:type="dxa" w:w="6100"/>
            <w:shd w:fill="2F5496" w:val="clear"/>
            <w:tcMar>
              <w:top w:type="dxa" w:w="80"/>
              <w:left w:type="dxa" w:w="100"/>
              <w:bottom w:type="dxa" w:w="80"/>
              <w:right w:type="dxa" w:w="100"/>
            </w:tcMar>
          </w:tcPr>
          <w:p>
            <w:r>
              <w:rPr>
                <w:b/>
                <w:bCs/>
                <w:color w:val="FFFFFF"/>
              </w:rPr>
              <w:t xml:space="preserve">Notes</w:t>
            </w:r>
          </w:p>
        </w:tc>
      </w:tr>
      <w:tr>
        <w:tc>
          <w:tcPr>
            <w:tcW w:type="dxa" w:w="2400"/>
            <w:shd w:fill="FFFFFF" w:val="clear"/>
            <w:tcMar>
              <w:top w:type="dxa" w:w="80"/>
              <w:left w:type="dxa" w:w="100"/>
              <w:bottom w:type="dxa" w:w="80"/>
              <w:right w:type="dxa" w:w="100"/>
            </w:tcMar>
          </w:tcPr>
          <w:p>
            <w:r>
              <w:rPr>
                <w:b w:val="false"/>
                <w:bCs w:val="false"/>
                <w:color w:val="000000"/>
              </w:rPr>
              <w:t xml:space="preserve">Backward compatibility</w:t>
            </w:r>
          </w:p>
        </w:tc>
        <w:tc>
          <w:tcPr>
            <w:tcW w:type="dxa" w:w="6100"/>
            <w:shd w:fill="FFFFFF" w:val="clear"/>
            <w:tcMar>
              <w:top w:type="dxa" w:w="80"/>
              <w:left w:type="dxa" w:w="100"/>
              <w:bottom w:type="dxa" w:w="80"/>
              <w:right w:type="dxa" w:w="100"/>
            </w:tcMar>
          </w:tcPr>
          <w:p>
            <w:r>
              <w:rPr>
                <w:b w:val="false"/>
                <w:bCs w:val="false"/>
                <w:color w:val="000000"/>
              </w:rPr>
              <w:t xml:space="preserve">Existing in-flight orders (single-shipment model) must complete under the old logic; new logic should apply to newly-started workflows only, or a migration/versioning strategy is needed (Temporal supports workflow versioning via workflow.patched()).</w:t>
            </w:r>
          </w:p>
        </w:tc>
      </w:tr>
      <w:tr>
        <w:tc>
          <w:tcPr>
            <w:tcW w:type="dxa" w:w="2400"/>
            <w:shd w:fill="F2F2F2" w:val="clear"/>
            <w:tcMar>
              <w:top w:type="dxa" w:w="80"/>
              <w:left w:type="dxa" w:w="100"/>
              <w:bottom w:type="dxa" w:w="80"/>
              <w:right w:type="dxa" w:w="100"/>
            </w:tcMar>
          </w:tcPr>
          <w:p>
            <w:r>
              <w:rPr>
                <w:b w:val="false"/>
                <w:bCs w:val="false"/>
                <w:color w:val="000000"/>
              </w:rPr>
              <w:t xml:space="preserve">Increased workflow complexity</w:t>
            </w:r>
          </w:p>
        </w:tc>
        <w:tc>
          <w:tcPr>
            <w:tcW w:type="dxa" w:w="6100"/>
            <w:shd w:fill="F2F2F2" w:val="clear"/>
            <w:tcMar>
              <w:top w:type="dxa" w:w="80"/>
              <w:left w:type="dxa" w:w="100"/>
              <w:bottom w:type="dxa" w:w="80"/>
              <w:right w:type="dxa" w:w="100"/>
            </w:tcMar>
          </w:tcPr>
          <w:p>
            <w:r>
              <w:rPr>
                <w:b w:val="false"/>
                <w:bCs w:val="false"/>
                <w:color w:val="000000"/>
              </w:rPr>
              <w:t xml:space="preserve">Fan-out/fan-in compensation logic is materially more complex than the current linear saga — recommend a design review before implementation.</w:t>
            </w:r>
          </w:p>
        </w:tc>
      </w:tr>
      <w:tr>
        <w:tc>
          <w:tcPr>
            <w:tcW w:type="dxa" w:w="2400"/>
            <w:shd w:fill="FFFFFF" w:val="clear"/>
            <w:tcMar>
              <w:top w:type="dxa" w:w="80"/>
              <w:left w:type="dxa" w:w="100"/>
              <w:bottom w:type="dxa" w:w="80"/>
              <w:right w:type="dxa" w:w="100"/>
            </w:tcMar>
          </w:tcPr>
          <w:p>
            <w:r>
              <w:rPr>
                <w:b w:val="false"/>
                <w:bCs w:val="false"/>
                <w:color w:val="000000"/>
              </w:rPr>
              <w:t xml:space="preserve">Invoicing correctness</w:t>
            </w:r>
          </w:p>
        </w:tc>
        <w:tc>
          <w:tcPr>
            <w:tcW w:type="dxa" w:w="6100"/>
            <w:shd w:fill="FFFFFF" w:val="clear"/>
            <w:tcMar>
              <w:top w:type="dxa" w:w="80"/>
              <w:left w:type="dxa" w:w="100"/>
              <w:bottom w:type="dxa" w:w="80"/>
              <w:right w:type="dxa" w:w="100"/>
            </w:tcMar>
          </w:tcPr>
          <w:p>
            <w:r>
              <w:rPr>
                <w:b w:val="false"/>
                <w:bCs w:val="false"/>
                <w:color w:val="000000"/>
              </w:rPr>
              <w:t xml:space="preserve">Must not double-invoice or under-invoice across shipment groups.</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2026-08-16T04:43:19.078Z</dcterms:created>
  <dcterms:modified xsi:type="dcterms:W3CDTF">2026-08-16T04:43:19.093Z</dcterms:modified>
</cp:coreProperties>
</file>

<file path=docProps/custom.xml><?xml version="1.0" encoding="utf-8"?>
<Properties xmlns="http://schemas.openxmlformats.org/officeDocument/2006/custom-properties" xmlns:vt="http://schemas.openxmlformats.org/officeDocument/2006/docPropsVTypes"/>
</file>