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2F5496"/>
          <w:sz w:val="44"/>
          <w:szCs w:val="44"/>
        </w:rPr>
        <w:t xml:space="preserve">Technical Design Document (TDD)</w:t>
      </w:r>
    </w:p>
    <w:p>
      <w:pPr>
        <w:spacing w:after="300"/>
      </w:pPr>
      <w:r>
        <w:rPr>
          <w:color w:val="444444"/>
          <w:sz w:val="28"/>
          <w:szCs w:val="28"/>
        </w:rPr>
        <w:t xml:space="preserve">Order Lifecycle Workflow — Temporal Implementation</w:t>
      </w:r>
    </w:p>
    <w:p>
      <w:pPr>
        <w:pBdr>
          <w:bottom w:val="single" w:color="AAAAAA" w:sz="6" w:space="1"/>
        </w:pBdr>
        <w:spacing w:after="240"/>
      </w:pPr>
    </w:p>
    <w:p>
      <w:pPr>
        <w:spacing w:after="60"/>
      </w:pPr>
      <w:r>
        <w:rPr>
          <w:b/>
          <w:bCs/>
        </w:rPr>
        <w:t xml:space="preserve">Document ID: </w:t>
      </w:r>
      <w:r>
        <w:t xml:space="preserve">TDD-ORD-001</w:t>
      </w:r>
    </w:p>
    <w:p>
      <w:pPr>
        <w:spacing w:after="60"/>
      </w:pPr>
      <w:r>
        <w:rPr>
          <w:b/>
          <w:bCs/>
        </w:rPr>
        <w:t xml:space="preserve">Linked EPIC: </w:t>
      </w:r>
      <w:r>
        <w:t xml:space="preserve">EPIC-001</w:t>
      </w:r>
    </w:p>
    <w:p>
      <w:pPr>
        <w:spacing w:after="60"/>
      </w:pPr>
      <w:r>
        <w:rPr>
          <w:b/>
          <w:bCs/>
        </w:rPr>
        <w:t xml:space="preserve">Version: </w:t>
      </w:r>
      <w:r>
        <w:t xml:space="preserve">1.1</w:t>
      </w:r>
    </w:p>
    <w:p>
      <w:pPr>
        <w:spacing w:after="60"/>
      </w:pPr>
      <w:r>
        <w:rPr>
          <w:b/>
          <w:bCs/>
        </w:rPr>
        <w:t xml:space="preserve">Status: </w:t>
      </w:r>
      <w:r>
        <w:t xml:space="preserve">Approved</w:t>
      </w:r>
    </w:p>
    <w:p>
      <w:pPr>
        <w:spacing w:after="60"/>
      </w:pPr>
      <w:r>
        <w:rPr>
          <w:b/>
          <w:bCs/>
        </w:rPr>
        <w:t xml:space="preserve">Author: </w:t>
      </w:r>
      <w:r>
        <w:t xml:space="preserve">Platform Engineering (Workflow Orchestration)</w:t>
      </w:r>
    </w:p>
    <w:p>
      <w:pPr>
        <w:pBdr>
          <w:bottom w:val="single" w:color="AAAAAA" w:sz="6" w:space="1"/>
        </w:pBdr>
        <w:spacing w:after="240"/>
      </w:pPr>
    </w:p>
    <w:p>
      <w:pPr>
        <w:pStyle w:val="Heading1"/>
        <w:spacing w:after="160" w:before="320"/>
      </w:pPr>
      <w:r>
        <w:t xml:space="preserve">1. Overview</w:t>
      </w:r>
    </w:p>
    <w:p>
      <w:pPr>
        <w:spacing w:after="160"/>
      </w:pPr>
      <w:r>
        <w:t xml:space="preserve">The order lifecycle (Capture → Validate → Provision → Dispatch → Complete) is implemented as a single </w:t>
      </w:r>
      <w:r>
        <w:rPr>
          <w:b/>
          <w:bCs/>
        </w:rPr>
        <w:t xml:space="preserve">Temporal Workflow</w:t>
      </w:r>
      <w:r>
        <w:t xml:space="preserve"> (</w:t>
      </w:r>
      <w:r>
        <w:rPr>
          <w:rFonts w:ascii="Consolas" w:cs="Consolas" w:eastAsia="Consolas" w:hAnsi="Consolas"/>
          <w:color w:val="AA3377"/>
        </w:rPr>
        <w:t xml:space="preserve">OrderWorkflow</w:t>
      </w:r>
      <w:r>
        <w:t xml:space="preserve">), with each business step implemented as an idempotent </w:t>
      </w:r>
      <w:r>
        <w:rPr>
          <w:b/>
          <w:bCs/>
        </w:rPr>
        <w:t xml:space="preserve">Activity</w:t>
      </w:r>
      <w:r>
        <w:t xml:space="preserve">. Temporal provides durable execution: workflow state survives worker crashes, deployments, and restarts, and Temporal automatically replays workflow history to reconstruct in-memory state — so we never need a hand-rolled state machine table or polling-based status checks.</w:t>
      </w:r>
    </w:p>
    <w:p>
      <w:pPr>
        <w:spacing w:after="160"/>
      </w:pPr>
      <w:r>
        <w:t xml:space="preserve">The workflow follows a </w:t>
      </w:r>
      <w:r>
        <w:rPr>
          <w:b/>
          <w:bCs/>
        </w:rPr>
        <w:t xml:space="preserve">saga pattern with compensation</w:t>
      </w:r>
      <w:r>
        <w:t xml:space="preserve">: if a step fails after prior steps have already produced real-world side effects (e.g., inventory reserved), the workflow runs compensating activities in reverse order.</w:t>
      </w:r>
    </w:p>
    <w:p>
      <w:pPr>
        <w:pStyle w:val="Heading1"/>
        <w:spacing w:after="160" w:before="320"/>
      </w:pPr>
      <w:r>
        <w:t xml:space="preserve">2. Why Temporal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rPr>
          <w:tblHeader/>
        </w:trPr>
        <w:tc>
          <w:tcPr>
            <w:tcW w:type="dxa" w:w="3600"/>
            <w:shd w:fill="2F5496" w:val="clear"/>
            <w:tcMar>
              <w:top w:type="dxa" w:w="80"/>
              <w:left w:type="dxa" w:w="100"/>
              <w:bottom w:type="dxa" w:w="80"/>
              <w:right w:type="dxa" w:w="100"/>
            </w:tcMar>
          </w:tcPr>
          <w:p>
            <w:r>
              <w:rPr>
                <w:b/>
                <w:bCs/>
                <w:color w:val="FFFFFF"/>
              </w:rPr>
              <w:t xml:space="preserve">Requirement (from BRD)</w:t>
            </w:r>
          </w:p>
        </w:tc>
        <w:tc>
          <w:tcPr>
            <w:tcW w:type="dxa" w:w="5900"/>
            <w:shd w:fill="2F5496" w:val="clear"/>
            <w:tcMar>
              <w:top w:type="dxa" w:w="80"/>
              <w:left w:type="dxa" w:w="100"/>
              <w:bottom w:type="dxa" w:w="80"/>
              <w:right w:type="dxa" w:w="100"/>
            </w:tcMar>
          </w:tcPr>
          <w:p>
            <w:r>
              <w:rPr>
                <w:b/>
                <w:bCs/>
                <w:color w:val="FFFFFF"/>
              </w:rPr>
              <w:t xml:space="preserve">How Temporal satisfies it</w:t>
            </w:r>
          </w:p>
        </w:tc>
      </w:tr>
      <w:tr>
        <w:tc>
          <w:tcPr>
            <w:tcW w:type="dxa" w:w="3600"/>
            <w:shd w:fill="FFFFFF" w:val="clear"/>
            <w:tcMar>
              <w:top w:type="dxa" w:w="80"/>
              <w:left w:type="dxa" w:w="100"/>
              <w:bottom w:type="dxa" w:w="80"/>
              <w:right w:type="dxa" w:w="100"/>
            </w:tcMar>
          </w:tcPr>
          <w:p>
            <w:r>
              <w:t xml:space="preserve">BR-10: immutable, 7-year audit trail</w:t>
            </w:r>
          </w:p>
        </w:tc>
        <w:tc>
          <w:tcPr>
            <w:tcW w:type="dxa" w:w="5900"/>
            <w:shd w:fill="FFFFFF" w:val="clear"/>
            <w:tcMar>
              <w:top w:type="dxa" w:w="80"/>
              <w:left w:type="dxa" w:w="100"/>
              <w:bottom w:type="dxa" w:w="80"/>
              <w:right w:type="dxa" w:w="100"/>
            </w:tcMar>
          </w:tcPr>
          <w:p>
            <w:r>
              <w:t xml:space="preserve">Workflow Event History is the audit trail; can be exported to long-term storage</w:t>
            </w:r>
          </w:p>
        </w:tc>
      </w:tr>
      <w:tr>
        <w:tc>
          <w:tcPr>
            <w:tcW w:type="dxa" w:w="3600"/>
            <w:shd w:fill="F2F2F2" w:val="clear"/>
            <w:tcMar>
              <w:top w:type="dxa" w:w="80"/>
              <w:left w:type="dxa" w:w="100"/>
              <w:bottom w:type="dxa" w:w="80"/>
              <w:right w:type="dxa" w:w="100"/>
            </w:tcMar>
          </w:tcPr>
          <w:p>
            <w:r>
              <w:t xml:space="preserve">BR-11: retry without duplicating side effects</w:t>
            </w:r>
          </w:p>
        </w:tc>
        <w:tc>
          <w:tcPr>
            <w:tcW w:type="dxa" w:w="5900"/>
            <w:shd w:fill="F2F2F2" w:val="clear"/>
            <w:tcMar>
              <w:top w:type="dxa" w:w="80"/>
              <w:left w:type="dxa" w:w="100"/>
              <w:bottom w:type="dxa" w:w="80"/>
              <w:right w:type="dxa" w:w="100"/>
            </w:tcMar>
          </w:tcPr>
          <w:p>
            <w:r>
              <w:t xml:space="preserve">Activities are retried automatically per RetryPolicy; side-effecting activities use idempotency keys</w:t>
            </w:r>
          </w:p>
        </w:tc>
      </w:tr>
      <w:tr>
        <w:tc>
          <w:tcPr>
            <w:tcW w:type="dxa" w:w="3600"/>
            <w:shd w:fill="FFFFFF" w:val="clear"/>
            <w:tcMar>
              <w:top w:type="dxa" w:w="80"/>
              <w:left w:type="dxa" w:w="100"/>
              <w:bottom w:type="dxa" w:w="80"/>
              <w:right w:type="dxa" w:w="100"/>
            </w:tcMar>
          </w:tcPr>
          <w:p>
            <w:r>
              <w:t xml:space="preserve">BR-09: real-time status query</w:t>
            </w:r>
          </w:p>
        </w:tc>
        <w:tc>
          <w:tcPr>
            <w:tcW w:type="dxa" w:w="5900"/>
            <w:shd w:fill="FFFFFF" w:val="clear"/>
            <w:tcMar>
              <w:top w:type="dxa" w:w="80"/>
              <w:left w:type="dxa" w:w="100"/>
              <w:bottom w:type="dxa" w:w="80"/>
              <w:right w:type="dxa" w:w="100"/>
            </w:tcMar>
          </w:tcPr>
          <w:p>
            <w:r>
              <w:t xml:space="preserve">Temporal Query handlers return current in-memory workflow state with no extra DB</w:t>
            </w:r>
          </w:p>
        </w:tc>
      </w:tr>
      <w:tr>
        <w:tc>
          <w:tcPr>
            <w:tcW w:type="dxa" w:w="3600"/>
            <w:shd w:fill="F2F2F2" w:val="clear"/>
            <w:tcMar>
              <w:top w:type="dxa" w:w="80"/>
              <w:left w:type="dxa" w:w="100"/>
              <w:bottom w:type="dxa" w:w="80"/>
              <w:right w:type="dxa" w:w="100"/>
            </w:tcMar>
          </w:tcPr>
          <w:p>
            <w:r>
              <w:t xml:space="preserve">BR-07/08: cancellation &amp; compensation</w:t>
            </w:r>
          </w:p>
        </w:tc>
        <w:tc>
          <w:tcPr>
            <w:tcW w:type="dxa" w:w="5900"/>
            <w:shd w:fill="F2F2F2" w:val="clear"/>
            <w:tcMar>
              <w:top w:type="dxa" w:w="80"/>
              <w:left w:type="dxa" w:w="100"/>
              <w:bottom w:type="dxa" w:w="80"/>
              <w:right w:type="dxa" w:w="100"/>
            </w:tcMar>
          </w:tcPr>
          <w:p>
            <w:r>
              <w:t xml:space="preserve">Temporal Signals (cancel_order) drive a saga-style compensation path</w:t>
            </w:r>
          </w:p>
        </w:tc>
      </w:tr>
      <w:tr>
        <w:tc>
          <w:tcPr>
            <w:tcW w:type="dxa" w:w="3600"/>
            <w:shd w:fill="FFFFFF" w:val="clear"/>
            <w:tcMar>
              <w:top w:type="dxa" w:w="80"/>
              <w:left w:type="dxa" w:w="100"/>
              <w:bottom w:type="dxa" w:w="80"/>
              <w:right w:type="dxa" w:w="100"/>
            </w:tcMar>
          </w:tcPr>
          <w:p>
            <w:r>
              <w:t xml:space="preserve">Long-running (backordered) orders</w:t>
            </w:r>
          </w:p>
        </w:tc>
        <w:tc>
          <w:tcPr>
            <w:tcW w:type="dxa" w:w="5900"/>
            <w:shd w:fill="FFFFFF" w:val="clear"/>
            <w:tcMar>
              <w:top w:type="dxa" w:w="80"/>
              <w:left w:type="dxa" w:w="100"/>
              <w:bottom w:type="dxa" w:w="80"/>
              <w:right w:type="dxa" w:w="100"/>
            </w:tcMar>
          </w:tcPr>
          <w:p>
            <w:r>
              <w:t xml:space="preserve">continue-as-new avoids unbounded history growth</w:t>
            </w:r>
          </w:p>
        </w:tc>
      </w:tr>
    </w:tbl>
    <w:p>
      <w:pPr>
        <w:spacing w:after="200"/>
      </w:pPr>
    </w:p>
    <w:p>
      <w:pPr>
        <w:pStyle w:val="Heading1"/>
        <w:spacing w:after="160" w:before="320"/>
      </w:pPr>
      <w:r>
        <w:t xml:space="preserve">3. High-Level Architecture</w:t>
      </w:r>
    </w:p>
    <w:p>
      <w:pPr>
        <w:spacing w:after="160"/>
      </w:pPr>
      <w:r>
        <w:t xml:space="preserve">See </w:t>
      </w:r>
      <w:r>
        <w:rPr>
          <w:rFonts w:ascii="Consolas" w:cs="Consolas" w:eastAsia="Consolas" w:hAnsi="Consolas"/>
          <w:color w:val="AA3377"/>
        </w:rPr>
        <w:t xml:space="preserve">docs/diagrams/mermaid/system-architecture.mmd</w:t>
      </w:r>
      <w:r>
        <w:t xml:space="preserve"> for the rendered diagram. Summary:</w:t>
      </w:r>
    </w:p>
    <w:p>
      <w:pPr>
        <w:pStyle w:val="ListParagraph"/>
        <w:numPr>
          <w:ilvl w:val="0"/>
          <w:numId w:val="2"/>
        </w:numPr>
        <w:spacing w:after="80"/>
      </w:pPr>
      <w:r>
        <w:rPr>
          <w:b/>
          <w:bCs/>
        </w:rPr>
        <w:t xml:space="preserve">API Gateway</w:t>
      </w:r>
      <w:r>
        <w:t xml:space="preserve"> receives order requests → calls </w:t>
      </w:r>
      <w:r>
        <w:rPr>
          <w:rFonts w:ascii="Consolas" w:cs="Consolas" w:eastAsia="Consolas" w:hAnsi="Consolas"/>
          <w:color w:val="AA3377"/>
        </w:rPr>
        <w:t xml:space="preserve">starter.py</w:t>
      </w:r>
      <w:r>
        <w:t xml:space="preserve"> equivalent (an internal order-intake service) → starts an </w:t>
      </w:r>
      <w:r>
        <w:rPr>
          <w:rFonts w:ascii="Consolas" w:cs="Consolas" w:eastAsia="Consolas" w:hAnsi="Consolas"/>
          <w:color w:val="AA3377"/>
        </w:rPr>
        <w:t xml:space="preserve">OrderWorkflow</w:t>
      </w:r>
      <w:r>
        <w:t xml:space="preserve"> execution via the Temporal Client, keyed by a business </w:t>
      </w:r>
      <w:r>
        <w:rPr>
          <w:rFonts w:ascii="Consolas" w:cs="Consolas" w:eastAsia="Consolas" w:hAnsi="Consolas"/>
          <w:color w:val="AA3377"/>
        </w:rPr>
        <w:t xml:space="preserve">order_id</w:t>
      </w:r>
      <w:r>
        <w:t xml:space="preserve"> (used as the Workflow ID for idempotent "start-if-not-exists" semantics).</w:t>
      </w:r>
    </w:p>
    <w:p>
      <w:pPr>
        <w:pStyle w:val="ListParagraph"/>
        <w:numPr>
          <w:ilvl w:val="0"/>
          <w:numId w:val="2"/>
        </w:numPr>
        <w:spacing w:after="80"/>
      </w:pPr>
      <w:r>
        <w:rPr>
          <w:b/>
          <w:bCs/>
        </w:rPr>
        <w:t xml:space="preserve">Temporal Server</w:t>
      </w:r>
      <w:r>
        <w:t xml:space="preserve"> (self-hosted or Temporal Cloud) persists workflow state/history.</w:t>
      </w:r>
    </w:p>
    <w:p>
      <w:pPr>
        <w:pStyle w:val="ListParagraph"/>
        <w:numPr>
          <w:ilvl w:val="0"/>
          <w:numId w:val="2"/>
        </w:numPr>
        <w:spacing w:after="80"/>
      </w:pPr>
      <w:r>
        <w:rPr>
          <w:b/>
          <w:bCs/>
        </w:rPr>
        <w:t xml:space="preserve">Worker Pool</w:t>
      </w:r>
      <w:r>
        <w:t xml:space="preserve"> (</w:t>
      </w:r>
      <w:r>
        <w:rPr>
          <w:rFonts w:ascii="Consolas" w:cs="Consolas" w:eastAsia="Consolas" w:hAnsi="Consolas"/>
          <w:color w:val="AA3377"/>
        </w:rPr>
        <w:t xml:space="preserve">worker.py</w:t>
      </w:r>
      <w:r>
        <w:t xml:space="preserve">) polls Temporal task queues and executes workflow and activity code. Workers are stateless and horizontally scalable.</w:t>
      </w:r>
    </w:p>
    <w:p>
      <w:pPr>
        <w:pStyle w:val="ListParagraph"/>
        <w:numPr>
          <w:ilvl w:val="0"/>
          <w:numId w:val="2"/>
        </w:numPr>
        <w:spacing w:after="80"/>
      </w:pPr>
      <w:r>
        <w:rPr>
          <w:b/>
          <w:bCs/>
        </w:rPr>
        <w:t xml:space="preserve">Activities</w:t>
      </w:r>
      <w:r>
        <w:t xml:space="preserve"> call out to Inventory, Payments, Fraud, WMS, and Carrier systems.</w:t>
      </w:r>
    </w:p>
    <w:p>
      <w:pPr>
        <w:pStyle w:val="Heading1"/>
        <w:spacing w:after="160" w:before="320"/>
      </w:pPr>
      <w:r>
        <w:t xml:space="preserve">4. Workflow Design</w:t>
      </w:r>
    </w:p>
    <w:p>
      <w:pPr>
        <w:pStyle w:val="Heading2"/>
        <w:spacing w:after="120" w:before="260"/>
      </w:pPr>
      <w:r>
        <w:t xml:space="preserve">4.1 State Machine</w:t>
      </w:r>
    </w:p>
    <w:p>
      <w:pPr>
        <w:spacing w:after="160"/>
      </w:pPr>
      <w:r>
        <w:t xml:space="preserve">See </w:t>
      </w:r>
      <w:r>
        <w:rPr>
          <w:rFonts w:ascii="Consolas" w:cs="Consolas" w:eastAsia="Consolas" w:hAnsi="Consolas"/>
          <w:color w:val="AA3377"/>
        </w:rPr>
        <w:t xml:space="preserve">docs/diagrams/mermaid/order-state-machine.mmd</w:t>
      </w:r>
      <w:r>
        <w:t xml:space="preserve">.</w:t>
      </w:r>
    </w:p>
    <w:p>
      <w:pPr>
        <w:spacing w:after="160"/>
      </w:pPr>
      <w:r>
        <w:t xml:space="preserve">States: </w:t>
      </w:r>
      <w:r>
        <w:rPr>
          <w:rFonts w:ascii="Consolas" w:cs="Consolas" w:eastAsia="Consolas" w:hAnsi="Consolas"/>
          <w:color w:val="AA3377"/>
        </w:rPr>
        <w:t xml:space="preserve">RECEIVED → VALIDATING → VALIDATED → PROVISIONING → PROVISIONED → DISPATCHING → DISPATCHED → COMPLETED</w:t>
      </w:r>
      <w:r>
        <w:t xml:space="preserve">, with terminal failure states </w:t>
      </w:r>
      <w:r>
        <w:rPr>
          <w:rFonts w:ascii="Consolas" w:cs="Consolas" w:eastAsia="Consolas" w:hAnsi="Consolas"/>
          <w:color w:val="AA3377"/>
        </w:rPr>
        <w:t xml:space="preserve">REJECTED</w:t>
      </w:r>
      <w:r>
        <w:t xml:space="preserve"> and </w:t>
      </w:r>
      <w:r>
        <w:rPr>
          <w:rFonts w:ascii="Consolas" w:cs="Consolas" w:eastAsia="Consolas" w:hAnsi="Consolas"/>
          <w:color w:val="AA3377"/>
        </w:rPr>
        <w:t xml:space="preserve">CANCELLED</w:t>
      </w:r>
      <w:r>
        <w:t xml:space="preserve">, reachable from any non-terminal state.</w:t>
      </w:r>
    </w:p>
    <w:p>
      <w:pPr>
        <w:pStyle w:val="Heading2"/>
        <w:spacing w:after="120" w:before="260"/>
      </w:pPr>
      <w:r>
        <w:t xml:space="preserve">4.2 Activities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3300"/>
        <w:gridCol w:w="1900"/>
      </w:tblGrid>
      <w:tr>
        <w:trPr>
          <w:tblHeader/>
        </w:trPr>
        <w:tc>
          <w:tcPr>
            <w:tcW w:type="dxa" w:w="1700"/>
            <w:shd w:fill="2F5496" w:val="clear"/>
            <w:tcMar>
              <w:top w:type="dxa" w:w="80"/>
              <w:left w:type="dxa" w:w="100"/>
              <w:bottom w:type="dxa" w:w="80"/>
              <w:right w:type="dxa" w:w="100"/>
            </w:tcMar>
          </w:tcPr>
          <w:p>
            <w:r>
              <w:rPr>
                <w:b/>
                <w:bCs/>
                <w:color w:val="FFFFFF"/>
              </w:rPr>
              <w:t xml:space="preserve">Activity</w:t>
            </w:r>
          </w:p>
        </w:tc>
        <w:tc>
          <w:tcPr>
            <w:tcW w:type="dxa" w:w="2600"/>
            <w:shd w:fill="2F5496" w:val="clear"/>
            <w:tcMar>
              <w:top w:type="dxa" w:w="80"/>
              <w:left w:type="dxa" w:w="100"/>
              <w:bottom w:type="dxa" w:w="80"/>
              <w:right w:type="dxa" w:w="100"/>
            </w:tcMar>
          </w:tcPr>
          <w:p>
            <w:r>
              <w:rPr>
                <w:b/>
                <w:bCs/>
                <w:color w:val="FFFFFF"/>
              </w:rPr>
              <w:t xml:space="preserve">Purpose</w:t>
            </w:r>
          </w:p>
        </w:tc>
        <w:tc>
          <w:tcPr>
            <w:tcW w:type="dxa" w:w="3300"/>
            <w:shd w:fill="2F5496" w:val="clear"/>
            <w:tcMar>
              <w:top w:type="dxa" w:w="80"/>
              <w:left w:type="dxa" w:w="100"/>
              <w:bottom w:type="dxa" w:w="80"/>
              <w:right w:type="dxa" w:w="100"/>
            </w:tcMar>
          </w:tcPr>
          <w:p>
            <w:r>
              <w:rPr>
                <w:b/>
                <w:bCs/>
                <w:color w:val="FFFFFF"/>
              </w:rPr>
              <w:t xml:space="preserve">Idempotency strategy</w:t>
            </w:r>
          </w:p>
        </w:tc>
        <w:tc>
          <w:tcPr>
            <w:tcW w:type="dxa" w:w="1900"/>
            <w:shd w:fill="2F5496" w:val="clear"/>
            <w:tcMar>
              <w:top w:type="dxa" w:w="80"/>
              <w:left w:type="dxa" w:w="100"/>
              <w:bottom w:type="dxa" w:w="80"/>
              <w:right w:type="dxa" w:w="100"/>
            </w:tcMar>
          </w:tcPr>
          <w:p>
            <w:r>
              <w:rPr>
                <w:b/>
                <w:bCs/>
                <w:color w:val="FFFFFF"/>
              </w:rPr>
              <w:t xml:space="preserve">Retry policy</w:t>
            </w:r>
          </w:p>
        </w:tc>
      </w:tr>
      <w:tr>
        <w:tc>
          <w:tcPr>
            <w:tcW w:type="dxa" w:w="1700"/>
            <w:shd w:fill="FFFFFF" w:val="clear"/>
            <w:tcMar>
              <w:top w:type="dxa" w:w="80"/>
              <w:left w:type="dxa" w:w="100"/>
              <w:bottom w:type="dxa" w:w="80"/>
              <w:right w:type="dxa" w:w="100"/>
            </w:tcMar>
          </w:tcPr>
          <w:p>
            <w:r>
              <w:t xml:space="preserve">capture_order</w:t>
            </w:r>
          </w:p>
        </w:tc>
        <w:tc>
          <w:tcPr>
            <w:tcW w:type="dxa" w:w="2600"/>
            <w:shd w:fill="FFFFFF" w:val="clear"/>
            <w:tcMar>
              <w:top w:type="dxa" w:w="80"/>
              <w:left w:type="dxa" w:w="100"/>
              <w:bottom w:type="dxa" w:w="80"/>
              <w:right w:type="dxa" w:w="100"/>
            </w:tcMar>
          </w:tcPr>
          <w:p>
            <w:r>
              <w:t xml:space="preserve">Persist order intake, assign order ID</w:t>
            </w:r>
          </w:p>
        </w:tc>
        <w:tc>
          <w:tcPr>
            <w:tcW w:type="dxa" w:w="3300"/>
            <w:shd w:fill="FFFFFF" w:val="clear"/>
            <w:tcMar>
              <w:top w:type="dxa" w:w="80"/>
              <w:left w:type="dxa" w:w="100"/>
              <w:bottom w:type="dxa" w:w="80"/>
              <w:right w:type="dxa" w:w="100"/>
            </w:tcMar>
          </w:tcPr>
          <w:p>
            <w:r>
              <w:t xml:space="preserve">Order ID is deterministic (caller-supplied or workflow-derived); duplicate capture is a no-op</w:t>
            </w:r>
          </w:p>
        </w:tc>
        <w:tc>
          <w:tcPr>
            <w:tcW w:type="dxa" w:w="1900"/>
            <w:shd w:fill="FFFFFF" w:val="clear"/>
            <w:tcMar>
              <w:top w:type="dxa" w:w="80"/>
              <w:left w:type="dxa" w:w="100"/>
              <w:bottom w:type="dxa" w:w="80"/>
              <w:right w:type="dxa" w:w="100"/>
            </w:tcMar>
          </w:tcPr>
          <w:p>
            <w:r>
              <w:t xml:space="preserve">3 attempts, 1s→10s backoff</w:t>
            </w:r>
          </w:p>
        </w:tc>
      </w:tr>
      <w:tr>
        <w:tc>
          <w:tcPr>
            <w:tcW w:type="dxa" w:w="1700"/>
            <w:shd w:fill="F2F2F2" w:val="clear"/>
            <w:tcMar>
              <w:top w:type="dxa" w:w="80"/>
              <w:left w:type="dxa" w:w="100"/>
              <w:bottom w:type="dxa" w:w="80"/>
              <w:right w:type="dxa" w:w="100"/>
            </w:tcMar>
          </w:tcPr>
          <w:p>
            <w:r>
              <w:t xml:space="preserve">validate_order</w:t>
            </w:r>
          </w:p>
        </w:tc>
        <w:tc>
          <w:tcPr>
            <w:tcW w:type="dxa" w:w="2600"/>
            <w:shd w:fill="F2F2F2" w:val="clear"/>
            <w:tcMar>
              <w:top w:type="dxa" w:w="80"/>
              <w:left w:type="dxa" w:w="100"/>
              <w:bottom w:type="dxa" w:w="80"/>
              <w:right w:type="dxa" w:w="100"/>
            </w:tcMar>
          </w:tcPr>
          <w:p>
            <w:r>
              <w:t xml:space="preserve">Inventory check + payment authorization (not capture) + fraud score</w:t>
            </w:r>
          </w:p>
        </w:tc>
        <w:tc>
          <w:tcPr>
            <w:tcW w:type="dxa" w:w="3300"/>
            <w:shd w:fill="F2F2F2" w:val="clear"/>
            <w:tcMar>
              <w:top w:type="dxa" w:w="80"/>
              <w:left w:type="dxa" w:w="100"/>
              <w:bottom w:type="dxa" w:w="80"/>
              <w:right w:type="dxa" w:w="100"/>
            </w:tcMar>
          </w:tcPr>
          <w:p>
            <w:r>
              <w:t xml:space="preserve">Read-mostly / authorization is naturally idempotent per attempt token from Payment Gateway</w:t>
            </w:r>
          </w:p>
        </w:tc>
        <w:tc>
          <w:tcPr>
            <w:tcW w:type="dxa" w:w="1900"/>
            <w:shd w:fill="F2F2F2" w:val="clear"/>
            <w:tcMar>
              <w:top w:type="dxa" w:w="80"/>
              <w:left w:type="dxa" w:w="100"/>
              <w:bottom w:type="dxa" w:w="80"/>
              <w:right w:type="dxa" w:w="100"/>
            </w:tcMar>
          </w:tcPr>
          <w:p>
            <w:r>
              <w:t xml:space="preserve">3 attempts</w:t>
            </w:r>
          </w:p>
        </w:tc>
      </w:tr>
      <w:tr>
        <w:tc>
          <w:tcPr>
            <w:tcW w:type="dxa" w:w="1700"/>
            <w:shd w:fill="FFFFFF" w:val="clear"/>
            <w:tcMar>
              <w:top w:type="dxa" w:w="80"/>
              <w:left w:type="dxa" w:w="100"/>
              <w:bottom w:type="dxa" w:w="80"/>
              <w:right w:type="dxa" w:w="100"/>
            </w:tcMar>
          </w:tcPr>
          <w:p>
            <w:r>
              <w:t xml:space="preserve">provision_order</w:t>
            </w:r>
          </w:p>
        </w:tc>
        <w:tc>
          <w:tcPr>
            <w:tcW w:type="dxa" w:w="2600"/>
            <w:shd w:fill="FFFFFF" w:val="clear"/>
            <w:tcMar>
              <w:top w:type="dxa" w:w="80"/>
              <w:left w:type="dxa" w:w="100"/>
              <w:bottom w:type="dxa" w:w="80"/>
              <w:right w:type="dxa" w:w="100"/>
            </w:tcMar>
          </w:tcPr>
          <w:p>
            <w:r>
              <w:t xml:space="preserve">Reserve inventory, allocate warehouse, generate pick/pack</w:t>
            </w:r>
          </w:p>
        </w:tc>
        <w:tc>
          <w:tcPr>
            <w:tcW w:type="dxa" w:w="3300"/>
            <w:shd w:fill="FFFFFF" w:val="clear"/>
            <w:tcMar>
              <w:top w:type="dxa" w:w="80"/>
              <w:left w:type="dxa" w:w="100"/>
              <w:bottom w:type="dxa" w:w="80"/>
              <w:right w:type="dxa" w:w="100"/>
            </w:tcMar>
          </w:tcPr>
          <w:p>
            <w:r>
              <w:t xml:space="preserve">Reservation call includes order_id as idempotency key; WMS dedupes on it</w:t>
            </w:r>
          </w:p>
        </w:tc>
        <w:tc>
          <w:tcPr>
            <w:tcW w:type="dxa" w:w="1900"/>
            <w:shd w:fill="FFFFFF" w:val="clear"/>
            <w:tcMar>
              <w:top w:type="dxa" w:w="80"/>
              <w:left w:type="dxa" w:w="100"/>
              <w:bottom w:type="dxa" w:w="80"/>
              <w:right w:type="dxa" w:w="100"/>
            </w:tcMar>
          </w:tcPr>
          <w:p>
            <w:r>
              <w:t xml:space="preserve">5 attempts, exponential backoff, max 1m</w:t>
            </w:r>
          </w:p>
        </w:tc>
      </w:tr>
      <w:tr>
        <w:tc>
          <w:tcPr>
            <w:tcW w:type="dxa" w:w="1700"/>
            <w:shd w:fill="F2F2F2" w:val="clear"/>
            <w:tcMar>
              <w:top w:type="dxa" w:w="80"/>
              <w:left w:type="dxa" w:w="100"/>
              <w:bottom w:type="dxa" w:w="80"/>
              <w:right w:type="dxa" w:w="100"/>
            </w:tcMar>
          </w:tcPr>
          <w:p>
            <w:r>
              <w:t xml:space="preserve">compensate_provisioning</w:t>
            </w:r>
          </w:p>
        </w:tc>
        <w:tc>
          <w:tcPr>
            <w:tcW w:type="dxa" w:w="2600"/>
            <w:shd w:fill="F2F2F2" w:val="clear"/>
            <w:tcMar>
              <w:top w:type="dxa" w:w="80"/>
              <w:left w:type="dxa" w:w="100"/>
              <w:bottom w:type="dxa" w:w="80"/>
              <w:right w:type="dxa" w:w="100"/>
            </w:tcMar>
          </w:tcPr>
          <w:p>
            <w:r>
              <w:t xml:space="preserve">Release reserved inventory</w:t>
            </w:r>
          </w:p>
        </w:tc>
        <w:tc>
          <w:tcPr>
            <w:tcW w:type="dxa" w:w="3300"/>
            <w:shd w:fill="F2F2F2" w:val="clear"/>
            <w:tcMar>
              <w:top w:type="dxa" w:w="80"/>
              <w:left w:type="dxa" w:w="100"/>
              <w:bottom w:type="dxa" w:w="80"/>
              <w:right w:type="dxa" w:w="100"/>
            </w:tcMar>
          </w:tcPr>
          <w:p>
            <w:r>
              <w:t xml:space="preserve">Release call is itself idempotent (releasing an already-released reservation is a no-op)</w:t>
            </w:r>
          </w:p>
        </w:tc>
        <w:tc>
          <w:tcPr>
            <w:tcW w:type="dxa" w:w="1900"/>
            <w:shd w:fill="F2F2F2" w:val="clear"/>
            <w:tcMar>
              <w:top w:type="dxa" w:w="80"/>
              <w:left w:type="dxa" w:w="100"/>
              <w:bottom w:type="dxa" w:w="80"/>
              <w:right w:type="dxa" w:w="100"/>
            </w:tcMar>
          </w:tcPr>
          <w:p>
            <w:r>
              <w:t xml:space="preserve">5 attempts</w:t>
            </w:r>
          </w:p>
        </w:tc>
      </w:tr>
      <w:tr>
        <w:tc>
          <w:tcPr>
            <w:tcW w:type="dxa" w:w="1700"/>
            <w:shd w:fill="FFFFFF" w:val="clear"/>
            <w:tcMar>
              <w:top w:type="dxa" w:w="80"/>
              <w:left w:type="dxa" w:w="100"/>
              <w:bottom w:type="dxa" w:w="80"/>
              <w:right w:type="dxa" w:w="100"/>
            </w:tcMar>
          </w:tcPr>
          <w:p>
            <w:r>
              <w:t xml:space="preserve">dispatch_order</w:t>
            </w:r>
          </w:p>
        </w:tc>
        <w:tc>
          <w:tcPr>
            <w:tcW w:type="dxa" w:w="2600"/>
            <w:shd w:fill="FFFFFF" w:val="clear"/>
            <w:tcMar>
              <w:top w:type="dxa" w:w="80"/>
              <w:left w:type="dxa" w:w="100"/>
              <w:bottom w:type="dxa" w:w="80"/>
              <w:right w:type="dxa" w:w="100"/>
            </w:tcMar>
          </w:tcPr>
          <w:p>
            <w:r>
              <w:t xml:space="preserve">Select carrier, generate label, hand off package</w:t>
            </w:r>
          </w:p>
        </w:tc>
        <w:tc>
          <w:tcPr>
            <w:tcW w:type="dxa" w:w="3300"/>
            <w:shd w:fill="FFFFFF" w:val="clear"/>
            <w:tcMar>
              <w:top w:type="dxa" w:w="80"/>
              <w:left w:type="dxa" w:w="100"/>
              <w:bottom w:type="dxa" w:w="80"/>
              <w:right w:type="dxa" w:w="100"/>
            </w:tcMar>
          </w:tcPr>
          <w:p>
            <w:r>
              <w:t xml:space="preserve">Carrier API call includes generated idempotency key stored before the call (see §4.4)</w:t>
            </w:r>
          </w:p>
        </w:tc>
        <w:tc>
          <w:tcPr>
            <w:tcW w:type="dxa" w:w="1900"/>
            <w:shd w:fill="FFFFFF" w:val="clear"/>
            <w:tcMar>
              <w:top w:type="dxa" w:w="80"/>
              <w:left w:type="dxa" w:w="100"/>
              <w:bottom w:type="dxa" w:w="80"/>
              <w:right w:type="dxa" w:w="100"/>
            </w:tcMar>
          </w:tcPr>
          <w:p>
            <w:r>
              <w:t xml:space="preserve">5 attempts, exponential backoff, max 2m</w:t>
            </w:r>
          </w:p>
        </w:tc>
      </w:tr>
      <w:tr>
        <w:tc>
          <w:tcPr>
            <w:tcW w:type="dxa" w:w="1700"/>
            <w:shd w:fill="F2F2F2" w:val="clear"/>
            <w:tcMar>
              <w:top w:type="dxa" w:w="80"/>
              <w:left w:type="dxa" w:w="100"/>
              <w:bottom w:type="dxa" w:w="80"/>
              <w:right w:type="dxa" w:w="100"/>
            </w:tcMar>
          </w:tcPr>
          <w:p>
            <w:r>
              <w:t xml:space="preserve">compensate_dispatch</w:t>
            </w:r>
          </w:p>
        </w:tc>
        <w:tc>
          <w:tcPr>
            <w:tcW w:type="dxa" w:w="2600"/>
            <w:shd w:fill="F2F2F2" w:val="clear"/>
            <w:tcMar>
              <w:top w:type="dxa" w:w="80"/>
              <w:left w:type="dxa" w:w="100"/>
              <w:bottom w:type="dxa" w:w="80"/>
              <w:right w:type="dxa" w:w="100"/>
            </w:tcMar>
          </w:tcPr>
          <w:p>
            <w:r>
              <w:t xml:space="preserve">Trigger recall / return-to-sender</w:t>
            </w:r>
          </w:p>
        </w:tc>
        <w:tc>
          <w:tcPr>
            <w:tcW w:type="dxa" w:w="3300"/>
            <w:shd w:fill="F2F2F2" w:val="clear"/>
            <w:tcMar>
              <w:top w:type="dxa" w:w="80"/>
              <w:left w:type="dxa" w:w="100"/>
              <w:bottom w:type="dxa" w:w="80"/>
              <w:right w:type="dxa" w:w="100"/>
            </w:tcMar>
          </w:tcPr>
          <w:p>
            <w:r>
              <w:t xml:space="preserve">Idempotent by shipment tracking ID</w:t>
            </w:r>
          </w:p>
        </w:tc>
        <w:tc>
          <w:tcPr>
            <w:tcW w:type="dxa" w:w="1900"/>
            <w:shd w:fill="F2F2F2" w:val="clear"/>
            <w:tcMar>
              <w:top w:type="dxa" w:w="80"/>
              <w:left w:type="dxa" w:w="100"/>
              <w:bottom w:type="dxa" w:w="80"/>
              <w:right w:type="dxa" w:w="100"/>
            </w:tcMar>
          </w:tcPr>
          <w:p>
            <w:r>
              <w:t xml:space="preserve">5 attempts</w:t>
            </w:r>
          </w:p>
        </w:tc>
      </w:tr>
      <w:tr>
        <w:tc>
          <w:tcPr>
            <w:tcW w:type="dxa" w:w="1700"/>
            <w:shd w:fill="FFFFFF" w:val="clear"/>
            <w:tcMar>
              <w:top w:type="dxa" w:w="80"/>
              <w:left w:type="dxa" w:w="100"/>
              <w:bottom w:type="dxa" w:w="80"/>
              <w:right w:type="dxa" w:w="100"/>
            </w:tcMar>
          </w:tcPr>
          <w:p>
            <w:r>
              <w:t xml:space="preserve">complete_order</w:t>
            </w:r>
          </w:p>
        </w:tc>
        <w:tc>
          <w:tcPr>
            <w:tcW w:type="dxa" w:w="2600"/>
            <w:shd w:fill="FFFFFF" w:val="clear"/>
            <w:tcMar>
              <w:top w:type="dxa" w:w="80"/>
              <w:left w:type="dxa" w:w="100"/>
              <w:bottom w:type="dxa" w:w="80"/>
              <w:right w:type="dxa" w:w="100"/>
            </w:tcMar>
          </w:tcPr>
          <w:p>
            <w:r>
              <w:t xml:space="preserve">Confirm delivery, generate invoice, notify customer</w:t>
            </w:r>
          </w:p>
        </w:tc>
        <w:tc>
          <w:tcPr>
            <w:tcW w:type="dxa" w:w="3300"/>
            <w:shd w:fill="FFFFFF" w:val="clear"/>
            <w:tcMar>
              <w:top w:type="dxa" w:w="80"/>
              <w:left w:type="dxa" w:w="100"/>
              <w:bottom w:type="dxa" w:w="80"/>
              <w:right w:type="dxa" w:w="100"/>
            </w:tcMar>
          </w:tcPr>
          <w:p>
            <w:r>
              <w:t xml:space="preserve">Invoice generation uses order_id as the invoice idempotency key</w:t>
            </w:r>
          </w:p>
        </w:tc>
        <w:tc>
          <w:tcPr>
            <w:tcW w:type="dxa" w:w="1900"/>
            <w:shd w:fill="FFFFFF" w:val="clear"/>
            <w:tcMar>
              <w:top w:type="dxa" w:w="80"/>
              <w:left w:type="dxa" w:w="100"/>
              <w:bottom w:type="dxa" w:w="80"/>
              <w:right w:type="dxa" w:w="100"/>
            </w:tcMar>
          </w:tcPr>
          <w:p>
            <w:r>
              <w:t xml:space="preserve">3 attempts</w:t>
            </w:r>
          </w:p>
        </w:tc>
      </w:tr>
      <w:tr>
        <w:tc>
          <w:tcPr>
            <w:tcW w:type="dxa" w:w="1700"/>
            <w:shd w:fill="F2F2F2" w:val="clear"/>
            <w:tcMar>
              <w:top w:type="dxa" w:w="80"/>
              <w:left w:type="dxa" w:w="100"/>
              <w:bottom w:type="dxa" w:w="80"/>
              <w:right w:type="dxa" w:w="100"/>
            </w:tcMar>
          </w:tcPr>
          <w:p>
            <w:r>
              <w:t xml:space="preserve">reject_order / cancel_order_record</w:t>
            </w:r>
          </w:p>
        </w:tc>
        <w:tc>
          <w:tcPr>
            <w:tcW w:type="dxa" w:w="2600"/>
            <w:shd w:fill="F2F2F2" w:val="clear"/>
            <w:tcMar>
              <w:top w:type="dxa" w:w="80"/>
              <w:left w:type="dxa" w:w="100"/>
              <w:bottom w:type="dxa" w:w="80"/>
              <w:right w:type="dxa" w:w="100"/>
            </w:tcMar>
          </w:tcPr>
          <w:p>
            <w:r>
              <w:t xml:space="preserve">Persist terminal rejected/cancelled state + reason</w:t>
            </w:r>
          </w:p>
        </w:tc>
        <w:tc>
          <w:tcPr>
            <w:tcW w:type="dxa" w:w="3300"/>
            <w:shd w:fill="F2F2F2" w:val="clear"/>
            <w:tcMar>
              <w:top w:type="dxa" w:w="80"/>
              <w:left w:type="dxa" w:w="100"/>
              <w:bottom w:type="dxa" w:w="80"/>
              <w:right w:type="dxa" w:w="100"/>
            </w:tcMar>
          </w:tcPr>
          <w:p>
            <w:r>
              <w:t xml:space="preserve">Idempotent write</w:t>
            </w:r>
          </w:p>
        </w:tc>
        <w:tc>
          <w:tcPr>
            <w:tcW w:type="dxa" w:w="1900"/>
            <w:shd w:fill="F2F2F2" w:val="clear"/>
            <w:tcMar>
              <w:top w:type="dxa" w:w="80"/>
              <w:left w:type="dxa" w:w="100"/>
              <w:bottom w:type="dxa" w:w="80"/>
              <w:right w:type="dxa" w:w="100"/>
            </w:tcMar>
          </w:tcPr>
          <w:p>
            <w:r>
              <w:t xml:space="preserve">3 attempts</w:t>
            </w:r>
          </w:p>
        </w:tc>
      </w:tr>
    </w:tbl>
    <w:p>
      <w:pPr>
        <w:spacing w:after="200"/>
      </w:pPr>
    </w:p>
    <w:p>
      <w:pPr>
        <w:pStyle w:val="Heading2"/>
        <w:spacing w:after="120" w:before="260"/>
      </w:pPr>
      <w:r>
        <w:t xml:space="preserve">4.3 Saga / Compensation Logic</w:t>
      </w:r>
    </w:p>
    <w:p>
      <w:pPr>
        <w:pBdr>
          <w:top w:val="single" w:color="CCCCCC" w:sz="4" w:space="4"/>
          <w:bottom w:val="single" w:color="CCCCCC" w:sz="4" w:space="4"/>
          <w:left w:val="single" w:color="CCCCCC" w:sz="4" w:space="4"/>
          <w:right w:val="single" w:color="CCCCCC" w:sz="4" w:space="4"/>
        </w:pBdr>
        <w:shd w:fill="F5F5F5" w:val="clear"/>
        <w:spacing w:after="240" w:before="120"/>
      </w:pPr>
      <w:r>
        <w:rPr>
          <w:rFonts w:ascii="Consolas" w:cs="Consolas" w:eastAsia="Consolas" w:hAnsi="Consolas"/>
          <w:sz w:val="19"/>
          <w:szCs w:val="19"/>
        </w:rPr>
        <w:t xml:space="preserve">try:</w:t>
      </w:r>
      <w:r>
        <w:rPr>
          <w:rFonts w:ascii="Consolas" w:cs="Consolas" w:eastAsia="Consolas" w:hAnsi="Consolas"/>
          <w:sz w:val="19"/>
          <w:szCs w:val="19"/>
        </w:rPr>
        <w:br/>
        <w:t xml:space="preserve">    validate_order()</w:t>
      </w:r>
      <w:r>
        <w:rPr>
          <w:rFonts w:ascii="Consolas" w:cs="Consolas" w:eastAsia="Consolas" w:hAnsi="Consolas"/>
          <w:sz w:val="19"/>
          <w:szCs w:val="19"/>
        </w:rPr>
        <w:br/>
        <w:t xml:space="preserve">    provision_order()</w:t>
      </w:r>
      <w:r>
        <w:rPr>
          <w:rFonts w:ascii="Consolas" w:cs="Consolas" w:eastAsia="Consolas" w:hAnsi="Consolas"/>
          <w:sz w:val="19"/>
          <w:szCs w:val="19"/>
        </w:rPr>
        <w:br/>
        <w:t xml:space="preserve">    dispatch_order()</w:t>
      </w:r>
      <w:r>
        <w:rPr>
          <w:rFonts w:ascii="Consolas" w:cs="Consolas" w:eastAsia="Consolas" w:hAnsi="Consolas"/>
          <w:sz w:val="19"/>
          <w:szCs w:val="19"/>
        </w:rPr>
        <w:br/>
        <w:t xml:space="preserve">    complete_order()</w:t>
      </w:r>
      <w:r>
        <w:rPr>
          <w:rFonts w:ascii="Consolas" w:cs="Consolas" w:eastAsia="Consolas" w:hAnsi="Consolas"/>
          <w:sz w:val="19"/>
          <w:szCs w:val="19"/>
        </w:rPr>
        <w:br/>
        <w:t xml:space="preserve">except ActivityError as e:</w:t>
      </w:r>
      <w:r>
        <w:rPr>
          <w:rFonts w:ascii="Consolas" w:cs="Consolas" w:eastAsia="Consolas" w:hAnsi="Consolas"/>
          <w:sz w:val="19"/>
          <w:szCs w:val="19"/>
        </w:rPr>
        <w:br/>
        <w:t xml:space="preserve">    # Compensate only the steps that actually completed, in reverse order</w:t>
      </w:r>
      <w:r>
        <w:rPr>
          <w:rFonts w:ascii="Consolas" w:cs="Consolas" w:eastAsia="Consolas" w:hAnsi="Consolas"/>
          <w:sz w:val="19"/>
          <w:szCs w:val="19"/>
        </w:rPr>
        <w:br/>
        <w:t xml:space="preserve">    if dispatch_order.completed: compensate_dispatch()</w:t>
      </w:r>
      <w:r>
        <w:rPr>
          <w:rFonts w:ascii="Consolas" w:cs="Consolas" w:eastAsia="Consolas" w:hAnsi="Consolas"/>
          <w:sz w:val="19"/>
          <w:szCs w:val="19"/>
        </w:rPr>
        <w:br/>
        <w:t xml:space="preserve">    if provision_order.completed: compensate_provisioning()</w:t>
      </w:r>
      <w:r>
        <w:rPr>
          <w:rFonts w:ascii="Consolas" w:cs="Consolas" w:eastAsia="Consolas" w:hAnsi="Consolas"/>
          <w:sz w:val="19"/>
          <w:szCs w:val="19"/>
        </w:rPr>
        <w:br/>
        <w:t xml:space="preserve">    reject_order(reason=e)</w:t>
      </w:r>
    </w:p>
    <w:p>
      <w:pPr>
        <w:spacing w:after="160"/>
      </w:pPr>
      <w:r>
        <w:t xml:space="preserve">This is implemented explicitly in </w:t>
      </w:r>
      <w:r>
        <w:rPr>
          <w:rFonts w:ascii="Consolas" w:cs="Consolas" w:eastAsia="Consolas" w:hAnsi="Consolas"/>
          <w:color w:val="AA3377"/>
        </w:rPr>
        <w:t xml:space="preserve">src/workflows/order_workflow.py</w:t>
      </w:r>
      <w:r>
        <w:t xml:space="preserve"> using a simple "completed steps" stack rather than a generic saga framework, to keep the workflow auditable and easy to reason about for this use case.</w:t>
      </w:r>
    </w:p>
    <w:p>
      <w:pPr>
        <w:pStyle w:val="Heading2"/>
        <w:spacing w:after="120" w:before="260"/>
      </w:pPr>
      <w:r>
        <w:t xml:space="preserve">4.4 Idempotency Keys for Irreversible External Calls</w:t>
      </w:r>
    </w:p>
    <w:p>
      <w:pPr>
        <w:spacing w:after="160"/>
      </w:pPr>
      <w:r>
        <w:t xml:space="preserve">For </w:t>
      </w:r>
      <w:r>
        <w:rPr>
          <w:rFonts w:ascii="Consolas" w:cs="Consolas" w:eastAsia="Consolas" w:hAnsi="Consolas"/>
          <w:color w:val="AA3377"/>
        </w:rPr>
        <w:t xml:space="preserve">dispatch_order</w:t>
      </w:r>
      <w:r>
        <w:t xml:space="preserve"> specifically (charging the carrier account, generating a real shipping label), the workflow generates a </w:t>
      </w:r>
      <w:r>
        <w:rPr>
          <w:b/>
          <w:bCs/>
        </w:rPr>
        <w:t xml:space="preserve">deterministic idempotency key</w:t>
      </w:r>
      <w:r>
        <w:t xml:space="preserve"> using </w:t>
      </w:r>
      <w:r>
        <w:rPr>
          <w:rFonts w:ascii="Consolas" w:cs="Consolas" w:eastAsia="Consolas" w:hAnsi="Consolas"/>
          <w:color w:val="AA3377"/>
        </w:rPr>
        <w:t xml:space="preserve">workflow.uuid4()</w:t>
      </w:r>
      <w:r>
        <w:t xml:space="preserve"> (Temporal's deterministic UUID generator, safe to use inside workflow code and stable across replays) before invoking the activity, and passes it as an activity argument. This guarantees that even if the activity is retried after a partial network failure, the carrier API will recognize the duplicate request and return the original result rather than creating a second shipment.</w:t>
      </w:r>
    </w:p>
    <w:p>
      <w:pPr>
        <w:pStyle w:val="Heading2"/>
        <w:spacing w:after="120" w:before="260"/>
      </w:pPr>
      <w:r>
        <w:t xml:space="preserve">4.5 Signals &amp; Queries</w:t>
      </w:r>
    </w:p>
    <w:p>
      <w:pPr>
        <w:pStyle w:val="ListParagraph"/>
        <w:numPr>
          <w:ilvl w:val="0"/>
          <w:numId w:val="2"/>
        </w:numPr>
        <w:spacing w:after="80"/>
      </w:pPr>
      <w:r>
        <w:rPr>
          <w:b/>
          <w:bCs/>
        </w:rPr>
        <w:t xml:space="preserve">Signal</w:t>
      </w:r>
      <w:r>
        <w:t xml:space="preserve"> </w:t>
      </w:r>
      <w:r>
        <w:rPr>
          <w:rFonts w:ascii="Consolas" w:cs="Consolas" w:eastAsia="Consolas" w:hAnsi="Consolas"/>
          <w:color w:val="AA3377"/>
        </w:rPr>
        <w:t xml:space="preserve">cancel_order(reason: str)</w:t>
      </w:r>
      <w:r>
        <w:t xml:space="preserve"> — can be sent at any time before </w:t>
      </w:r>
      <w:r>
        <w:rPr>
          <w:rFonts w:ascii="Consolas" w:cs="Consolas" w:eastAsia="Consolas" w:hAnsi="Consolas"/>
          <w:color w:val="AA3377"/>
        </w:rPr>
        <w:t xml:space="preserve">COMPLETED</w:t>
      </w:r>
      <w:r>
        <w:t xml:space="preserve">. The workflow checks a cancellation flag between each step; if a cancellation is pending, it stops advancing and runs compensation instead of proceeding to the next stage.</w:t>
      </w:r>
    </w:p>
    <w:p>
      <w:pPr>
        <w:pStyle w:val="ListParagraph"/>
        <w:numPr>
          <w:ilvl w:val="0"/>
          <w:numId w:val="2"/>
        </w:numPr>
        <w:spacing w:after="80"/>
      </w:pPr>
      <w:r>
        <w:rPr>
          <w:b/>
          <w:bCs/>
        </w:rPr>
        <w:t xml:space="preserve">Query</w:t>
      </w:r>
      <w:r>
        <w:t xml:space="preserve"> </w:t>
      </w:r>
      <w:r>
        <w:rPr>
          <w:rFonts w:ascii="Consolas" w:cs="Consolas" w:eastAsia="Consolas" w:hAnsi="Consolas"/>
          <w:color w:val="AA3377"/>
        </w:rPr>
        <w:t xml:space="preserve">get_status() -&gt; OrderState</w:t>
      </w:r>
      <w:r>
        <w:t xml:space="preserve"> — returns the current </w:t>
      </w:r>
      <w:r>
        <w:rPr>
          <w:rFonts w:ascii="Consolas" w:cs="Consolas" w:eastAsia="Consolas" w:hAnsi="Consolas"/>
          <w:color w:val="AA3377"/>
        </w:rPr>
        <w:t xml:space="preserve">OrderStatus</w:t>
      </w:r>
      <w:r>
        <w:t xml:space="preserve"> enum value, timestamps for each transition, and the latest failure reason (if any). Safe to call at any time, including after workflow completion (Temporal retains queryable state for closed workflows within the retention window).</w:t>
      </w:r>
    </w:p>
    <w:p>
      <w:pPr>
        <w:pStyle w:val="Heading2"/>
        <w:spacing w:after="120" w:before="260"/>
      </w:pPr>
      <w:r>
        <w:t xml:space="preserve">4.6 Timeouts &amp; SLAs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900"/>
      </w:tblGrid>
      <w:tr>
        <w:trPr>
          <w:tblHeader/>
        </w:trPr>
        <w:tc>
          <w:tcPr>
            <w:tcW w:type="dxa" w:w="1800"/>
            <w:shd w:fill="2F5496" w:val="clear"/>
            <w:tcMar>
              <w:top w:type="dxa" w:w="80"/>
              <w:left w:type="dxa" w:w="100"/>
              <w:bottom w:type="dxa" w:w="80"/>
              <w:right w:type="dxa" w:w="100"/>
            </w:tcMar>
          </w:tcPr>
          <w:p>
            <w:r>
              <w:rPr>
                <w:b/>
                <w:bCs/>
                <w:color w:val="FFFFFF"/>
              </w:rPr>
              <w:t xml:space="preserve">Stage</w:t>
            </w:r>
          </w:p>
        </w:tc>
        <w:tc>
          <w:tcPr>
            <w:tcW w:type="dxa" w:w="2800"/>
            <w:shd w:fill="2F5496" w:val="clear"/>
            <w:tcMar>
              <w:top w:type="dxa" w:w="80"/>
              <w:left w:type="dxa" w:w="100"/>
              <w:bottom w:type="dxa" w:w="80"/>
              <w:right w:type="dxa" w:w="100"/>
            </w:tcMar>
          </w:tcPr>
          <w:p>
            <w:r>
              <w:rPr>
                <w:b/>
                <w:bCs/>
                <w:color w:val="FFFFFF"/>
              </w:rPr>
              <w:t xml:space="preserve">Activity StartToCloseTimeout</w:t>
            </w:r>
          </w:p>
        </w:tc>
        <w:tc>
          <w:tcPr>
            <w:tcW w:type="dxa" w:w="4900"/>
            <w:shd w:fill="2F5496" w:val="clear"/>
            <w:tcMar>
              <w:top w:type="dxa" w:w="80"/>
              <w:left w:type="dxa" w:w="100"/>
              <w:bottom w:type="dxa" w:w="80"/>
              <w:right w:type="dxa" w:w="100"/>
            </w:tcMar>
          </w:tcPr>
          <w:p>
            <w:r>
              <w:rPr>
                <w:b/>
                <w:bCs/>
                <w:color w:val="FFFFFF"/>
              </w:rPr>
              <w:t xml:space="preserve">Business SLA (alerting)</w:t>
            </w:r>
          </w:p>
        </w:tc>
      </w:tr>
      <w:tr>
        <w:tc>
          <w:tcPr>
            <w:tcW w:type="dxa" w:w="1800"/>
            <w:shd w:fill="FFFFFF" w:val="clear"/>
            <w:tcMar>
              <w:top w:type="dxa" w:w="80"/>
              <w:left w:type="dxa" w:w="100"/>
              <w:bottom w:type="dxa" w:w="80"/>
              <w:right w:type="dxa" w:w="100"/>
            </w:tcMar>
          </w:tcPr>
          <w:p>
            <w:r>
              <w:t xml:space="preserve">Validate</w:t>
            </w:r>
          </w:p>
        </w:tc>
        <w:tc>
          <w:tcPr>
            <w:tcW w:type="dxa" w:w="2800"/>
            <w:shd w:fill="FFFFFF" w:val="clear"/>
            <w:tcMar>
              <w:top w:type="dxa" w:w="80"/>
              <w:left w:type="dxa" w:w="100"/>
              <w:bottom w:type="dxa" w:w="80"/>
              <w:right w:type="dxa" w:w="100"/>
            </w:tcMar>
          </w:tcPr>
          <w:p>
            <w:r>
              <w:t xml:space="preserve">30s</w:t>
            </w:r>
          </w:p>
        </w:tc>
        <w:tc>
          <w:tcPr>
            <w:tcW w:type="dxa" w:w="4900"/>
            <w:shd w:fill="FFFFFF" w:val="clear"/>
            <w:tcMar>
              <w:top w:type="dxa" w:w="80"/>
              <w:left w:type="dxa" w:w="100"/>
              <w:bottom w:type="dxa" w:w="80"/>
              <w:right w:type="dxa" w:w="100"/>
            </w:tcMar>
          </w:tcPr>
          <w:p>
            <w:r>
              <w:t xml:space="preserve">2 min</w:t>
            </w:r>
          </w:p>
        </w:tc>
      </w:tr>
      <w:tr>
        <w:tc>
          <w:tcPr>
            <w:tcW w:type="dxa" w:w="1800"/>
            <w:shd w:fill="F2F2F2" w:val="clear"/>
            <w:tcMar>
              <w:top w:type="dxa" w:w="80"/>
              <w:left w:type="dxa" w:w="100"/>
              <w:bottom w:type="dxa" w:w="80"/>
              <w:right w:type="dxa" w:w="100"/>
            </w:tcMar>
          </w:tcPr>
          <w:p>
            <w:r>
              <w:t xml:space="preserve">Provision</w:t>
            </w:r>
          </w:p>
        </w:tc>
        <w:tc>
          <w:tcPr>
            <w:tcW w:type="dxa" w:w="2800"/>
            <w:shd w:fill="F2F2F2" w:val="clear"/>
            <w:tcMar>
              <w:top w:type="dxa" w:w="80"/>
              <w:left w:type="dxa" w:w="100"/>
              <w:bottom w:type="dxa" w:w="80"/>
              <w:right w:type="dxa" w:w="100"/>
            </w:tcMar>
          </w:tcPr>
          <w:p>
            <w:r>
              <w:t xml:space="preserve">60s</w:t>
            </w:r>
          </w:p>
        </w:tc>
        <w:tc>
          <w:tcPr>
            <w:tcW w:type="dxa" w:w="4900"/>
            <w:shd w:fill="F2F2F2" w:val="clear"/>
            <w:tcMar>
              <w:top w:type="dxa" w:w="80"/>
              <w:left w:type="dxa" w:w="100"/>
              <w:bottom w:type="dxa" w:w="80"/>
              <w:right w:type="dxa" w:w="100"/>
            </w:tcMar>
          </w:tcPr>
          <w:p>
            <w:r>
              <w:t xml:space="preserve">10 min</w:t>
            </w:r>
          </w:p>
        </w:tc>
      </w:tr>
      <w:tr>
        <w:tc>
          <w:tcPr>
            <w:tcW w:type="dxa" w:w="1800"/>
            <w:shd w:fill="FFFFFF" w:val="clear"/>
            <w:tcMar>
              <w:top w:type="dxa" w:w="80"/>
              <w:left w:type="dxa" w:w="100"/>
              <w:bottom w:type="dxa" w:w="80"/>
              <w:right w:type="dxa" w:w="100"/>
            </w:tcMar>
          </w:tcPr>
          <w:p>
            <w:r>
              <w:t xml:space="preserve">Dispatch</w:t>
            </w:r>
          </w:p>
        </w:tc>
        <w:tc>
          <w:tcPr>
            <w:tcW w:type="dxa" w:w="2800"/>
            <w:shd w:fill="FFFFFF" w:val="clear"/>
            <w:tcMar>
              <w:top w:type="dxa" w:w="80"/>
              <w:left w:type="dxa" w:w="100"/>
              <w:bottom w:type="dxa" w:w="80"/>
              <w:right w:type="dxa" w:w="100"/>
            </w:tcMar>
          </w:tcPr>
          <w:p>
            <w:r>
              <w:t xml:space="preserve">120s</w:t>
            </w:r>
          </w:p>
        </w:tc>
        <w:tc>
          <w:tcPr>
            <w:tcW w:type="dxa" w:w="4900"/>
            <w:shd w:fill="FFFFFF" w:val="clear"/>
            <w:tcMar>
              <w:top w:type="dxa" w:w="80"/>
              <w:left w:type="dxa" w:w="100"/>
              <w:bottom w:type="dxa" w:w="80"/>
              <w:right w:type="dxa" w:w="100"/>
            </w:tcMar>
          </w:tcPr>
          <w:p>
            <w:r>
              <w:t xml:space="preserve">4 hours</w:t>
            </w:r>
          </w:p>
        </w:tc>
      </w:tr>
      <w:tr>
        <w:tc>
          <w:tcPr>
            <w:tcW w:type="dxa" w:w="1800"/>
            <w:shd w:fill="F2F2F2" w:val="clear"/>
            <w:tcMar>
              <w:top w:type="dxa" w:w="80"/>
              <w:left w:type="dxa" w:w="100"/>
              <w:bottom w:type="dxa" w:w="80"/>
              <w:right w:type="dxa" w:w="100"/>
            </w:tcMar>
          </w:tcPr>
          <w:p>
            <w:r>
              <w:t xml:space="preserve">Complete</w:t>
            </w:r>
          </w:p>
        </w:tc>
        <w:tc>
          <w:tcPr>
            <w:tcW w:type="dxa" w:w="2800"/>
            <w:shd w:fill="F2F2F2" w:val="clear"/>
            <w:tcMar>
              <w:top w:type="dxa" w:w="80"/>
              <w:left w:type="dxa" w:w="100"/>
              <w:bottom w:type="dxa" w:w="80"/>
              <w:right w:type="dxa" w:w="100"/>
            </w:tcMar>
          </w:tcPr>
          <w:p>
            <w:r>
              <w:t xml:space="preserve">30s</w:t>
            </w:r>
          </w:p>
        </w:tc>
        <w:tc>
          <w:tcPr>
            <w:tcW w:type="dxa" w:w="4900"/>
            <w:shd w:fill="F2F2F2" w:val="clear"/>
            <w:tcMar>
              <w:top w:type="dxa" w:w="80"/>
              <w:left w:type="dxa" w:w="100"/>
              <w:bottom w:type="dxa" w:w="80"/>
              <w:right w:type="dxa" w:w="100"/>
            </w:tcMar>
          </w:tcPr>
          <w:p>
            <w:r>
              <w:t xml:space="preserve">24 hours (post-dispatch delivery window is out of workflow's active-wait scope; see §4.7)</w:t>
            </w:r>
          </w:p>
        </w:tc>
      </w:tr>
    </w:tbl>
    <w:p>
      <w:pPr>
        <w:spacing w:after="200"/>
      </w:pPr>
    </w:p>
    <w:p>
      <w:pPr>
        <w:pStyle w:val="Heading2"/>
        <w:spacing w:after="120" w:before="260"/>
      </w:pPr>
      <w:r>
        <w:t xml:space="preserve">4.7 Handling Delivery Wait Time</w:t>
      </w:r>
    </w:p>
    <w:p>
      <w:pPr>
        <w:spacing w:after="160"/>
      </w:pPr>
      <w:r>
        <w:t xml:space="preserve">Between </w:t>
      </w:r>
      <w:r>
        <w:rPr>
          <w:rFonts w:ascii="Consolas" w:cs="Consolas" w:eastAsia="Consolas" w:hAnsi="Consolas"/>
          <w:color w:val="AA3377"/>
        </w:rPr>
        <w:t xml:space="preserve">dispatch_order</w:t>
      </w:r>
      <w:r>
        <w:t xml:space="preserve"> and </w:t>
      </w:r>
      <w:r>
        <w:rPr>
          <w:rFonts w:ascii="Consolas" w:cs="Consolas" w:eastAsia="Consolas" w:hAnsi="Consolas"/>
          <w:color w:val="AA3377"/>
        </w:rPr>
        <w:t xml:space="preserve">complete_order</w:t>
      </w:r>
      <w:r>
        <w:t xml:space="preserve">, the workflow awaits an external </w:t>
      </w:r>
      <w:r>
        <w:rPr>
          <w:b/>
          <w:bCs/>
        </w:rPr>
        <w:t xml:space="preserve">Signal</w:t>
      </w:r>
      <w:r>
        <w:t xml:space="preserve"> (</w:t>
      </w:r>
      <w:r>
        <w:rPr>
          <w:rFonts w:ascii="Consolas" w:cs="Consolas" w:eastAsia="Consolas" w:hAnsi="Consolas"/>
          <w:color w:val="AA3377"/>
        </w:rPr>
        <w:t xml:space="preserve">delivery_confirmed</w:t>
      </w:r>
      <w:r>
        <w:t xml:space="preserve">) rather than polling, which can take hours to days. To avoid unbounded Workflow History growth during this wait, the workflow calls </w:t>
      </w:r>
      <w:r>
        <w:rPr>
          <w:rFonts w:ascii="Consolas" w:cs="Consolas" w:eastAsia="Consolas" w:hAnsi="Consolas"/>
          <w:color w:val="AA3377"/>
        </w:rPr>
        <w:t xml:space="preserve">workflow.continue_as_new()</w:t>
      </w:r>
      <w:r>
        <w:t xml:space="preserve"> after dispatch, carrying forward only the minimal state needed (order ID, dispatch result, timestamps) into a fresh run.</w:t>
      </w:r>
    </w:p>
    <w:p>
      <w:pPr>
        <w:pStyle w:val="Heading1"/>
        <w:spacing w:after="160" w:before="320"/>
      </w:pPr>
      <w:r>
        <w:t xml:space="preserve">5. Data Contracts</w:t>
      </w:r>
    </w:p>
    <w:p>
      <w:pPr>
        <w:spacing w:after="160"/>
      </w:pPr>
      <w:r>
        <w:t xml:space="preserve">Defined in </w:t>
      </w:r>
      <w:r>
        <w:rPr>
          <w:rFonts w:ascii="Consolas" w:cs="Consolas" w:eastAsia="Consolas" w:hAnsi="Consolas"/>
          <w:color w:val="AA3377"/>
        </w:rPr>
        <w:t xml:space="preserve">src/shared/types.py</w:t>
      </w:r>
      <w:r>
        <w:t xml:space="preserve">:</w:t>
      </w:r>
    </w:p>
    <w:p>
      <w:pPr>
        <w:pStyle w:val="ListParagraph"/>
        <w:numPr>
          <w:ilvl w:val="0"/>
          <w:numId w:val="2"/>
        </w:numPr>
        <w:spacing w:after="80"/>
      </w:pPr>
      <w:r>
        <w:rPr>
          <w:rFonts w:ascii="Consolas" w:cs="Consolas" w:eastAsia="Consolas" w:hAnsi="Consolas"/>
          <w:color w:val="AA3377"/>
        </w:rPr>
        <w:t xml:space="preserve">OrderRequest</w:t>
      </w:r>
      <w:r>
        <w:t xml:space="preserve"> — inbound capture payload (customer_id, line items, shipping address, payment token).</w:t>
      </w:r>
    </w:p>
    <w:p>
      <w:pPr>
        <w:pStyle w:val="ListParagraph"/>
        <w:numPr>
          <w:ilvl w:val="0"/>
          <w:numId w:val="2"/>
        </w:numPr>
        <w:spacing w:after="80"/>
      </w:pPr>
      <w:r>
        <w:rPr>
          <w:rFonts w:ascii="Consolas" w:cs="Consolas" w:eastAsia="Consolas" w:hAnsi="Consolas"/>
          <w:color w:val="AA3377"/>
        </w:rPr>
        <w:t xml:space="preserve">OrderState</w:t>
      </w:r>
      <w:r>
        <w:t xml:space="preserve"> — the queryable projection returned by </w:t>
      </w:r>
      <w:r>
        <w:rPr>
          <w:rFonts w:ascii="Consolas" w:cs="Consolas" w:eastAsia="Consolas" w:hAnsi="Consolas"/>
          <w:color w:val="AA3377"/>
        </w:rPr>
        <w:t xml:space="preserve">get_status()</w:t>
      </w:r>
      <w:r>
        <w:t xml:space="preserve">.</w:t>
      </w:r>
    </w:p>
    <w:p>
      <w:pPr>
        <w:pStyle w:val="ListParagraph"/>
        <w:numPr>
          <w:ilvl w:val="0"/>
          <w:numId w:val="2"/>
        </w:numPr>
        <w:spacing w:after="80"/>
      </w:pPr>
      <w:r>
        <w:rPr>
          <w:rFonts w:ascii="Consolas" w:cs="Consolas" w:eastAsia="Consolas" w:hAnsi="Consolas"/>
          <w:color w:val="AA3377"/>
        </w:rPr>
        <w:t xml:space="preserve">ValidationResult</w:t>
      </w:r>
      <w:r>
        <w:t xml:space="preserve">, </w:t>
      </w:r>
      <w:r>
        <w:rPr>
          <w:rFonts w:ascii="Consolas" w:cs="Consolas" w:eastAsia="Consolas" w:hAnsi="Consolas"/>
          <w:color w:val="AA3377"/>
        </w:rPr>
        <w:t xml:space="preserve">ProvisioningResult</w:t>
      </w:r>
      <w:r>
        <w:t xml:space="preserve">, </w:t>
      </w:r>
      <w:r>
        <w:rPr>
          <w:rFonts w:ascii="Consolas" w:cs="Consolas" w:eastAsia="Consolas" w:hAnsi="Consolas"/>
          <w:color w:val="AA3377"/>
        </w:rPr>
        <w:t xml:space="preserve">DispatchResult</w:t>
      </w:r>
      <w:r>
        <w:t xml:space="preserve">, </w:t>
      </w:r>
      <w:r>
        <w:rPr>
          <w:rFonts w:ascii="Consolas" w:cs="Consolas" w:eastAsia="Consolas" w:hAnsi="Consolas"/>
          <w:color w:val="AA3377"/>
        </w:rPr>
        <w:t xml:space="preserve">CompletionResult</w:t>
      </w:r>
      <w:r>
        <w:t xml:space="preserve"> — per-activity outputs, all included in workflow history for audit purposes.</w:t>
      </w:r>
    </w:p>
    <w:p>
      <w:pPr>
        <w:pStyle w:val="ListParagraph"/>
        <w:numPr>
          <w:ilvl w:val="0"/>
          <w:numId w:val="2"/>
        </w:numPr>
        <w:spacing w:after="80"/>
      </w:pPr>
      <w:r>
        <w:rPr>
          <w:rFonts w:ascii="Consolas" w:cs="Consolas" w:eastAsia="Consolas" w:hAnsi="Consolas"/>
          <w:color w:val="AA3377"/>
        </w:rPr>
        <w:t xml:space="preserve">OrderStatus</w:t>
      </w:r>
      <w:r>
        <w:t xml:space="preserve"> — enum mirroring the state machine in §4.1.</w:t>
      </w:r>
    </w:p>
    <w:p>
      <w:pPr>
        <w:pStyle w:val="Heading1"/>
        <w:spacing w:after="160" w:before="320"/>
      </w:pPr>
      <w:r>
        <w:t xml:space="preserve">6. Observability</w:t>
      </w:r>
    </w:p>
    <w:p>
      <w:pPr>
        <w:pStyle w:val="ListParagraph"/>
        <w:numPr>
          <w:ilvl w:val="0"/>
          <w:numId w:val="2"/>
        </w:numPr>
        <w:spacing w:after="80"/>
      </w:pPr>
      <w:r>
        <w:t xml:space="preserve">Every activity emits structured logs tagged with </w:t>
      </w:r>
      <w:r>
        <w:rPr>
          <w:rFonts w:ascii="Consolas" w:cs="Consolas" w:eastAsia="Consolas" w:hAnsi="Consolas"/>
          <w:color w:val="AA3377"/>
        </w:rPr>
        <w:t xml:space="preserve">order_id</w:t>
      </w:r>
      <w:r>
        <w:t xml:space="preserve">, </w:t>
      </w:r>
      <w:r>
        <w:rPr>
          <w:rFonts w:ascii="Consolas" w:cs="Consolas" w:eastAsia="Consolas" w:hAnsi="Consolas"/>
          <w:color w:val="AA3377"/>
        </w:rPr>
        <w:t xml:space="preserve">workflow_id</w:t>
      </w:r>
      <w:r>
        <w:t xml:space="preserve">, </w:t>
      </w:r>
      <w:r>
        <w:rPr>
          <w:rFonts w:ascii="Consolas" w:cs="Consolas" w:eastAsia="Consolas" w:hAnsi="Consolas"/>
          <w:color w:val="AA3377"/>
        </w:rPr>
        <w:t xml:space="preserve">run_id</w:t>
      </w:r>
      <w:r>
        <w:t xml:space="preserve">.</w:t>
      </w:r>
    </w:p>
    <w:p>
      <w:pPr>
        <w:pStyle w:val="ListParagraph"/>
        <w:numPr>
          <w:ilvl w:val="0"/>
          <w:numId w:val="2"/>
        </w:numPr>
        <w:spacing w:after="80"/>
      </w:pPr>
      <w:r>
        <w:t xml:space="preserve">Temporal Web UI / </w:t>
      </w:r>
      <w:r>
        <w:rPr>
          <w:rFonts w:ascii="Consolas" w:cs="Consolas" w:eastAsia="Consolas" w:hAnsi="Consolas"/>
          <w:color w:val="AA3377"/>
        </w:rPr>
        <w:t xml:space="preserve">tctl</w:t>
      </w:r>
      <w:r>
        <w:t xml:space="preserve">/</w:t>
      </w:r>
      <w:r>
        <w:rPr>
          <w:rFonts w:ascii="Consolas" w:cs="Consolas" w:eastAsia="Consolas" w:hAnsi="Consolas"/>
          <w:color w:val="AA3377"/>
        </w:rPr>
        <w:t xml:space="preserve">temporal</w:t>
      </w:r>
      <w:r>
        <w:t xml:space="preserve"> CLI provide out-of-the-box execution history browsing — this </w:t>
      </w:r>
      <w:r>
        <w:rPr>
          <w:b/>
          <w:bCs/>
        </w:rPr>
        <w:t xml:space="preserve">is</w:t>
      </w:r>
      <w:r>
        <w:t xml:space="preserve"> the audit trail (BR-10).</w:t>
      </w:r>
    </w:p>
    <w:p>
      <w:pPr>
        <w:pStyle w:val="ListParagraph"/>
        <w:numPr>
          <w:ilvl w:val="0"/>
          <w:numId w:val="2"/>
        </w:numPr>
        <w:spacing w:after="80"/>
      </w:pPr>
      <w:r>
        <w:t xml:space="preserve">SLA-breach alerting (BR-12) is implemented via a separate scheduled Temporal Workflow (</w:t>
      </w:r>
      <w:r>
        <w:rPr>
          <w:rFonts w:ascii="Consolas" w:cs="Consolas" w:eastAsia="Consolas" w:hAnsi="Consolas"/>
          <w:color w:val="AA3377"/>
        </w:rPr>
        <w:t xml:space="preserve">SlaMonitorWorkflow</w:t>
      </w:r>
      <w:r>
        <w:t xml:space="preserve">, not shown in this reference) that queries long-running order workflows and pages Operations if a stage exceeds its business SLA in §4.6.</w:t>
      </w:r>
    </w:p>
    <w:p>
      <w:pPr>
        <w:pStyle w:val="Heading1"/>
        <w:spacing w:after="160" w:before="320"/>
      </w:pPr>
      <w:r>
        <w:t xml:space="preserve">7. Testing Strategy</w:t>
      </w:r>
    </w:p>
    <w:p>
      <w:pPr>
        <w:spacing w:after="160"/>
      </w:pPr>
      <w:r>
        <w:t xml:space="preserve">See </w:t>
      </w:r>
      <w:r>
        <w:rPr>
          <w:rFonts w:ascii="Consolas" w:cs="Consolas" w:eastAsia="Consolas" w:hAnsi="Consolas"/>
          <w:color w:val="AA3377"/>
        </w:rPr>
        <w:t xml:space="preserve">docs/test-cases/TC-order-workflow.xlsx</w:t>
      </w:r>
      <w:r>
        <w:t xml:space="preserve">, </w:t>
      </w:r>
      <w:r>
        <w:rPr>
          <w:rFonts w:ascii="Consolas" w:cs="Consolas" w:eastAsia="Consolas" w:hAnsi="Consolas"/>
          <w:color w:val="AA3377"/>
        </w:rPr>
        <w:t xml:space="preserve">docs/test-cases/TP-order-workflow-test-plan.docx</w:t>
      </w:r>
      <w:r>
        <w:t xml:space="preserve">, and </w:t>
      </w:r>
      <w:r>
        <w:rPr>
          <w:rFonts w:ascii="Consolas" w:cs="Consolas" w:eastAsia="Consolas" w:hAnsi="Consolas"/>
          <w:color w:val="AA3377"/>
        </w:rPr>
        <w:t xml:space="preserve">tests/test_order_workflow.py</w:t>
      </w:r>
      <w:r>
        <w:t xml:space="preserve">. We use </w:t>
      </w:r>
      <w:r>
        <w:rPr>
          <w:rFonts w:ascii="Consolas" w:cs="Consolas" w:eastAsia="Consolas" w:hAnsi="Consolas"/>
          <w:color w:val="AA3377"/>
        </w:rPr>
        <w:t xml:space="preserve">temporalio.testing.WorkflowEnvironment</w:t>
      </w:r>
      <w:r>
        <w:t xml:space="preserve"> with </w:t>
      </w:r>
      <w:r>
        <w:rPr>
          <w:b/>
          <w:bCs/>
        </w:rPr>
        <w:t xml:space="preserve">time-skipping</w:t>
      </w:r>
      <w:r>
        <w:t xml:space="preserve"> so that hours-long SLA/timeout scenarios run in milliseconds in CI, and mock Activities to deterministically exercise both the happy path and every compensation branch.</w:t>
      </w:r>
    </w:p>
    <w:p>
      <w:pPr>
        <w:pStyle w:val="Heading1"/>
        <w:spacing w:after="160" w:before="320"/>
      </w:pPr>
      <w:r>
        <w:t xml:space="preserve">8. Open Items / Future Work</w:t>
      </w:r>
    </w:p>
    <w:p>
      <w:pPr>
        <w:pStyle w:val="ListParagraph"/>
        <w:numPr>
          <w:ilvl w:val="0"/>
          <w:numId w:val="2"/>
        </w:numPr>
        <w:spacing w:after="80"/>
      </w:pPr>
      <w:r>
        <w:t xml:space="preserve">Partial shipment support — see </w:t>
      </w:r>
      <w:r>
        <w:rPr>
          <w:rFonts w:ascii="Consolas" w:cs="Consolas" w:eastAsia="Consolas" w:hAnsi="Consolas"/>
          <w:color w:val="AA3377"/>
        </w:rPr>
        <w:t xml:space="preserve">business-change/BCR-001-partial-shipment-support.docx</w:t>
      </w:r>
      <w:r>
        <w:t xml:space="preserve">.</w:t>
      </w:r>
    </w:p>
    <w:p>
      <w:pPr>
        <w:pStyle w:val="ListParagraph"/>
        <w:numPr>
          <w:ilvl w:val="0"/>
          <w:numId w:val="2"/>
        </w:numPr>
        <w:spacing w:after="80"/>
      </w:pPr>
      <w:r>
        <w:t xml:space="preserve">Multi-warehouse split allocation.</w:t>
      </w:r>
    </w:p>
    <w:p>
      <w:pPr>
        <w:pStyle w:val="ListParagraph"/>
        <w:numPr>
          <w:ilvl w:val="0"/>
          <w:numId w:val="2"/>
        </w:numPr>
        <w:spacing w:after="80"/>
      </w:pPr>
      <w:r>
        <w:t xml:space="preserve">Formal </w:t>
      </w:r>
      <w:r>
        <w:rPr>
          <w:rFonts w:ascii="Consolas" w:cs="Consolas" w:eastAsia="Consolas" w:hAnsi="Consolas"/>
          <w:color w:val="AA3377"/>
        </w:rPr>
        <w:t xml:space="preserve">SlaMonitorWorkflow</w:t>
      </w:r>
      <w:r>
        <w:t xml:space="preserve"> implementation (currently a design placeholder).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2026-08-16T16:55:31.146Z</dcterms:created>
  <dcterms:modified xsi:type="dcterms:W3CDTF">2026-08-16T16:55:31.146Z</dcterms:modified>
</cp:coreProperties>
</file>

<file path=docProps/custom.xml><?xml version="1.0" encoding="utf-8"?>
<Properties xmlns="http://schemas.openxmlformats.org/officeDocument/2006/custom-properties" xmlns:vt="http://schemas.openxmlformats.org/officeDocument/2006/docPropsVTypes"/>
</file>