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2F5496"/>
          <w:sz w:val="44"/>
          <w:szCs w:val="44"/>
        </w:rPr>
        <w:t xml:space="preserve">US-004: Dispatch Order</w:t>
      </w:r>
    </w:p>
    <w:p>
      <w:pPr>
        <w:pBdr>
          <w:bottom w:val="single" w:color="AAAAAA" w:sz="6" w:space="1"/>
        </w:pBdr>
        <w:spacing w:after="240"/>
      </w:pPr>
    </w:p>
    <w:p>
      <w:pPr>
        <w:spacing w:after="60"/>
      </w:pPr>
      <w:r>
        <w:rPr>
          <w:b/>
          <w:bCs/>
        </w:rPr>
        <w:t xml:space="preserve">Epic: </w:t>
      </w:r>
      <w:r>
        <w:t xml:space="preserve">EPIC-001 — Order Lifecycle Management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Done</w:t>
      </w:r>
    </w:p>
    <w:p>
      <w:pPr>
        <w:spacing w:after="60"/>
      </w:pPr>
      <w:r>
        <w:rPr>
          <w:b/>
          <w:bCs/>
        </w:rPr>
        <w:t xml:space="preserve">Story Points: </w:t>
      </w:r>
      <w:r>
        <w:t xml:space="preserve">8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  <w:spacing w:after="120" w:before="260"/>
      </w:pPr>
      <w:r>
        <w:t xml:space="preserve">Story</w:t>
      </w:r>
    </w:p>
    <w:p>
      <w:pPr>
        <w:spacing w:after="160"/>
      </w:pPr>
      <w:r>
        <w:t xml:space="preserve">As </w:t>
      </w:r>
      <w:r>
        <w:rPr>
          <w:b/>
          <w:bCs/>
        </w:rPr>
        <w:t xml:space="preserve">the order workflow</w:t>
      </w:r>
      <w:r>
        <w:t xml:space="preserve">,</w:t>
      </w:r>
    </w:p>
    <w:p>
      <w:pPr>
        <w:spacing w:after="160"/>
      </w:pPr>
      <w:r>
        <w:t xml:space="preserve">I want to </w:t>
      </w:r>
      <w:r>
        <w:rPr>
          <w:b/>
          <w:bCs/>
        </w:rPr>
        <w:t xml:space="preserve">select a carrier, generate a shipping label, and hand the package off for delivery exactly once</w:t>
      </w:r>
      <w:r>
        <w:t xml:space="preserve">,</w:t>
      </w:r>
    </w:p>
    <w:p>
      <w:pPr>
        <w:spacing w:after="160"/>
      </w:pPr>
      <w:r>
        <w:t xml:space="preserve">so that </w:t>
      </w:r>
      <w:r>
        <w:rPr>
          <w:b/>
          <w:bCs/>
        </w:rPr>
        <w:t xml:space="preserve">the customer never receives duplicate shipments even if the carrier API call is retried</w:t>
      </w:r>
      <w:r>
        <w:t xml:space="preserve">.</w:t>
      </w:r>
    </w:p>
    <w:p>
      <w:pPr>
        <w:pStyle w:val="Heading2"/>
        <w:spacing w:after="120" w:before="260"/>
      </w:pPr>
      <w:r>
        <w:t xml:space="preserve">Acceptance Criteria</w:t>
      </w:r>
    </w:p>
    <w:p>
      <w:pPr>
        <w:spacing w:after="80"/>
        <w:ind w:left="360"/>
      </w:pPr>
      <w:r>
        <w:t xml:space="preserve">☐  </w:t>
      </w:r>
      <w:r>
        <w:t xml:space="preserve">Given provisioning succeeded, a carrier is selected and a shipment (label + tracking number) is created; the order transitions to </w:t>
      </w:r>
      <w:r>
        <w:rPr>
          <w:rFonts w:ascii="Consolas" w:cs="Consolas" w:eastAsia="Consolas" w:hAnsi="Consolas"/>
          <w:color w:val="AA3377"/>
        </w:rPr>
        <w:t xml:space="preserve">DISPATCHED</w:t>
      </w:r>
      <w:r>
        <w:t xml:space="preserve">.</w:t>
      </w:r>
    </w:p>
    <w:p>
      <w:pPr>
        <w:spacing w:after="80"/>
        <w:ind w:left="360"/>
      </w:pPr>
      <w:r>
        <w:t xml:space="preserve">☐  </w:t>
      </w:r>
      <w:r>
        <w:t xml:space="preserve">Given the dispatch call is retried after a transient carrier API failure, a deterministic idempotency key (generated once, before the first attempt, using Temporal's replay-safe UUID generator) ensures the carrier returns the original shipment rather than creating a new one.</w:t>
      </w:r>
    </w:p>
    <w:p>
      <w:pPr>
        <w:spacing w:after="80"/>
        <w:ind w:left="360"/>
      </w:pPr>
      <w:r>
        <w:t xml:space="preserve">☐  </w:t>
      </w:r>
      <w:r>
        <w:t xml:space="preserve">Given dispatch fails permanently after exhausting retries, </w:t>
      </w:r>
      <w:r>
        <w:rPr>
          <w:rFonts w:ascii="Consolas" w:cs="Consolas" w:eastAsia="Consolas" w:hAnsi="Consolas"/>
          <w:color w:val="AA3377"/>
        </w:rPr>
        <w:t xml:space="preserve">compensate_provisioning</w:t>
      </w:r>
      <w:r>
        <w:t xml:space="preserve"> releases the inventory reservation and the order transitions to </w:t>
      </w:r>
      <w:r>
        <w:rPr>
          <w:rFonts w:ascii="Consolas" w:cs="Consolas" w:eastAsia="Consolas" w:hAnsi="Consolas"/>
          <w:color w:val="AA3377"/>
        </w:rPr>
        <w:t xml:space="preserve">REJECTED</w:t>
      </w:r>
      <w:r>
        <w:t xml:space="preserve"> with reason </w:t>
      </w:r>
      <w:r>
        <w:rPr>
          <w:rFonts w:ascii="Consolas" w:cs="Consolas" w:eastAsia="Consolas" w:hAnsi="Consolas"/>
          <w:color w:val="AA3377"/>
        </w:rPr>
        <w:t xml:space="preserve">DISPATCH_FAILED</w:t>
      </w:r>
      <w:r>
        <w:t xml:space="preserve">.</w:t>
      </w:r>
    </w:p>
    <w:p>
      <w:pPr>
        <w:spacing w:after="80"/>
        <w:ind w:left="360"/>
      </w:pPr>
      <w:r>
        <w:t xml:space="preserve">☐  </w:t>
      </w:r>
      <w:r>
        <w:t xml:space="preserve">Given the order is cancelled after dispatch, </w:t>
      </w:r>
      <w:r>
        <w:rPr>
          <w:rFonts w:ascii="Consolas" w:cs="Consolas" w:eastAsia="Consolas" w:hAnsi="Consolas"/>
          <w:color w:val="AA3377"/>
        </w:rPr>
        <w:t xml:space="preserve">compensate_dispatch</w:t>
      </w:r>
      <w:r>
        <w:t xml:space="preserve"> triggers a recall/return-to-sender flow before </w:t>
      </w:r>
      <w:r>
        <w:rPr>
          <w:rFonts w:ascii="Consolas" w:cs="Consolas" w:eastAsia="Consolas" w:hAnsi="Consolas"/>
          <w:color w:val="AA3377"/>
        </w:rPr>
        <w:t xml:space="preserve">compensate_provisioning</w:t>
      </w:r>
      <w:r>
        <w:t xml:space="preserve"> runs.</w:t>
      </w:r>
    </w:p>
    <w:p>
      <w:pPr>
        <w:pStyle w:val="Heading2"/>
        <w:spacing w:after="120" w:before="260"/>
      </w:pPr>
      <w:r>
        <w:t xml:space="preserve">Notes</w:t>
      </w:r>
    </w:p>
    <w:p>
      <w:pPr>
        <w:spacing w:after="160"/>
      </w:pPr>
      <w:r>
        <w:t xml:space="preserve">Implements BR-05, BR-11. See TDD §4.2/§4.4 and TC-06/TC-07/TC-10 for test coverage. This is the highest-risk stage because it has real-world, hard-to-reverse side effects — hence the deterministic idempotency key design.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2026-08-16T15:55:46.002Z</dcterms:created>
  <dcterms:modified xsi:type="dcterms:W3CDTF">2026-08-16T15:55:46.002Z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