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1" w:type="dxa"/>
        <w:tblInd w:w="-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7"/>
        <w:gridCol w:w="2338"/>
      </w:tblGrid>
      <w:tr w:rsidR="008940DA" w:rsidRPr="00964454" w:rsidTr="00964454">
        <w:trPr>
          <w:cantSplit/>
          <w:trHeight w:val="2253"/>
        </w:trPr>
        <w:tc>
          <w:tcPr>
            <w:tcW w:w="23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940DA" w:rsidRPr="00964454" w:rsidRDefault="00964454" w:rsidP="00964454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 w:rsidRPr="00964454">
              <w:rPr>
                <w:rFonts w:ascii="Arial" w:hAnsi="Arial" w:cs="Arial"/>
                <w:b/>
                <w:noProof/>
                <w:szCs w:val="22"/>
                <w:lang w:val="id-ID" w:eastAsia="ja-JP" w:bidi="ar-SA"/>
              </w:rPr>
              <w:drawing>
                <wp:inline distT="0" distB="0" distL="0" distR="0" wp14:anchorId="74BC24BB" wp14:editId="70DA07DA">
                  <wp:extent cx="1262638" cy="162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638" cy="16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940DA" w:rsidRPr="00964454" w:rsidRDefault="008940DA" w:rsidP="00964454">
            <w:pPr>
              <w:spacing w:after="0"/>
              <w:rPr>
                <w:rFonts w:ascii="Arial" w:hAnsi="Arial" w:cs="Arial"/>
                <w:szCs w:val="22"/>
              </w:rPr>
            </w:pPr>
          </w:p>
          <w:p w:rsidR="008940DA" w:rsidRPr="00964454" w:rsidRDefault="008940DA" w:rsidP="0096445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</w:pP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PEDOMAN STANDAR PENGENDALIAN PENYEBARAN</w:t>
            </w: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val="id-ID" w:bidi="ar-SA"/>
              </w:rPr>
              <w:t xml:space="preserve"> </w:t>
            </w: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VHB, VHC DAN HIV DI RUANG HEMODIALISA</w:t>
            </w:r>
          </w:p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</w:tr>
      <w:tr w:rsidR="008940DA" w:rsidRPr="00964454" w:rsidTr="00964454">
        <w:trPr>
          <w:cantSplit/>
          <w:trHeight w:val="1929"/>
        </w:trPr>
        <w:tc>
          <w:tcPr>
            <w:tcW w:w="23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940DA" w:rsidRPr="00964454" w:rsidRDefault="008940DA" w:rsidP="00964454">
            <w:pPr>
              <w:jc w:val="both"/>
              <w:rPr>
                <w:rFonts w:ascii="Arial" w:hAnsi="Arial" w:cs="Arial"/>
                <w:b/>
                <w:szCs w:val="22"/>
                <w:lang w:val="fi-FI"/>
              </w:rPr>
            </w:pP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964454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964454" w:rsidRPr="00964454" w:rsidRDefault="00964454" w:rsidP="0096445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Pr="00964454" w:rsidRDefault="00964454" w:rsidP="00964454">
            <w:pPr>
              <w:spacing w:after="0"/>
              <w:ind w:left="370" w:firstLine="283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964454">
              <w:rPr>
                <w:rFonts w:ascii="Arial" w:hAnsi="Arial" w:cs="Arial"/>
                <w:szCs w:val="22"/>
              </w:rPr>
              <w:t>No.</w:t>
            </w:r>
            <w:r w:rsidR="00B97DBB" w:rsidRPr="00964454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964454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8940DA" w:rsidRPr="00964454" w:rsidRDefault="008940DA" w:rsidP="00964454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A965F2" w:rsidP="0096445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964454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964454">
              <w:rPr>
                <w:rFonts w:ascii="Arial" w:hAnsi="Arial" w:cs="Arial"/>
                <w:szCs w:val="22"/>
              </w:rPr>
              <w:t xml:space="preserve"> : </w:t>
            </w:r>
          </w:p>
          <w:p w:rsidR="00964454" w:rsidRDefault="00964454" w:rsidP="0096445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8940DA" w:rsidRPr="00CF1018" w:rsidRDefault="00A965F2" w:rsidP="0096445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</w:rPr>
              <w:t>1</w:t>
            </w:r>
            <w:r w:rsidR="00CF1018">
              <w:rPr>
                <w:rFonts w:ascii="Arial" w:hAnsi="Arial" w:cs="Arial"/>
                <w:szCs w:val="22"/>
              </w:rPr>
              <w:t>/</w:t>
            </w:r>
            <w:r w:rsidR="00CF1018">
              <w:rPr>
                <w:rFonts w:ascii="Arial" w:hAnsi="Arial" w:cs="Arial"/>
                <w:szCs w:val="22"/>
                <w:lang w:val="id-ID"/>
              </w:rPr>
              <w:t>6</w:t>
            </w:r>
          </w:p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8940DA" w:rsidRPr="00964454" w:rsidTr="00822A4F">
        <w:trPr>
          <w:trHeight w:val="2418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940DA" w:rsidRPr="00964454" w:rsidRDefault="008940DA" w:rsidP="00964454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64454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8940DA" w:rsidRPr="00964454" w:rsidRDefault="008940DA" w:rsidP="00964454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64454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8940DA" w:rsidRPr="00964454" w:rsidRDefault="008940DA" w:rsidP="00964454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64454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940DA" w:rsidRPr="00964454" w:rsidRDefault="008940DA" w:rsidP="00964454">
            <w:pPr>
              <w:jc w:val="center"/>
              <w:rPr>
                <w:rFonts w:ascii="Arial" w:hAnsi="Arial" w:cs="Arial"/>
                <w:szCs w:val="22"/>
              </w:rPr>
            </w:pPr>
          </w:p>
          <w:p w:rsidR="008940DA" w:rsidRPr="00964454" w:rsidRDefault="008940DA" w:rsidP="00964454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964454">
              <w:rPr>
                <w:rFonts w:ascii="Arial" w:hAnsi="Arial" w:cs="Arial"/>
                <w:szCs w:val="22"/>
              </w:rPr>
              <w:t>TanggalTerbit</w:t>
            </w:r>
            <w:proofErr w:type="spellEnd"/>
            <w:r w:rsidRPr="00964454">
              <w:rPr>
                <w:rFonts w:ascii="Arial" w:hAnsi="Arial" w:cs="Arial"/>
                <w:szCs w:val="22"/>
                <w:lang w:val="id-ID"/>
              </w:rPr>
              <w:t>,</w:t>
            </w:r>
          </w:p>
          <w:p w:rsidR="008940DA" w:rsidRPr="00964454" w:rsidRDefault="00964454" w:rsidP="00964454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Januari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201</w:t>
            </w:r>
            <w:r>
              <w:rPr>
                <w:rFonts w:ascii="Arial" w:hAnsi="Arial" w:cs="Arial"/>
                <w:szCs w:val="22"/>
                <w:lang w:val="id-ID"/>
              </w:rPr>
              <w:t>8</w:t>
            </w:r>
          </w:p>
          <w:p w:rsidR="008940DA" w:rsidRPr="00964454" w:rsidRDefault="008940DA" w:rsidP="0096445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64454" w:rsidRDefault="00964454" w:rsidP="00964454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sv-SE"/>
              </w:rPr>
              <w:t>Ditetapkan oleh :</w:t>
            </w:r>
          </w:p>
          <w:p w:rsidR="00964454" w:rsidRPr="00964454" w:rsidRDefault="00964454" w:rsidP="00964454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964454">
              <w:rPr>
                <w:rFonts w:ascii="Arial" w:hAnsi="Arial" w:cs="Arial"/>
                <w:szCs w:val="22"/>
                <w:lang w:val="sv-SE"/>
              </w:rPr>
              <w:t>Direktur</w:t>
            </w:r>
            <w:r w:rsidR="00964454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="00F83956" w:rsidRPr="00964454">
              <w:rPr>
                <w:rFonts w:ascii="Arial" w:hAnsi="Arial" w:cs="Arial"/>
                <w:szCs w:val="22"/>
                <w:lang w:val="id-ID"/>
              </w:rPr>
              <w:t xml:space="preserve">RSUD </w:t>
            </w:r>
            <w:r w:rsidR="00F83956" w:rsidRPr="00964454">
              <w:rPr>
                <w:rFonts w:ascii="Arial" w:hAnsi="Arial" w:cs="Arial"/>
                <w:szCs w:val="22"/>
              </w:rPr>
              <w:t>d</w:t>
            </w:r>
            <w:r w:rsidRPr="00964454">
              <w:rPr>
                <w:rFonts w:ascii="Arial" w:hAnsi="Arial" w:cs="Arial"/>
                <w:szCs w:val="22"/>
                <w:lang w:val="id-ID"/>
              </w:rPr>
              <w:t>r. Murjani</w:t>
            </w:r>
          </w:p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964454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964454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:rsidR="008940DA" w:rsidRPr="00964454" w:rsidRDefault="008940DA" w:rsidP="0096445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964454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8940DA" w:rsidRPr="00964454" w:rsidTr="00E155B3">
        <w:trPr>
          <w:trHeight w:val="785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940DA" w:rsidRPr="00964454" w:rsidRDefault="008940DA" w:rsidP="00964454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:rsidR="008940DA" w:rsidRPr="00964454" w:rsidRDefault="00B97DBB" w:rsidP="00964454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964454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  <w:p w:rsidR="008940DA" w:rsidRPr="00964454" w:rsidRDefault="008940DA" w:rsidP="00964454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70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940DA" w:rsidRPr="00964454" w:rsidRDefault="008940DA" w:rsidP="00964454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Pedoman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standart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pengendalian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penyebaran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VHB,</w:t>
            </w:r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VHC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HIV di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sebagai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salah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satu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cara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mengurangi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resiko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penularan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infeksi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VHB</w:t>
            </w:r>
            <w:proofErr w:type="gram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,VHC</w:t>
            </w:r>
            <w:proofErr w:type="gram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HIV.</w:t>
            </w:r>
          </w:p>
        </w:tc>
      </w:tr>
      <w:tr w:rsidR="008940DA" w:rsidRPr="00964454" w:rsidTr="00E155B3">
        <w:trPr>
          <w:trHeight w:val="565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940DA" w:rsidRPr="00964454" w:rsidRDefault="008940DA" w:rsidP="00964454">
            <w:pPr>
              <w:spacing w:after="0"/>
              <w:rPr>
                <w:rFonts w:ascii="Arial" w:hAnsi="Arial" w:cs="Arial"/>
                <w:b/>
                <w:szCs w:val="22"/>
                <w:lang w:val="it-IT"/>
              </w:rPr>
            </w:pPr>
          </w:p>
          <w:p w:rsidR="008940DA" w:rsidRPr="00964454" w:rsidRDefault="00B97DBB" w:rsidP="00964454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964454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  <w:p w:rsidR="008940DA" w:rsidRPr="00964454" w:rsidRDefault="008940DA" w:rsidP="00964454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940DA" w:rsidRPr="00964454" w:rsidRDefault="008940DA" w:rsidP="00964454">
            <w:pPr>
              <w:pStyle w:val="ListParagraph"/>
              <w:numPr>
                <w:ilvl w:val="0"/>
                <w:numId w:val="1"/>
              </w:numPr>
              <w:spacing w:after="0"/>
              <w:ind w:left="318" w:hanging="283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Pelaksanaan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kewaspadaan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universal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ketat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8940DA" w:rsidRPr="00964454" w:rsidRDefault="008940DA" w:rsidP="00964454">
            <w:pPr>
              <w:pStyle w:val="ListParagraph"/>
              <w:numPr>
                <w:ilvl w:val="0"/>
                <w:numId w:val="1"/>
              </w:numPr>
              <w:spacing w:after="0"/>
              <w:ind w:left="318" w:hanging="283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Isolasi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Hemodialisis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diharuskan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pengidap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VHB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.</w:t>
            </w:r>
          </w:p>
          <w:p w:rsidR="008940DA" w:rsidRPr="00964454" w:rsidRDefault="008940DA" w:rsidP="00964454">
            <w:pPr>
              <w:pStyle w:val="ListParagraph"/>
              <w:numPr>
                <w:ilvl w:val="0"/>
                <w:numId w:val="1"/>
              </w:numPr>
              <w:spacing w:after="0"/>
              <w:ind w:left="318" w:hanging="283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Penggunaan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dialiser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proses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ulang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hanya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diperkenaankan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pengidap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VHC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HIV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kewaspadaan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tinggi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adanya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reuse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terpisah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negatif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.  </w:t>
            </w:r>
          </w:p>
          <w:p w:rsidR="008940DA" w:rsidRPr="00964454" w:rsidRDefault="008940DA" w:rsidP="00964454">
            <w:pPr>
              <w:pStyle w:val="ListParagraph"/>
              <w:numPr>
                <w:ilvl w:val="0"/>
                <w:numId w:val="1"/>
              </w:numPr>
              <w:spacing w:after="0"/>
              <w:ind w:left="318" w:hanging="283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Pemberian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pengobatan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dilakukan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bagi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dialisis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mengidap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VHB,</w:t>
            </w:r>
            <w:r w:rsidR="00BE5F8D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VHC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HIV.</w:t>
            </w:r>
          </w:p>
        </w:tc>
      </w:tr>
      <w:tr w:rsidR="00822A4F" w:rsidRPr="00964454" w:rsidTr="00E155B3">
        <w:trPr>
          <w:trHeight w:val="840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66C93" w:rsidRPr="00964454" w:rsidRDefault="00D66C93" w:rsidP="00964454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:rsidR="00822A4F" w:rsidRPr="00964454" w:rsidRDefault="00822A4F" w:rsidP="00964454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964454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70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22A4F" w:rsidRPr="00964454" w:rsidRDefault="00822A4F" w:rsidP="00E95E50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spacing w:after="0"/>
              <w:ind w:left="319"/>
              <w:rPr>
                <w:rFonts w:ascii="Arial" w:hAnsi="Arial" w:cs="Arial"/>
                <w:szCs w:val="22"/>
                <w:lang w:val="id-ID"/>
              </w:rPr>
            </w:pPr>
            <w:bookmarkStart w:id="0" w:name="_GoBack"/>
            <w:r w:rsidRPr="00964454">
              <w:rPr>
                <w:rFonts w:ascii="Arial" w:hAnsi="Arial" w:cs="Arial"/>
                <w:szCs w:val="22"/>
                <w:lang w:val="id-ID"/>
              </w:rPr>
              <w:t>Surat Keputusan Direktur RSUD dr. Murjani Sampit Nomor: 215/SKPT/RSUD-DM/V/2016 tentang Kebijakan Pelayanan Keperawatan di RSUD dr. Murjani Sampit.</w:t>
            </w:r>
          </w:p>
          <w:p w:rsidR="00822A4F" w:rsidRPr="00964454" w:rsidRDefault="00822A4F" w:rsidP="00E95E50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spacing w:after="0"/>
              <w:ind w:left="319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:rsidR="00822A4F" w:rsidRPr="00964454" w:rsidRDefault="009271D1" w:rsidP="00E95E50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spacing w:after="0"/>
              <w:ind w:left="319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964454">
              <w:rPr>
                <w:rFonts w:ascii="Arial" w:hAnsi="Arial" w:cs="Arial"/>
                <w:szCs w:val="22"/>
              </w:rPr>
              <w:t>d</w:t>
            </w:r>
            <w:r w:rsidR="00822A4F" w:rsidRPr="00964454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="00822A4F" w:rsidRPr="00964454">
              <w:rPr>
                <w:rFonts w:ascii="Arial" w:hAnsi="Arial" w:cs="Arial"/>
                <w:szCs w:val="22"/>
              </w:rPr>
              <w:t>Murjani</w:t>
            </w:r>
            <w:proofErr w:type="spellEnd"/>
            <w:r w:rsidR="00822A4F" w:rsidRPr="00964454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="00822A4F" w:rsidRPr="00964454">
              <w:rPr>
                <w:rFonts w:ascii="Arial" w:hAnsi="Arial" w:cs="Arial"/>
                <w:szCs w:val="22"/>
              </w:rPr>
              <w:t>N</w:t>
            </w:r>
            <w:r w:rsidR="00822A4F" w:rsidRPr="00964454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="00822A4F" w:rsidRPr="00964454">
              <w:rPr>
                <w:rFonts w:ascii="Arial" w:hAnsi="Arial" w:cs="Arial"/>
                <w:szCs w:val="22"/>
              </w:rPr>
              <w:t xml:space="preserve"> 01</w:t>
            </w:r>
            <w:proofErr w:type="gramEnd"/>
            <w:r w:rsidR="00822A4F" w:rsidRPr="00964454">
              <w:rPr>
                <w:rFonts w:ascii="Arial" w:hAnsi="Arial" w:cs="Arial"/>
                <w:szCs w:val="22"/>
              </w:rPr>
              <w:t xml:space="preserve">/SKPT/RSUD-DM/1/2017 </w:t>
            </w:r>
            <w:r w:rsidR="00822A4F" w:rsidRPr="00964454">
              <w:rPr>
                <w:rFonts w:ascii="Arial" w:hAnsi="Arial" w:cs="Arial"/>
                <w:szCs w:val="22"/>
                <w:lang w:val="id-ID"/>
              </w:rPr>
              <w:t>tentang Kebijakan Pelayanan Pasien Dengan Terapi Dialisis.</w:t>
            </w:r>
            <w:bookmarkEnd w:id="0"/>
          </w:p>
        </w:tc>
      </w:tr>
      <w:tr w:rsidR="00530B2C" w:rsidRPr="00964454" w:rsidTr="00E155B3">
        <w:trPr>
          <w:trHeight w:val="1803"/>
        </w:trPr>
        <w:tc>
          <w:tcPr>
            <w:tcW w:w="233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30B2C" w:rsidRPr="00964454" w:rsidRDefault="00530B2C" w:rsidP="00964454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530B2C" w:rsidRPr="00964454" w:rsidRDefault="00530B2C" w:rsidP="00964454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  <w:r w:rsidRPr="00964454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30B2C" w:rsidRPr="00964454" w:rsidRDefault="00530B2C" w:rsidP="00964454">
            <w:pPr>
              <w:pStyle w:val="ListParagraph"/>
              <w:numPr>
                <w:ilvl w:val="0"/>
                <w:numId w:val="12"/>
              </w:numPr>
              <w:spacing w:after="0"/>
              <w:ind w:left="370"/>
              <w:rPr>
                <w:rFonts w:ascii="Arial" w:eastAsia="Times New Roman" w:hAnsi="Arial" w:cs="Arial"/>
                <w:bCs/>
                <w:color w:val="000000"/>
                <w:szCs w:val="22"/>
                <w:lang w:bidi="ar-SA"/>
              </w:rPr>
            </w:pPr>
            <w:r w:rsidRPr="00964454">
              <w:rPr>
                <w:rFonts w:ascii="Arial" w:eastAsia="Times New Roman" w:hAnsi="Arial" w:cs="Arial"/>
                <w:bCs/>
                <w:color w:val="000000"/>
                <w:szCs w:val="22"/>
                <w:lang w:bidi="ar-SA"/>
              </w:rPr>
              <w:t>PASIEN HEMODIALISIS</w:t>
            </w:r>
          </w:p>
          <w:p w:rsidR="00530B2C" w:rsidRPr="00964454" w:rsidRDefault="00530B2C" w:rsidP="00964454">
            <w:pPr>
              <w:pStyle w:val="ListParagraph"/>
              <w:numPr>
                <w:ilvl w:val="0"/>
                <w:numId w:val="6"/>
              </w:numPr>
              <w:spacing w:after="0"/>
              <w:ind w:left="79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</w:t>
            </w:r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sien</w:t>
            </w:r>
            <w:proofErr w:type="spellEnd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baru</w:t>
            </w:r>
            <w:proofErr w:type="spellEnd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pindah</w:t>
            </w:r>
            <w:proofErr w:type="spellEnd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/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datang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pusat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hemodialisis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lain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dilakukan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pemeriksaan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HbsAg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Anti HCV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anti HIV.</w:t>
            </w:r>
          </w:p>
          <w:p w:rsidR="00822A4F" w:rsidRPr="00964454" w:rsidRDefault="00530B2C" w:rsidP="00964454">
            <w:pPr>
              <w:pStyle w:val="ListParagraph"/>
              <w:numPr>
                <w:ilvl w:val="0"/>
                <w:numId w:val="6"/>
              </w:numPr>
              <w:spacing w:after="0"/>
              <w:ind w:left="79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HbsAg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anti HCV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negatif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pemerik</w:t>
            </w:r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saan</w:t>
            </w:r>
            <w:proofErr w:type="spellEnd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ulang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kembali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6 </w:t>
            </w:r>
            <w:proofErr w:type="spellStart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bulan</w:t>
            </w:r>
            <w:proofErr w:type="spellEnd"/>
            <w:r w:rsidR="00822A4F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3A0447" w:rsidRPr="00964454" w:rsidRDefault="00822A4F" w:rsidP="00964454">
            <w:pPr>
              <w:pStyle w:val="ListParagraph"/>
              <w:numPr>
                <w:ilvl w:val="0"/>
                <w:numId w:val="6"/>
              </w:numPr>
              <w:spacing w:after="0"/>
              <w:ind w:left="79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Pemeriksaan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HIV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lama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hanya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dilakukan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bila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kecurigaan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menderita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HIV.</w:t>
            </w:r>
          </w:p>
          <w:p w:rsidR="00964454" w:rsidRDefault="00964454" w:rsidP="0096445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Pr="00964454" w:rsidRDefault="00964454" w:rsidP="0096445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</w:tc>
      </w:tr>
    </w:tbl>
    <w:p w:rsidR="008940DA" w:rsidRPr="00964454" w:rsidRDefault="008940DA" w:rsidP="00964454">
      <w:pPr>
        <w:spacing w:after="0"/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3130"/>
        <w:gridCol w:w="1910"/>
        <w:gridCol w:w="1989"/>
      </w:tblGrid>
      <w:tr w:rsidR="00C93894" w:rsidRPr="00964454" w:rsidTr="00BF77AC">
        <w:trPr>
          <w:trHeight w:val="1544"/>
        </w:trPr>
        <w:tc>
          <w:tcPr>
            <w:tcW w:w="2310" w:type="dxa"/>
            <w:vMerge w:val="restart"/>
          </w:tcPr>
          <w:p w:rsidR="00C93894" w:rsidRP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703FE6CD" wp14:editId="5E863657">
                  <wp:extent cx="1292225" cy="1657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65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9" w:type="dxa"/>
            <w:gridSpan w:val="3"/>
            <w:vAlign w:val="center"/>
          </w:tcPr>
          <w:p w:rsidR="00C93894" w:rsidRPr="00964454" w:rsidRDefault="00C93894" w:rsidP="00964454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PEDOMAN STANDAR PENGENDALIAN PENYEBARAN</w:t>
            </w: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val="id-ID" w:bidi="ar-SA"/>
              </w:rPr>
              <w:t xml:space="preserve"> </w:t>
            </w: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VHB, VHC DAN HIV DI RUANG HEMODIALISA</w:t>
            </w:r>
          </w:p>
        </w:tc>
      </w:tr>
      <w:tr w:rsidR="00C93894" w:rsidRPr="00964454" w:rsidTr="00BF77AC">
        <w:trPr>
          <w:trHeight w:val="1693"/>
        </w:trPr>
        <w:tc>
          <w:tcPr>
            <w:tcW w:w="2310" w:type="dxa"/>
            <w:vMerge/>
          </w:tcPr>
          <w:p w:rsidR="00C93894" w:rsidRPr="00964454" w:rsidRDefault="00C93894" w:rsidP="00964454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3130" w:type="dxa"/>
          </w:tcPr>
          <w:p w:rsidR="00C93894" w:rsidRPr="00964454" w:rsidRDefault="00C9389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C93894" w:rsidRDefault="00C9389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964454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Pr="00964454" w:rsidRDefault="00964454" w:rsidP="00964454">
            <w:pPr>
              <w:spacing w:line="276" w:lineRule="auto"/>
              <w:ind w:left="666" w:firstLine="71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1910" w:type="dxa"/>
          </w:tcPr>
          <w:p w:rsidR="00C93894" w:rsidRPr="00964454" w:rsidRDefault="00C9389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C93894" w:rsidRPr="00964454" w:rsidRDefault="00C9389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964454">
              <w:rPr>
                <w:rFonts w:ascii="Arial" w:hAnsi="Arial" w:cs="Arial"/>
                <w:szCs w:val="22"/>
              </w:rPr>
              <w:t>No.</w:t>
            </w:r>
            <w:r w:rsidRPr="00964454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964454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C93894" w:rsidRPr="00964454" w:rsidRDefault="00C93894" w:rsidP="00964454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1989" w:type="dxa"/>
          </w:tcPr>
          <w:p w:rsidR="00C93894" w:rsidRPr="00964454" w:rsidRDefault="00C9389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C9389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964454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964454">
              <w:rPr>
                <w:rFonts w:ascii="Arial" w:hAnsi="Arial" w:cs="Arial"/>
                <w:szCs w:val="22"/>
              </w:rPr>
              <w:t xml:space="preserve"> : </w:t>
            </w:r>
          </w:p>
          <w:p w:rsid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C93894" w:rsidRPr="00CF1018" w:rsidRDefault="00A965F2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</w:rPr>
              <w:t>2</w:t>
            </w:r>
            <w:r w:rsidR="0044263D" w:rsidRPr="00964454">
              <w:rPr>
                <w:rFonts w:ascii="Arial" w:hAnsi="Arial" w:cs="Arial"/>
                <w:szCs w:val="22"/>
              </w:rPr>
              <w:t>/</w:t>
            </w:r>
            <w:r w:rsidR="00CF1018">
              <w:rPr>
                <w:rFonts w:ascii="Arial" w:hAnsi="Arial" w:cs="Arial"/>
                <w:szCs w:val="22"/>
                <w:lang w:val="id-ID"/>
              </w:rPr>
              <w:t>6</w:t>
            </w:r>
          </w:p>
          <w:p w:rsidR="00C93894" w:rsidRPr="00964454" w:rsidRDefault="00C9389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3A0447" w:rsidRPr="00964454" w:rsidTr="00BF77AC">
        <w:tc>
          <w:tcPr>
            <w:tcW w:w="2310" w:type="dxa"/>
          </w:tcPr>
          <w:p w:rsidR="003A0447" w:rsidRPr="00964454" w:rsidRDefault="003A0447" w:rsidP="0096445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3A0447" w:rsidRPr="00964454" w:rsidRDefault="003A0447" w:rsidP="0096445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  <w:r w:rsidRPr="00964454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29" w:type="dxa"/>
            <w:gridSpan w:val="3"/>
          </w:tcPr>
          <w:p w:rsidR="003A0447" w:rsidRPr="00964454" w:rsidRDefault="003A0447" w:rsidP="00964454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84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HbsAg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negatif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dilakukan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vaksinasi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virus hepatitis</w:t>
            </w:r>
          </w:p>
          <w:p w:rsidR="003A0447" w:rsidRPr="00964454" w:rsidRDefault="003A0447" w:rsidP="00964454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84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HbsAg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</w:t>
            </w:r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Ditempatkan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isolasi</w:t>
            </w:r>
            <w:proofErr w:type="spellEnd"/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hemodialisis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dikhususkan</w:t>
            </w:r>
            <w:proofErr w:type="spellEnd"/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diperkenankan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dialiser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proses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ulang</w:t>
            </w:r>
            <w:proofErr w:type="spellEnd"/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Pengobatan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nucleoside (</w:t>
            </w:r>
            <w:r w:rsidR="00D66C93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lamivudine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)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selama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satu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tahun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SGPT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meningkat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kadar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HBV DNA ≥ 105 kopi/ML</w:t>
            </w:r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937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HIV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dilanjutkan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pemeriksaan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western blot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menghindari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hasil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palsu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902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HIV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enzyme immunoassay (EIA)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serta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western blot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</w:t>
            </w:r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22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khusus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22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dialiser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proses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ulang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(re-use)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catatan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adanya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terpisah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antara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antara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anti HCV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anti HCV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negarif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220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memerlukan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isolasi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.</w:t>
            </w:r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220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Pengobatan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HIV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perlu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diberikan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.</w:t>
            </w:r>
          </w:p>
          <w:p w:rsidR="003A0447" w:rsidRPr="00964454" w:rsidRDefault="003A0447" w:rsidP="00964454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937" w:hanging="333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anti HCV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:</w:t>
            </w:r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21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memerlukan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isolasi</w:t>
            </w:r>
            <w:proofErr w:type="spellEnd"/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21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perlu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hemodialisis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dikhususkan</w:t>
            </w:r>
            <w:proofErr w:type="spellEnd"/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21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dialiser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proses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ulang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catatan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adanya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terpisah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antara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anti HCV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anti HCV negative</w:t>
            </w:r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21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Lakukan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pemeriksaan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HCV RNA</w:t>
            </w:r>
          </w:p>
          <w:p w:rsidR="003A0447" w:rsidRPr="00964454" w:rsidRDefault="003A0447" w:rsidP="009644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21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Pengobatan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inteferon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diberikan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bila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HCV RNA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3A0447" w:rsidRPr="00964454" w:rsidRDefault="003A0447" w:rsidP="00964454">
            <w:pPr>
              <w:tabs>
                <w:tab w:val="left" w:pos="1169"/>
              </w:tabs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  <w:p w:rsidR="003A0447" w:rsidRDefault="003A0447" w:rsidP="00964454">
            <w:pPr>
              <w:tabs>
                <w:tab w:val="left" w:pos="1169"/>
              </w:tabs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tabs>
                <w:tab w:val="left" w:pos="1169"/>
              </w:tabs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tabs>
                <w:tab w:val="left" w:pos="1169"/>
              </w:tabs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tabs>
                <w:tab w:val="left" w:pos="1169"/>
              </w:tabs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tabs>
                <w:tab w:val="left" w:pos="1169"/>
              </w:tabs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tabs>
                <w:tab w:val="left" w:pos="1169"/>
              </w:tabs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tabs>
                <w:tab w:val="left" w:pos="1169"/>
              </w:tabs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tabs>
                <w:tab w:val="left" w:pos="1169"/>
              </w:tabs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tabs>
                <w:tab w:val="left" w:pos="1169"/>
              </w:tabs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Pr="00964454" w:rsidRDefault="00964454" w:rsidP="00964454">
            <w:pPr>
              <w:tabs>
                <w:tab w:val="left" w:pos="1169"/>
              </w:tabs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</w:tc>
      </w:tr>
      <w:tr w:rsidR="003A0447" w:rsidRPr="00964454" w:rsidTr="00BF77AC">
        <w:trPr>
          <w:trHeight w:val="839"/>
        </w:trPr>
        <w:tc>
          <w:tcPr>
            <w:tcW w:w="2310" w:type="dxa"/>
            <w:vMerge w:val="restart"/>
          </w:tcPr>
          <w:p w:rsidR="003A0447" w:rsidRP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5DDF88C9" wp14:editId="638F7769">
                  <wp:extent cx="1292225" cy="16579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65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9" w:type="dxa"/>
            <w:gridSpan w:val="3"/>
            <w:vAlign w:val="center"/>
          </w:tcPr>
          <w:p w:rsidR="003A0447" w:rsidRPr="00964454" w:rsidRDefault="003A0447" w:rsidP="00964454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PEDOMAN STANDAR PENGENDALIAN PENYEBARAN</w:t>
            </w: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val="id-ID" w:bidi="ar-SA"/>
              </w:rPr>
              <w:t xml:space="preserve"> </w:t>
            </w: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VHB, VHC DAN HIV DI RUANG HEMODIALISA</w:t>
            </w:r>
          </w:p>
        </w:tc>
      </w:tr>
      <w:tr w:rsidR="003A0447" w:rsidRPr="00964454" w:rsidTr="00BF77AC">
        <w:tc>
          <w:tcPr>
            <w:tcW w:w="2310" w:type="dxa"/>
            <w:vMerge/>
          </w:tcPr>
          <w:p w:rsidR="003A0447" w:rsidRPr="00964454" w:rsidRDefault="003A0447" w:rsidP="00964454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3130" w:type="dxa"/>
          </w:tcPr>
          <w:p w:rsidR="003A0447" w:rsidRPr="00964454" w:rsidRDefault="003A0447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3A0447" w:rsidRDefault="003A0447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964454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Pr="00964454" w:rsidRDefault="00964454" w:rsidP="00964454">
            <w:pPr>
              <w:spacing w:line="276" w:lineRule="auto"/>
              <w:ind w:left="799" w:firstLine="577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1910" w:type="dxa"/>
          </w:tcPr>
          <w:p w:rsidR="003A0447" w:rsidRPr="00964454" w:rsidRDefault="003A0447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3A0447" w:rsidRPr="00964454" w:rsidRDefault="003A0447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964454">
              <w:rPr>
                <w:rFonts w:ascii="Arial" w:hAnsi="Arial" w:cs="Arial"/>
                <w:szCs w:val="22"/>
              </w:rPr>
              <w:t>No.</w:t>
            </w:r>
            <w:r w:rsidRPr="00964454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964454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3A0447" w:rsidRPr="00964454" w:rsidRDefault="003A0447" w:rsidP="00964454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1989" w:type="dxa"/>
          </w:tcPr>
          <w:p w:rsidR="003A0447" w:rsidRPr="00964454" w:rsidRDefault="003A0447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3A0447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964454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964454">
              <w:rPr>
                <w:rFonts w:ascii="Arial" w:hAnsi="Arial" w:cs="Arial"/>
                <w:szCs w:val="22"/>
              </w:rPr>
              <w:t xml:space="preserve"> : </w:t>
            </w:r>
          </w:p>
          <w:p w:rsid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3A0447" w:rsidRPr="00CF1018" w:rsidRDefault="00A965F2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</w:rPr>
              <w:t>3</w:t>
            </w:r>
            <w:r w:rsidR="0044263D" w:rsidRPr="00964454">
              <w:rPr>
                <w:rFonts w:ascii="Arial" w:hAnsi="Arial" w:cs="Arial"/>
                <w:szCs w:val="22"/>
              </w:rPr>
              <w:t>/</w:t>
            </w:r>
            <w:r w:rsidR="00CF1018">
              <w:rPr>
                <w:rFonts w:ascii="Arial" w:hAnsi="Arial" w:cs="Arial"/>
                <w:szCs w:val="22"/>
                <w:lang w:val="id-ID"/>
              </w:rPr>
              <w:t>6</w:t>
            </w:r>
          </w:p>
          <w:p w:rsidR="003A0447" w:rsidRPr="00964454" w:rsidRDefault="003A0447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66C93" w:rsidRPr="00964454" w:rsidTr="00BF77AC">
        <w:tc>
          <w:tcPr>
            <w:tcW w:w="2310" w:type="dxa"/>
          </w:tcPr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  <w:r w:rsidRPr="00964454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29" w:type="dxa"/>
            <w:gridSpan w:val="3"/>
          </w:tcPr>
          <w:p w:rsidR="00D66C93" w:rsidRPr="00964454" w:rsidRDefault="00D66C93" w:rsidP="0096445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</w:pP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STAF HEMODIALISIS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Mencuci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sabun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antiseptik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sebelum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melakukan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tindakan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medik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tindakan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non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medik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sarung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baru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sekali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melakukan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penusukan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penarikan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jarum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sarung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baru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sekali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membersihkan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luka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bagian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mukosa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sarung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baru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sekali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memegang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semua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peralatan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. </w:t>
            </w:r>
            <w:proofErr w:type="spellStart"/>
            <w:proofErr w:type="gram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proofErr w:type="gram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staf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melakukan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penusukan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jarum</w:t>
            </w:r>
            <w:proofErr w:type="gram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,penarikan</w:t>
            </w:r>
            <w:proofErr w:type="spellEnd"/>
            <w:proofErr w:type="gram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jarum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aktivitas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berkaitan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masker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pelindung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mulut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kacamata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pelindung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plastik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pelindung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baju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21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Setelah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selesai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melakukan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penusukan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penarikan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jarum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pembersihan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luka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bagian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mukosa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setelah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selesai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memegang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peralatan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sarung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dilepas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khusus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spacing w:line="276" w:lineRule="auto"/>
              <w:ind w:left="121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eastAsia="Times New Roman" w:hAnsi="Arial" w:cs="Arial"/>
                <w:b/>
                <w:color w:val="000000"/>
                <w:szCs w:val="22"/>
                <w:lang w:bidi="ar-SA"/>
              </w:rPr>
            </w:pPr>
            <w:r w:rsidRPr="00964454">
              <w:rPr>
                <w:rFonts w:ascii="Arial" w:eastAsia="Times New Roman" w:hAnsi="Arial" w:cs="Arial"/>
                <w:b/>
                <w:color w:val="000000"/>
                <w:szCs w:val="22"/>
                <w:lang w:bidi="ar-SA"/>
              </w:rPr>
              <w:t>MESIN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Desinfektan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bagian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dalam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(internal)</w:t>
            </w:r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1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Bagian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dalam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HD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didesinfeksi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kali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prosedur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dialysis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selesai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prosedur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rutin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meliputi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draining,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desinfection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,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rinsing),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sesuai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protokol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dianjurkan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oleh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pabrik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1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Bila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terjadi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kebocoran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sistem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resirkulasi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dilakukan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prosedur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rutin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desinfeksi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pembilasan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sebanyak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2 kali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sebelum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tersebut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dipakai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kembali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spacing w:line="276" w:lineRule="auto"/>
              <w:ind w:left="927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  <w:p w:rsidR="00D66C93" w:rsidRDefault="00D66C93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64454" w:rsidRPr="00964454" w:rsidRDefault="00964454" w:rsidP="0096445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</w:tc>
      </w:tr>
      <w:tr w:rsidR="00D66C93" w:rsidRPr="00964454" w:rsidTr="00BF77AC">
        <w:trPr>
          <w:trHeight w:val="839"/>
        </w:trPr>
        <w:tc>
          <w:tcPr>
            <w:tcW w:w="2310" w:type="dxa"/>
            <w:vMerge w:val="restart"/>
          </w:tcPr>
          <w:p w:rsidR="00D66C93" w:rsidRP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11E4E2AB" wp14:editId="14D886B3">
                  <wp:extent cx="1292225" cy="16579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65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9" w:type="dxa"/>
            <w:gridSpan w:val="3"/>
            <w:vAlign w:val="center"/>
          </w:tcPr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PEDOMAN STANDAR PENGENDALIAN PENYEBARAN</w:t>
            </w: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val="id-ID" w:bidi="ar-SA"/>
              </w:rPr>
              <w:t xml:space="preserve"> </w:t>
            </w: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VHB, VHC DAN HIV DI RUANG HEMODIALISA</w:t>
            </w:r>
          </w:p>
        </w:tc>
      </w:tr>
      <w:tr w:rsidR="00D66C93" w:rsidRPr="00964454" w:rsidTr="00BF77AC">
        <w:tc>
          <w:tcPr>
            <w:tcW w:w="2310" w:type="dxa"/>
            <w:vMerge/>
          </w:tcPr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3130" w:type="dxa"/>
          </w:tcPr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66C93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964454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Pr="00964454" w:rsidRDefault="00964454" w:rsidP="00964454">
            <w:pPr>
              <w:spacing w:line="276" w:lineRule="auto"/>
              <w:ind w:left="525" w:firstLine="951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1910" w:type="dxa"/>
          </w:tcPr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964454">
              <w:rPr>
                <w:rFonts w:ascii="Arial" w:hAnsi="Arial" w:cs="Arial"/>
                <w:szCs w:val="22"/>
              </w:rPr>
              <w:t>No.</w:t>
            </w:r>
            <w:r w:rsidRPr="00964454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964454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1989" w:type="dxa"/>
          </w:tcPr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964454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964454">
              <w:rPr>
                <w:rFonts w:ascii="Arial" w:hAnsi="Arial" w:cs="Arial"/>
                <w:szCs w:val="22"/>
              </w:rPr>
              <w:t xml:space="preserve"> : </w:t>
            </w:r>
          </w:p>
          <w:p w:rsid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66C93" w:rsidRPr="00CF1018" w:rsidRDefault="00A965F2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</w:rPr>
              <w:t>4</w:t>
            </w:r>
            <w:r w:rsidR="0044263D" w:rsidRPr="00964454">
              <w:rPr>
                <w:rFonts w:ascii="Arial" w:hAnsi="Arial" w:cs="Arial"/>
                <w:szCs w:val="22"/>
              </w:rPr>
              <w:t>/</w:t>
            </w:r>
            <w:r w:rsidR="00CF1018">
              <w:rPr>
                <w:rFonts w:ascii="Arial" w:hAnsi="Arial" w:cs="Arial"/>
                <w:szCs w:val="22"/>
                <w:lang w:val="id-ID"/>
              </w:rPr>
              <w:t>6</w:t>
            </w:r>
          </w:p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66C93" w:rsidRPr="00964454" w:rsidTr="00BF77AC">
        <w:tc>
          <w:tcPr>
            <w:tcW w:w="2310" w:type="dxa"/>
          </w:tcPr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  <w:r w:rsidRPr="00964454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29" w:type="dxa"/>
            <w:gridSpan w:val="3"/>
          </w:tcPr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Desinfeksi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permukaan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luar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eksternal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)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6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Perhatian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khusus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ditujuakn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bagian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panel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kontrol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dialisis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seperti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 "dialysate ports", "bicarbonate port", "pressure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transducerarterial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-vena", "air detector", "heparin pump"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"blood pump"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kali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prosedur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HD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selesai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6"/>
              </w:numPr>
              <w:spacing w:line="276" w:lineRule="auto"/>
              <w:ind w:left="1264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Cairan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desinfektan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ditempatkan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dalam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botol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semprotkan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bagian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permukaan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,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lalu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lap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khusus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/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kain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flanel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6"/>
              </w:numPr>
              <w:spacing w:line="276" w:lineRule="auto"/>
              <w:ind w:left="1264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Bila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terdapat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percikan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segera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larutan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klorin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1 %.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Pressure transducer</w:t>
            </w:r>
          </w:p>
          <w:p w:rsidR="00D66C93" w:rsidRPr="00964454" w:rsidRDefault="00D66C93" w:rsidP="00964454">
            <w:pPr>
              <w:pStyle w:val="ListParagraph"/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“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Pressure transducer filter protectors"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digunakan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mencegah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kontaminasi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antara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komponen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arteri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vena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HD.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”</w:t>
            </w:r>
          </w:p>
          <w:p w:rsidR="00D66C93" w:rsidRPr="00964454" w:rsidRDefault="00D66C93" w:rsidP="00964454">
            <w:pPr>
              <w:pStyle w:val="ListParagraph"/>
              <w:spacing w:line="276" w:lineRule="auto"/>
              <w:ind w:left="785"/>
              <w:jc w:val="both"/>
              <w:rPr>
                <w:rFonts w:ascii="Arial" w:eastAsia="Times New Roman" w:hAnsi="Arial" w:cs="Arial"/>
                <w:b/>
                <w:color w:val="000000"/>
                <w:szCs w:val="22"/>
                <w:lang w:bidi="ar-SA"/>
              </w:rPr>
            </w:pPr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eastAsia="Times New Roman" w:hAnsi="Arial" w:cs="Arial"/>
                <w:b/>
                <w:color w:val="000000"/>
                <w:szCs w:val="22"/>
                <w:lang w:bidi="ar-SA"/>
              </w:rPr>
            </w:pP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DIALISER :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Pemrosesan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dialiser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proses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ulang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dilakukan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menerapkan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prinsip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kewaspadaan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universal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ketat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Dialiser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proses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ulang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dibenarkan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dipakai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oleh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HbsAg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Dialiser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proses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ulang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prinsipnya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digunakan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oleh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anti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HCV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namun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menerapkan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prinsip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kewaspadaan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universal yang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ketat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pemrosesan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dialiser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proses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ulang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hendaknya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terpisah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antara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masing-masing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anti HCV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anti HIV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kedua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marker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negatif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dialiser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proses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ulang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diberi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label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nama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jelas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agar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tertukar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proofErr w:type="gram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dialiser</w:t>
            </w:r>
            <w:proofErr w:type="spellEnd"/>
            <w:proofErr w:type="gram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lain.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penyimpanan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dialiser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ulang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anti HCV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anti HIV </w:t>
            </w:r>
            <w:proofErr w:type="spellStart"/>
            <w:proofErr w:type="gram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dipisahkan</w:t>
            </w:r>
            <w:proofErr w:type="spellEnd"/>
            <w:proofErr w:type="gram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kedua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marker negative.</w:t>
            </w:r>
          </w:p>
          <w:p w:rsidR="00964454" w:rsidRDefault="00964454" w:rsidP="00964454">
            <w:pPr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Default="00964454" w:rsidP="00964454">
            <w:pPr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  <w:p w:rsidR="00964454" w:rsidRPr="00964454" w:rsidRDefault="00964454" w:rsidP="00964454">
            <w:pPr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</w:tc>
      </w:tr>
      <w:tr w:rsidR="00D66C93" w:rsidRPr="00964454" w:rsidTr="00BF77AC">
        <w:trPr>
          <w:trHeight w:val="839"/>
        </w:trPr>
        <w:tc>
          <w:tcPr>
            <w:tcW w:w="2310" w:type="dxa"/>
            <w:vMerge w:val="restart"/>
          </w:tcPr>
          <w:p w:rsidR="00D66C93" w:rsidRP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51B44CEE" wp14:editId="0CF82061">
                  <wp:extent cx="1292225" cy="16579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65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9" w:type="dxa"/>
            <w:gridSpan w:val="3"/>
            <w:vAlign w:val="center"/>
          </w:tcPr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PEDOMAN STANDAR PENGENDALIAN PENYEBARAN</w:t>
            </w: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val="id-ID" w:bidi="ar-SA"/>
              </w:rPr>
              <w:t xml:space="preserve"> </w:t>
            </w: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VHB, VHC DAN HIV DI RUANG HEMODIALISA</w:t>
            </w:r>
          </w:p>
        </w:tc>
      </w:tr>
      <w:tr w:rsidR="00D66C93" w:rsidRPr="00964454" w:rsidTr="00BF77AC">
        <w:tc>
          <w:tcPr>
            <w:tcW w:w="2310" w:type="dxa"/>
            <w:vMerge/>
          </w:tcPr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3130" w:type="dxa"/>
          </w:tcPr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66C93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964454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Pr="00964454" w:rsidRDefault="00964454" w:rsidP="00964454">
            <w:pPr>
              <w:spacing w:line="276" w:lineRule="auto"/>
              <w:ind w:left="525" w:firstLine="851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1910" w:type="dxa"/>
          </w:tcPr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964454">
              <w:rPr>
                <w:rFonts w:ascii="Arial" w:hAnsi="Arial" w:cs="Arial"/>
                <w:szCs w:val="22"/>
              </w:rPr>
              <w:t>No.</w:t>
            </w:r>
            <w:r w:rsidRPr="00964454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964454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1989" w:type="dxa"/>
          </w:tcPr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964454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964454">
              <w:rPr>
                <w:rFonts w:ascii="Arial" w:hAnsi="Arial" w:cs="Arial"/>
                <w:szCs w:val="22"/>
              </w:rPr>
              <w:t xml:space="preserve"> : </w:t>
            </w:r>
          </w:p>
          <w:p w:rsid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66C93" w:rsidRPr="00CF1018" w:rsidRDefault="00A965F2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</w:rPr>
              <w:t>5</w:t>
            </w:r>
            <w:r w:rsidR="0044263D" w:rsidRPr="00964454">
              <w:rPr>
                <w:rFonts w:ascii="Arial" w:hAnsi="Arial" w:cs="Arial"/>
                <w:szCs w:val="22"/>
              </w:rPr>
              <w:t>/</w:t>
            </w:r>
            <w:r w:rsidR="00CF1018">
              <w:rPr>
                <w:rFonts w:ascii="Arial" w:hAnsi="Arial" w:cs="Arial"/>
                <w:szCs w:val="22"/>
                <w:lang w:val="id-ID"/>
              </w:rPr>
              <w:t>6</w:t>
            </w:r>
          </w:p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66C93" w:rsidRPr="00964454" w:rsidTr="00BF77AC">
        <w:tc>
          <w:tcPr>
            <w:tcW w:w="2310" w:type="dxa"/>
          </w:tcPr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  <w:r w:rsidRPr="00964454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29" w:type="dxa"/>
            <w:gridSpan w:val="3"/>
          </w:tcPr>
          <w:p w:rsidR="00D66C93" w:rsidRPr="00964454" w:rsidRDefault="00D66C93" w:rsidP="00964454">
            <w:pPr>
              <w:pStyle w:val="ListParagraph"/>
              <w:tabs>
                <w:tab w:val="left" w:pos="318"/>
              </w:tabs>
              <w:spacing w:line="276" w:lineRule="auto"/>
              <w:ind w:left="885" w:hanging="85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5.  RUANG HEMODIALISA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hAnsi="Arial" w:cs="Arial"/>
                <w:szCs w:val="22"/>
                <w:lang w:val="fi-FI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penyimpanan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peralatan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medik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obat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terpisah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hAnsi="Arial" w:cs="Arial"/>
                <w:szCs w:val="22"/>
                <w:lang w:val="fi-FI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Seluruh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aktivitas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berkaitan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persiapan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peralatan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medik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maupun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obat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dilakukan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khusus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ini</w:t>
            </w:r>
            <w:proofErr w:type="spellEnd"/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hAnsi="Arial" w:cs="Arial"/>
                <w:szCs w:val="22"/>
                <w:lang w:val="fi-FI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Jarak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antara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masing-masing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tidur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/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kursi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tidur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HD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proofErr w:type="gram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terlalu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rapat</w:t>
            </w:r>
            <w:proofErr w:type="spellEnd"/>
            <w:proofErr w:type="gram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hAnsi="Arial" w:cs="Arial"/>
                <w:szCs w:val="22"/>
                <w:lang w:val="fi-FI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Memiliki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penerangan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sirkulasi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udara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memadai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hAnsi="Arial" w:cs="Arial"/>
                <w:szCs w:val="22"/>
                <w:lang w:val="fi-FI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Tersedia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botol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berisi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antiseptik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proofErr w:type="gram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misalnya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</w:t>
            </w:r>
            <w:proofErr w:type="gram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alkohol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70 %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cairan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antiseptik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lain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berisi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sarung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bersih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dekat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tidur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hAnsi="Arial" w:cs="Arial"/>
                <w:szCs w:val="22"/>
                <w:lang w:val="fi-FI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pembuangan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medik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non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medik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serta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pembuangan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jarum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bekas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tersedia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secara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terpisah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hAnsi="Arial" w:cs="Arial"/>
                <w:szCs w:val="22"/>
                <w:lang w:val="fi-FI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Memiliki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khusus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terpisah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isolasi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)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HbsAg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785"/>
              <w:jc w:val="both"/>
              <w:rPr>
                <w:rFonts w:ascii="Arial" w:hAnsi="Arial" w:cs="Arial"/>
                <w:szCs w:val="22"/>
                <w:lang w:val="fi-FI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Lantai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dialisis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dibersihkan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chlorine-based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desinfectants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formaldehid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asam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perasetat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glutaealdehud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setelah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digunakan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lagi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spacing w:line="276" w:lineRule="auto"/>
              <w:ind w:left="785"/>
              <w:jc w:val="both"/>
              <w:rPr>
                <w:rFonts w:ascii="Arial" w:hAnsi="Arial" w:cs="Arial"/>
                <w:szCs w:val="22"/>
                <w:lang w:val="fi-FI"/>
              </w:rPr>
            </w:pPr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</w:pP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PERALATAN LAIN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mencegah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penularan</w:t>
            </w:r>
            <w:proofErr w:type="gram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,obat</w:t>
            </w:r>
            <w:proofErr w:type="spellEnd"/>
            <w:proofErr w:type="gram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vial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multidosis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hanya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boleh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digunakan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berulang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kali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oleh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Semua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peralatan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medik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steril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dibawa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HD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dibatasi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secukupnya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proofErr w:type="gram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sesuai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proofErr w:type="gram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keperluan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itu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Meja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dorong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berisi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peralatan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medik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steril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jangan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ditaruh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didekat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Sampel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cairan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tubuh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lainnya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dijauhkan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area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penempatan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obat-obat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proofErr w:type="gram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an</w:t>
            </w:r>
            <w:proofErr w:type="spellEnd"/>
            <w:proofErr w:type="gram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peralatan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medic. </w:t>
            </w:r>
          </w:p>
          <w:p w:rsidR="00BF77AC" w:rsidRPr="00BF77AC" w:rsidRDefault="00D66C93" w:rsidP="00BF77AC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Peralatan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/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perabotan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seperti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kursi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/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tidur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r w:rsidR="00BF77AC" w:rsidRPr="00BF77AC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dialisis, meja pasien dan lain-lain dibersihkan dengan klorin 10%, petugas  pembersih mengenakan sarung tangan kerja setiap selesai tindakan HD</w:t>
            </w:r>
          </w:p>
          <w:p w:rsidR="00BF77AC" w:rsidRPr="00BF77AC" w:rsidRDefault="00BF77AC" w:rsidP="00BF77AC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BF77AC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Peralatan dan permukaan lingkungan tempat  kerja (environmental surfaces) berpotensi sebagai media penularan infeksi, terutama barang/benda yang sering disentuh tangan, sehingga perlu dilakukan desinfeksi secara berkala.</w:t>
            </w:r>
          </w:p>
          <w:p w:rsidR="00BF77AC" w:rsidRPr="00BF77AC" w:rsidRDefault="00BF77AC" w:rsidP="00BF77AC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BF77AC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Setelah selesai tindakan,jarum bekas pakai tidak boleh ditutup kembali dan alat suntikan tersebut langsung dibuang ke tempat pembuangan khusus.</w:t>
            </w:r>
          </w:p>
          <w:p w:rsidR="00BF77AC" w:rsidRPr="00BF77AC" w:rsidRDefault="00BF77AC" w:rsidP="00BF77AC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BF77AC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Pasien dengan HbsAg positif, anti HCV positif dan HIV positif menggunakan peralatan medik berikut di bawah ini yang dipakai untuk masing-masing pasien yang sama; tourniket, tensimeter, plester, thermometer, gunting, stetoskop, klem.</w:t>
            </w:r>
          </w:p>
          <w:p w:rsidR="00BF77AC" w:rsidRPr="00964454" w:rsidRDefault="00BF77AC" w:rsidP="00964454">
            <w:pPr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</w:p>
        </w:tc>
      </w:tr>
      <w:tr w:rsidR="00D66C93" w:rsidRPr="00964454" w:rsidTr="00BF77AC">
        <w:trPr>
          <w:trHeight w:val="839"/>
        </w:trPr>
        <w:tc>
          <w:tcPr>
            <w:tcW w:w="2310" w:type="dxa"/>
            <w:vMerge w:val="restart"/>
          </w:tcPr>
          <w:p w:rsidR="00D66C93" w:rsidRP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25FEDB84" wp14:editId="3D382C39">
                  <wp:extent cx="1292225" cy="16579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65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9" w:type="dxa"/>
            <w:gridSpan w:val="3"/>
            <w:vAlign w:val="center"/>
          </w:tcPr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PEDOMAN STANDAR PENGENDALIAN PENYEBARAN</w:t>
            </w: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val="id-ID" w:bidi="ar-SA"/>
              </w:rPr>
              <w:t xml:space="preserve"> </w:t>
            </w: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VHB, VHC DAN HIV DI RUANG HEMODIALISA</w:t>
            </w:r>
          </w:p>
        </w:tc>
      </w:tr>
      <w:tr w:rsidR="00D66C93" w:rsidRPr="00964454" w:rsidTr="00BF77AC">
        <w:tc>
          <w:tcPr>
            <w:tcW w:w="2310" w:type="dxa"/>
            <w:vMerge/>
          </w:tcPr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3130" w:type="dxa"/>
          </w:tcPr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66C93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964454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Pr="00964454" w:rsidRDefault="00964454" w:rsidP="00964454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Pr="00964454" w:rsidRDefault="00964454" w:rsidP="00964454">
            <w:pPr>
              <w:spacing w:line="276" w:lineRule="auto"/>
              <w:ind w:left="525" w:firstLine="851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1910" w:type="dxa"/>
          </w:tcPr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964454">
              <w:rPr>
                <w:rFonts w:ascii="Arial" w:hAnsi="Arial" w:cs="Arial"/>
                <w:szCs w:val="22"/>
              </w:rPr>
              <w:t>No.</w:t>
            </w:r>
            <w:r w:rsidRPr="00964454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964454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1989" w:type="dxa"/>
          </w:tcPr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964454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964454">
              <w:rPr>
                <w:rFonts w:ascii="Arial" w:hAnsi="Arial" w:cs="Arial"/>
                <w:szCs w:val="22"/>
              </w:rPr>
              <w:t xml:space="preserve"> :</w:t>
            </w:r>
          </w:p>
          <w:p w:rsidR="00964454" w:rsidRDefault="00964454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66C93" w:rsidRPr="00CF1018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64454">
              <w:rPr>
                <w:rFonts w:ascii="Arial" w:hAnsi="Arial" w:cs="Arial"/>
                <w:szCs w:val="22"/>
              </w:rPr>
              <w:t xml:space="preserve"> </w:t>
            </w:r>
            <w:r w:rsidR="00A965F2" w:rsidRPr="00964454">
              <w:rPr>
                <w:rFonts w:ascii="Arial" w:hAnsi="Arial" w:cs="Arial"/>
                <w:szCs w:val="22"/>
              </w:rPr>
              <w:t>6</w:t>
            </w:r>
            <w:r w:rsidR="0044263D" w:rsidRPr="00964454">
              <w:rPr>
                <w:rFonts w:ascii="Arial" w:hAnsi="Arial" w:cs="Arial"/>
                <w:szCs w:val="22"/>
              </w:rPr>
              <w:t>/</w:t>
            </w:r>
            <w:r w:rsidR="00CF1018">
              <w:rPr>
                <w:rFonts w:ascii="Arial" w:hAnsi="Arial" w:cs="Arial"/>
                <w:szCs w:val="22"/>
                <w:lang w:val="id-ID"/>
              </w:rPr>
              <w:t>6</w:t>
            </w:r>
          </w:p>
          <w:p w:rsidR="00D66C93" w:rsidRPr="00964454" w:rsidRDefault="00D66C93" w:rsidP="0096445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66C93" w:rsidRPr="00964454" w:rsidTr="00BF77AC">
        <w:tc>
          <w:tcPr>
            <w:tcW w:w="2310" w:type="dxa"/>
          </w:tcPr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  <w:r w:rsidRPr="00964454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29" w:type="dxa"/>
            <w:gridSpan w:val="3"/>
          </w:tcPr>
          <w:p w:rsidR="00BF77AC" w:rsidRPr="00BF77AC" w:rsidRDefault="00BF77AC" w:rsidP="00BF77AC">
            <w:pPr>
              <w:pStyle w:val="ListParagraph"/>
              <w:numPr>
                <w:ilvl w:val="1"/>
                <w:numId w:val="18"/>
              </w:numPr>
              <w:ind w:left="809"/>
              <w:jc w:val="both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  <w:r w:rsidRPr="00BF77AC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Gunting dan klem dapat digunakan kembali untuk pasien lain setelah dilakukan desinfeksi tingkat tinggi.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Gorden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/fabric </w:t>
            </w:r>
            <w:proofErr w:type="gram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screen :</w:t>
            </w:r>
            <w:proofErr w:type="gram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dicuci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1-2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bulan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(VHB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hidup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7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walaupun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jelas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terlihat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).</w:t>
            </w:r>
          </w:p>
          <w:p w:rsidR="00D66C93" w:rsidRPr="00964454" w:rsidRDefault="00D66C93" w:rsidP="00964454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785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Linen :</w:t>
            </w:r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1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Sprei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sarung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bantal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diganti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segera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setelah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selesai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dialysis.</w:t>
            </w:r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1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Linen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kotor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letakan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khusus</w:t>
            </w:r>
            <w:proofErr w:type="spellEnd"/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1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Bila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linen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terpecik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disiram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terlebih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dahulu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klorin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1%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sebelum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ditaruh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khusus</w:t>
            </w:r>
            <w:proofErr w:type="spellEnd"/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1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Linen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HbsAg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ditempatkan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terpisah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dicuci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larutan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klorin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1%.</w:t>
            </w:r>
          </w:p>
          <w:p w:rsidR="00D66C93" w:rsidRPr="00964454" w:rsidRDefault="00D66C93" w:rsidP="00964454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964454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TEMPAT SAMPAH</w:t>
            </w:r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medis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benda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tajam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</w:t>
            </w:r>
          </w:p>
          <w:p w:rsidR="00667CB2" w:rsidRPr="00667CB2" w:rsidRDefault="00D66C93" w:rsidP="00667CB2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1068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Wadah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tahan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tusukan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667CB2" w:rsidRPr="00667CB2" w:rsidRDefault="00667CB2" w:rsidP="00667CB2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1068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667CB2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Jarum suntik bekas pakai, potongan kemasan obat yang tajam (ampul) atau  sampah tajam lainnya ditaruh di tempat sampah ini. Wadah tidak boleh diisi  sampai penuh,maksimal sampai 2/3 bagian.</w:t>
            </w:r>
          </w:p>
          <w:p w:rsidR="00667CB2" w:rsidRPr="00667CB2" w:rsidRDefault="00667CB2" w:rsidP="00667CB2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1068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Bila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sudah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terisi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cukup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pastikan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wadah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tertutup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aman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taruh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khusus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pengumpulan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pengambilan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sampah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.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Sampah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diambil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oleh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petugas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diproses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sesuai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ketentuan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pengelolaan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sampah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medis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CF1018" w:rsidRPr="00964454" w:rsidRDefault="00667CB2" w:rsidP="00CF1018">
            <w:pPr>
              <w:pStyle w:val="ListParagraph"/>
              <w:numPr>
                <w:ilvl w:val="0"/>
                <w:numId w:val="21"/>
              </w:numPr>
              <w:tabs>
                <w:tab w:val="left" w:pos="927"/>
              </w:tabs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Bila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terdapat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percikan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permukaan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sampah</w:t>
            </w:r>
            <w:proofErr w:type="gram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,segera</w:t>
            </w:r>
            <w:proofErr w:type="spellEnd"/>
            <w:proofErr w:type="gram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bersihkan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cairan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klorin</w:t>
            </w:r>
            <w:proofErr w:type="spellEnd"/>
            <w:r w:rsidRPr="00667CB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1%.</w:t>
            </w:r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sampah</w:t>
            </w:r>
            <w:proofErr w:type="spellEnd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medis</w:t>
            </w:r>
            <w:proofErr w:type="spellEnd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benda</w:t>
            </w:r>
            <w:proofErr w:type="spellEnd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tajam</w:t>
            </w:r>
            <w:proofErr w:type="spellEnd"/>
            <w:r w:rsidR="00CF1018"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</w:t>
            </w:r>
          </w:p>
          <w:p w:rsidR="00CF1018" w:rsidRPr="00964454" w:rsidRDefault="00CF1018" w:rsidP="00CF101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06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Wadah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berupa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kantong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plastik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2 lapis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diikat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kencang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CF1018" w:rsidRPr="00964454" w:rsidRDefault="00CF1018" w:rsidP="00CF101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06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Kasa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bekas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dialiser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blood line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bekas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pakai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wadah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ini</w:t>
            </w:r>
            <w:proofErr w:type="spellEnd"/>
          </w:p>
          <w:p w:rsidR="00CF1018" w:rsidRPr="00964454" w:rsidRDefault="00CF1018" w:rsidP="00CF101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068"/>
              <w:jc w:val="both"/>
              <w:rPr>
                <w:rFonts w:ascii="Arial" w:hAnsi="Arial" w:cs="Arial"/>
                <w:szCs w:val="22"/>
              </w:rPr>
            </w:pPr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Blood line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dibuang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dalam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keadaan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klem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tertutup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agar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sisa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berceceran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CF1018" w:rsidRPr="00964454" w:rsidRDefault="00CF1018" w:rsidP="00CF1018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non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medis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</w:t>
            </w:r>
          </w:p>
          <w:p w:rsidR="00667CB2" w:rsidRPr="00BF77AC" w:rsidRDefault="00CF1018" w:rsidP="00CF1018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1068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Berfungsi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menampung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tercemar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darah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cairan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tubuh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seperti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kertas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pembungkus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kemasan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lain-lain.</w:t>
            </w:r>
          </w:p>
        </w:tc>
      </w:tr>
      <w:tr w:rsidR="00D66C93" w:rsidRPr="00964454" w:rsidTr="00BF77AC">
        <w:tc>
          <w:tcPr>
            <w:tcW w:w="2310" w:type="dxa"/>
          </w:tcPr>
          <w:p w:rsidR="00D66C93" w:rsidRPr="00964454" w:rsidRDefault="00D66C93" w:rsidP="0096445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964454">
              <w:rPr>
                <w:rFonts w:ascii="Arial" w:hAnsi="Arial" w:cs="Arial"/>
                <w:b/>
                <w:szCs w:val="22"/>
              </w:rPr>
              <w:t xml:space="preserve">Unit </w:t>
            </w:r>
            <w:proofErr w:type="spellStart"/>
            <w:r w:rsidRPr="00964454"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  <w:r w:rsidRPr="00964454">
              <w:rPr>
                <w:rFonts w:ascii="Arial" w:hAnsi="Arial" w:cs="Arial"/>
                <w:b/>
                <w:szCs w:val="22"/>
              </w:rPr>
              <w:t xml:space="preserve"> </w:t>
            </w:r>
          </w:p>
        </w:tc>
        <w:tc>
          <w:tcPr>
            <w:tcW w:w="7029" w:type="dxa"/>
            <w:gridSpan w:val="3"/>
          </w:tcPr>
          <w:p w:rsidR="00D66C93" w:rsidRPr="00964454" w:rsidRDefault="00D66C93" w:rsidP="0096445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Petugas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Hemodialisis</w:t>
            </w:r>
            <w:proofErr w:type="spellEnd"/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Pengelola</w:t>
            </w:r>
            <w:proofErr w:type="spellEnd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Sampah</w:t>
            </w:r>
            <w:proofErr w:type="spellEnd"/>
          </w:p>
          <w:p w:rsidR="00D66C93" w:rsidRPr="00964454" w:rsidRDefault="00D66C93" w:rsidP="0096445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445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Apotik</w:t>
            </w:r>
            <w:proofErr w:type="spellEnd"/>
          </w:p>
        </w:tc>
      </w:tr>
    </w:tbl>
    <w:p w:rsidR="006052E4" w:rsidRPr="00964454" w:rsidRDefault="006052E4" w:rsidP="00964454">
      <w:pPr>
        <w:spacing w:after="0"/>
        <w:rPr>
          <w:rFonts w:ascii="Arial" w:hAnsi="Arial" w:cs="Arial"/>
          <w:szCs w:val="22"/>
          <w:lang w:val="id-ID"/>
        </w:rPr>
      </w:pPr>
    </w:p>
    <w:p w:rsidR="00530B2C" w:rsidRPr="00964454" w:rsidRDefault="00530B2C" w:rsidP="00964454">
      <w:pPr>
        <w:spacing w:after="0"/>
        <w:rPr>
          <w:rFonts w:ascii="Arial" w:hAnsi="Arial" w:cs="Arial"/>
          <w:szCs w:val="22"/>
          <w:lang w:val="id-ID"/>
        </w:rPr>
      </w:pPr>
    </w:p>
    <w:sectPr w:rsidR="00530B2C" w:rsidRPr="00964454" w:rsidSect="00964454">
      <w:pgSz w:w="12242" w:h="18711" w:code="135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F53" w:rsidRDefault="00273F53" w:rsidP="00530B2C">
      <w:pPr>
        <w:spacing w:after="0" w:line="240" w:lineRule="auto"/>
      </w:pPr>
      <w:r>
        <w:separator/>
      </w:r>
    </w:p>
  </w:endnote>
  <w:endnote w:type="continuationSeparator" w:id="0">
    <w:p w:rsidR="00273F53" w:rsidRDefault="00273F53" w:rsidP="0053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F53" w:rsidRDefault="00273F53" w:rsidP="00530B2C">
      <w:pPr>
        <w:spacing w:after="0" w:line="240" w:lineRule="auto"/>
      </w:pPr>
      <w:r>
        <w:separator/>
      </w:r>
    </w:p>
  </w:footnote>
  <w:footnote w:type="continuationSeparator" w:id="0">
    <w:p w:rsidR="00273F53" w:rsidRDefault="00273F53" w:rsidP="0053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AA5"/>
    <w:multiLevelType w:val="hybridMultilevel"/>
    <w:tmpl w:val="7A2686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C14BF"/>
    <w:multiLevelType w:val="multilevel"/>
    <w:tmpl w:val="4998E0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440"/>
      </w:pPr>
      <w:rPr>
        <w:rFonts w:hint="default"/>
      </w:rPr>
    </w:lvl>
  </w:abstractNum>
  <w:abstractNum w:abstractNumId="2">
    <w:nsid w:val="16317AFB"/>
    <w:multiLevelType w:val="hybridMultilevel"/>
    <w:tmpl w:val="AA563A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294DFD"/>
    <w:multiLevelType w:val="hybridMultilevel"/>
    <w:tmpl w:val="05F609BC"/>
    <w:lvl w:ilvl="0" w:tplc="04090019">
      <w:start w:val="1"/>
      <w:numFmt w:val="lowerLetter"/>
      <w:lvlText w:val="%1."/>
      <w:lvlJc w:val="left"/>
      <w:pPr>
        <w:ind w:left="861" w:hanging="360"/>
      </w:pPr>
    </w:lvl>
    <w:lvl w:ilvl="1" w:tplc="04090019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>
    <w:nsid w:val="248841A8"/>
    <w:multiLevelType w:val="hybridMultilevel"/>
    <w:tmpl w:val="C540B4B0"/>
    <w:lvl w:ilvl="0" w:tplc="8EB8ADA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8618F"/>
    <w:multiLevelType w:val="hybridMultilevel"/>
    <w:tmpl w:val="0D2C9144"/>
    <w:lvl w:ilvl="0" w:tplc="04090011">
      <w:start w:val="1"/>
      <w:numFmt w:val="decimal"/>
      <w:lvlText w:val="%1)"/>
      <w:lvlJc w:val="left"/>
      <w:pPr>
        <w:ind w:left="2178" w:hanging="360"/>
      </w:pPr>
    </w:lvl>
    <w:lvl w:ilvl="1" w:tplc="04090019" w:tentative="1">
      <w:start w:val="1"/>
      <w:numFmt w:val="lowerLetter"/>
      <w:lvlText w:val="%2."/>
      <w:lvlJc w:val="left"/>
      <w:pPr>
        <w:ind w:left="2898" w:hanging="360"/>
      </w:pPr>
    </w:lvl>
    <w:lvl w:ilvl="2" w:tplc="0409001B" w:tentative="1">
      <w:start w:val="1"/>
      <w:numFmt w:val="lowerRoman"/>
      <w:lvlText w:val="%3."/>
      <w:lvlJc w:val="right"/>
      <w:pPr>
        <w:ind w:left="3618" w:hanging="180"/>
      </w:pPr>
    </w:lvl>
    <w:lvl w:ilvl="3" w:tplc="0409000F" w:tentative="1">
      <w:start w:val="1"/>
      <w:numFmt w:val="decimal"/>
      <w:lvlText w:val="%4."/>
      <w:lvlJc w:val="left"/>
      <w:pPr>
        <w:ind w:left="4338" w:hanging="360"/>
      </w:pPr>
    </w:lvl>
    <w:lvl w:ilvl="4" w:tplc="04090019" w:tentative="1">
      <w:start w:val="1"/>
      <w:numFmt w:val="lowerLetter"/>
      <w:lvlText w:val="%5."/>
      <w:lvlJc w:val="left"/>
      <w:pPr>
        <w:ind w:left="5058" w:hanging="360"/>
      </w:pPr>
    </w:lvl>
    <w:lvl w:ilvl="5" w:tplc="0409001B" w:tentative="1">
      <w:start w:val="1"/>
      <w:numFmt w:val="lowerRoman"/>
      <w:lvlText w:val="%6."/>
      <w:lvlJc w:val="right"/>
      <w:pPr>
        <w:ind w:left="5778" w:hanging="180"/>
      </w:pPr>
    </w:lvl>
    <w:lvl w:ilvl="6" w:tplc="0409000F" w:tentative="1">
      <w:start w:val="1"/>
      <w:numFmt w:val="decimal"/>
      <w:lvlText w:val="%7."/>
      <w:lvlJc w:val="left"/>
      <w:pPr>
        <w:ind w:left="6498" w:hanging="360"/>
      </w:pPr>
    </w:lvl>
    <w:lvl w:ilvl="7" w:tplc="04090019" w:tentative="1">
      <w:start w:val="1"/>
      <w:numFmt w:val="lowerLetter"/>
      <w:lvlText w:val="%8."/>
      <w:lvlJc w:val="left"/>
      <w:pPr>
        <w:ind w:left="7218" w:hanging="360"/>
      </w:pPr>
    </w:lvl>
    <w:lvl w:ilvl="8" w:tplc="0409001B" w:tentative="1">
      <w:start w:val="1"/>
      <w:numFmt w:val="lowerRoman"/>
      <w:lvlText w:val="%9."/>
      <w:lvlJc w:val="right"/>
      <w:pPr>
        <w:ind w:left="7938" w:hanging="180"/>
      </w:pPr>
    </w:lvl>
  </w:abstractNum>
  <w:abstractNum w:abstractNumId="6">
    <w:nsid w:val="318B6B6F"/>
    <w:multiLevelType w:val="multilevel"/>
    <w:tmpl w:val="82881B4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lowerLetter"/>
      <w:lvlText w:val="%2."/>
      <w:lvlJc w:val="left"/>
      <w:pPr>
        <w:ind w:left="18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48" w:hanging="1440"/>
      </w:pPr>
      <w:rPr>
        <w:rFonts w:hint="default"/>
      </w:rPr>
    </w:lvl>
  </w:abstractNum>
  <w:abstractNum w:abstractNumId="7">
    <w:nsid w:val="393D15DF"/>
    <w:multiLevelType w:val="hybridMultilevel"/>
    <w:tmpl w:val="9C6A3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60AA0"/>
    <w:multiLevelType w:val="hybridMultilevel"/>
    <w:tmpl w:val="2320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27F5E"/>
    <w:multiLevelType w:val="hybridMultilevel"/>
    <w:tmpl w:val="153C0EE2"/>
    <w:lvl w:ilvl="0" w:tplc="04090011">
      <w:start w:val="1"/>
      <w:numFmt w:val="decimal"/>
      <w:lvlText w:val="%1)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0">
    <w:nsid w:val="4AC40CA8"/>
    <w:multiLevelType w:val="hybridMultilevel"/>
    <w:tmpl w:val="71D0947A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4EFC576D"/>
    <w:multiLevelType w:val="multilevel"/>
    <w:tmpl w:val="75D0139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48" w:hanging="1440"/>
      </w:pPr>
      <w:rPr>
        <w:rFonts w:hint="default"/>
      </w:rPr>
    </w:lvl>
  </w:abstractNum>
  <w:abstractNum w:abstractNumId="12">
    <w:nsid w:val="5AD73D07"/>
    <w:multiLevelType w:val="hybridMultilevel"/>
    <w:tmpl w:val="E468E7FA"/>
    <w:lvl w:ilvl="0" w:tplc="A43E5A7C">
      <w:start w:val="1"/>
      <w:numFmt w:val="lowerLetter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3">
    <w:nsid w:val="5CC77EDC"/>
    <w:multiLevelType w:val="hybridMultilevel"/>
    <w:tmpl w:val="1B3888F2"/>
    <w:lvl w:ilvl="0" w:tplc="04090011">
      <w:start w:val="1"/>
      <w:numFmt w:val="decimal"/>
      <w:lvlText w:val="%1)"/>
      <w:lvlJc w:val="left"/>
      <w:pPr>
        <w:ind w:left="1542" w:hanging="360"/>
      </w:p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4">
    <w:nsid w:val="5FA76256"/>
    <w:multiLevelType w:val="hybridMultilevel"/>
    <w:tmpl w:val="86D873E4"/>
    <w:lvl w:ilvl="0" w:tplc="058E63B4">
      <w:start w:val="1"/>
      <w:numFmt w:val="decimal"/>
      <w:lvlText w:val="%1)"/>
      <w:lvlJc w:val="left"/>
      <w:pPr>
        <w:ind w:left="1340" w:hanging="360"/>
      </w:p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5">
    <w:nsid w:val="62C9075B"/>
    <w:multiLevelType w:val="multilevel"/>
    <w:tmpl w:val="E196DF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48" w:hanging="1440"/>
      </w:pPr>
      <w:rPr>
        <w:rFonts w:hint="default"/>
      </w:rPr>
    </w:lvl>
  </w:abstractNum>
  <w:abstractNum w:abstractNumId="16">
    <w:nsid w:val="6AE6557C"/>
    <w:multiLevelType w:val="multilevel"/>
    <w:tmpl w:val="561CC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78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96" w:hanging="1440"/>
      </w:pPr>
      <w:rPr>
        <w:rFonts w:hint="default"/>
      </w:rPr>
    </w:lvl>
  </w:abstractNum>
  <w:abstractNum w:abstractNumId="17">
    <w:nsid w:val="6E6E3B42"/>
    <w:multiLevelType w:val="hybridMultilevel"/>
    <w:tmpl w:val="25A0B644"/>
    <w:lvl w:ilvl="0" w:tplc="04090011">
      <w:start w:val="1"/>
      <w:numFmt w:val="decimal"/>
      <w:lvlText w:val="%1)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8">
    <w:nsid w:val="71FC10B2"/>
    <w:multiLevelType w:val="multilevel"/>
    <w:tmpl w:val="C84EE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lowerLetter"/>
      <w:lvlText w:val="%2."/>
      <w:lvlJc w:val="left"/>
      <w:pPr>
        <w:ind w:left="78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96" w:hanging="1440"/>
      </w:pPr>
      <w:rPr>
        <w:rFonts w:hint="default"/>
      </w:rPr>
    </w:lvl>
  </w:abstractNum>
  <w:abstractNum w:abstractNumId="19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D05627"/>
    <w:multiLevelType w:val="hybridMultilevel"/>
    <w:tmpl w:val="CB5AAF8E"/>
    <w:lvl w:ilvl="0" w:tplc="F9AE1B68">
      <w:start w:val="6"/>
      <w:numFmt w:val="lowerLetter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1A4F76"/>
    <w:multiLevelType w:val="hybridMultilevel"/>
    <w:tmpl w:val="86D873E4"/>
    <w:lvl w:ilvl="0" w:tplc="058E63B4">
      <w:start w:val="1"/>
      <w:numFmt w:val="decimal"/>
      <w:lvlText w:val="%1)"/>
      <w:lvlJc w:val="left"/>
      <w:pPr>
        <w:ind w:left="1340" w:hanging="360"/>
      </w:p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2">
    <w:nsid w:val="798F3CB6"/>
    <w:multiLevelType w:val="multilevel"/>
    <w:tmpl w:val="096CC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3">
    <w:nsid w:val="7EBA6B78"/>
    <w:multiLevelType w:val="multilevel"/>
    <w:tmpl w:val="3EE8C4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44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11"/>
  </w:num>
  <w:num w:numId="4">
    <w:abstractNumId w:val="4"/>
  </w:num>
  <w:num w:numId="5">
    <w:abstractNumId w:val="19"/>
  </w:num>
  <w:num w:numId="6">
    <w:abstractNumId w:val="3"/>
  </w:num>
  <w:num w:numId="7">
    <w:abstractNumId w:val="16"/>
  </w:num>
  <w:num w:numId="8">
    <w:abstractNumId w:val="9"/>
  </w:num>
  <w:num w:numId="9">
    <w:abstractNumId w:val="2"/>
  </w:num>
  <w:num w:numId="10">
    <w:abstractNumId w:val="20"/>
  </w:num>
  <w:num w:numId="11">
    <w:abstractNumId w:val="23"/>
  </w:num>
  <w:num w:numId="12">
    <w:abstractNumId w:val="8"/>
  </w:num>
  <w:num w:numId="13">
    <w:abstractNumId w:val="10"/>
  </w:num>
  <w:num w:numId="14">
    <w:abstractNumId w:val="7"/>
  </w:num>
  <w:num w:numId="15">
    <w:abstractNumId w:val="17"/>
  </w:num>
  <w:num w:numId="16">
    <w:abstractNumId w:val="1"/>
  </w:num>
  <w:num w:numId="17">
    <w:abstractNumId w:val="0"/>
  </w:num>
  <w:num w:numId="18">
    <w:abstractNumId w:val="15"/>
  </w:num>
  <w:num w:numId="19">
    <w:abstractNumId w:val="6"/>
  </w:num>
  <w:num w:numId="20">
    <w:abstractNumId w:val="13"/>
  </w:num>
  <w:num w:numId="21">
    <w:abstractNumId w:val="12"/>
  </w:num>
  <w:num w:numId="22">
    <w:abstractNumId w:val="14"/>
  </w:num>
  <w:num w:numId="23">
    <w:abstractNumId w:val="5"/>
  </w:num>
  <w:num w:numId="24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DA"/>
    <w:rsid w:val="0014214D"/>
    <w:rsid w:val="00273F53"/>
    <w:rsid w:val="00314A4F"/>
    <w:rsid w:val="003A0447"/>
    <w:rsid w:val="003A5EA5"/>
    <w:rsid w:val="00432F06"/>
    <w:rsid w:val="0044263D"/>
    <w:rsid w:val="00476AA7"/>
    <w:rsid w:val="00497C64"/>
    <w:rsid w:val="00530B2C"/>
    <w:rsid w:val="005753F5"/>
    <w:rsid w:val="005F1D1D"/>
    <w:rsid w:val="005F648D"/>
    <w:rsid w:val="006052E4"/>
    <w:rsid w:val="00667CB2"/>
    <w:rsid w:val="00822A4F"/>
    <w:rsid w:val="00846712"/>
    <w:rsid w:val="00862DEF"/>
    <w:rsid w:val="008940DA"/>
    <w:rsid w:val="008E057D"/>
    <w:rsid w:val="009271D1"/>
    <w:rsid w:val="009534A6"/>
    <w:rsid w:val="00964454"/>
    <w:rsid w:val="00A46364"/>
    <w:rsid w:val="00A71B77"/>
    <w:rsid w:val="00A965F2"/>
    <w:rsid w:val="00B00442"/>
    <w:rsid w:val="00B97DBB"/>
    <w:rsid w:val="00BD6E0C"/>
    <w:rsid w:val="00BE5F8D"/>
    <w:rsid w:val="00BF77AC"/>
    <w:rsid w:val="00C85A50"/>
    <w:rsid w:val="00C93894"/>
    <w:rsid w:val="00CE604B"/>
    <w:rsid w:val="00CF1018"/>
    <w:rsid w:val="00D03B9A"/>
    <w:rsid w:val="00D66221"/>
    <w:rsid w:val="00D66C93"/>
    <w:rsid w:val="00E13192"/>
    <w:rsid w:val="00E155B3"/>
    <w:rsid w:val="00E95E50"/>
    <w:rsid w:val="00EB291E"/>
    <w:rsid w:val="00F83956"/>
    <w:rsid w:val="00FA0770"/>
    <w:rsid w:val="00F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DA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8940D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940DA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940DA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8940DA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59"/>
    <w:rsid w:val="00FB5343"/>
    <w:pPr>
      <w:spacing w:after="0" w:line="240" w:lineRule="auto"/>
    </w:pPr>
    <w:rPr>
      <w:szCs w:val="28"/>
      <w:lang w:val="en-US" w:bidi="th-T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0B2C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30B2C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530B2C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30B2C"/>
    <w:rPr>
      <w:rFonts w:cs="Angsana New"/>
      <w:color w:val="00000A"/>
      <w:szCs w:val="28"/>
      <w:lang w:val="en-US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956"/>
    <w:rPr>
      <w:rFonts w:ascii="Tahoma" w:hAnsi="Tahoma" w:cs="Angsana New"/>
      <w:color w:val="00000A"/>
      <w:sz w:val="16"/>
      <w:szCs w:val="20"/>
      <w:lang w:val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DA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8940D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940DA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940DA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8940DA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59"/>
    <w:rsid w:val="00FB5343"/>
    <w:pPr>
      <w:spacing w:after="0" w:line="240" w:lineRule="auto"/>
    </w:pPr>
    <w:rPr>
      <w:szCs w:val="28"/>
      <w:lang w:val="en-US" w:bidi="th-T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0B2C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30B2C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530B2C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30B2C"/>
    <w:rPr>
      <w:rFonts w:cs="Angsana New"/>
      <w:color w:val="00000A"/>
      <w:szCs w:val="28"/>
      <w:lang w:val="en-US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956"/>
    <w:rPr>
      <w:rFonts w:ascii="Tahoma" w:hAnsi="Tahoma" w:cs="Angsana New"/>
      <w:color w:val="00000A"/>
      <w:sz w:val="16"/>
      <w:szCs w:val="20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B9AAF-F7AC-4939-96CB-29E276A6B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</dc:creator>
  <cp:lastModifiedBy>Gen Computer</cp:lastModifiedBy>
  <cp:revision>4</cp:revision>
  <cp:lastPrinted>2018-06-12T04:09:00Z</cp:lastPrinted>
  <dcterms:created xsi:type="dcterms:W3CDTF">2018-10-07T04:19:00Z</dcterms:created>
  <dcterms:modified xsi:type="dcterms:W3CDTF">2018-10-07T06:44:00Z</dcterms:modified>
</cp:coreProperties>
</file>