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35"/>
        <w:tblW w:w="9449" w:type="dxa"/>
        <w:tblLook w:val="04A0" w:firstRow="1" w:lastRow="0" w:firstColumn="1" w:lastColumn="0" w:noHBand="0" w:noVBand="1"/>
      </w:tblPr>
      <w:tblGrid>
        <w:gridCol w:w="2549"/>
        <w:gridCol w:w="2617"/>
        <w:gridCol w:w="2027"/>
        <w:gridCol w:w="2256"/>
      </w:tblGrid>
      <w:tr w:rsidR="0014441C" w:rsidRPr="00151663" w:rsidTr="00151EEB">
        <w:trPr>
          <w:trHeight w:val="859"/>
        </w:trPr>
        <w:tc>
          <w:tcPr>
            <w:tcW w:w="2549" w:type="dxa"/>
            <w:vMerge w:val="restart"/>
          </w:tcPr>
          <w:p w:rsidR="0014441C" w:rsidRPr="00151663" w:rsidRDefault="00260D66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70451546" wp14:editId="254E1F88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0" w:type="dxa"/>
            <w:gridSpan w:val="3"/>
            <w:vAlign w:val="center"/>
          </w:tcPr>
          <w:p w:rsidR="0014441C" w:rsidRPr="00151663" w:rsidRDefault="00B1419E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b/>
                <w:lang w:val="id-ID"/>
              </w:rPr>
              <w:t>PENDELEGASIAN WEWENANG DOKTER SPESIALIS HEMODIALISA KEPADA PERAWAT HEMODIALISA</w:t>
            </w:r>
          </w:p>
        </w:tc>
      </w:tr>
      <w:tr w:rsidR="0014441C" w:rsidRPr="00151663" w:rsidTr="00151EEB">
        <w:trPr>
          <w:trHeight w:val="828"/>
        </w:trPr>
        <w:tc>
          <w:tcPr>
            <w:tcW w:w="2549" w:type="dxa"/>
            <w:vMerge/>
          </w:tcPr>
          <w:p w:rsidR="0014441C" w:rsidRPr="00151663" w:rsidRDefault="0014441C" w:rsidP="0015166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7" w:type="dxa"/>
          </w:tcPr>
          <w:p w:rsidR="0014441C" w:rsidRPr="00151663" w:rsidRDefault="0014441C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</w:rPr>
              <w:t xml:space="preserve">No. </w:t>
            </w:r>
            <w:proofErr w:type="spellStart"/>
            <w:r w:rsidRPr="00151663">
              <w:rPr>
                <w:rFonts w:ascii="Arial" w:hAnsi="Arial" w:cs="Arial"/>
              </w:rPr>
              <w:t>Dokumen</w:t>
            </w:r>
            <w:proofErr w:type="spellEnd"/>
          </w:p>
          <w:p w:rsidR="00260D66" w:rsidRPr="00151663" w:rsidRDefault="00260D66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151663" w:rsidRDefault="00260D66" w:rsidP="00151663">
            <w:pPr>
              <w:spacing w:line="276" w:lineRule="auto"/>
              <w:ind w:left="286" w:firstLine="567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027" w:type="dxa"/>
          </w:tcPr>
          <w:p w:rsidR="0014441C" w:rsidRPr="00151663" w:rsidRDefault="0014441C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</w:rPr>
              <w:t>No.</w:t>
            </w:r>
            <w:r w:rsidRPr="00151663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151663" w:rsidRDefault="0014441C" w:rsidP="0015166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256" w:type="dxa"/>
          </w:tcPr>
          <w:p w:rsidR="00151EEB" w:rsidRPr="00151663" w:rsidRDefault="0014441C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51663">
              <w:rPr>
                <w:rFonts w:ascii="Arial" w:hAnsi="Arial" w:cs="Arial"/>
              </w:rPr>
              <w:t>Halaman</w:t>
            </w:r>
            <w:proofErr w:type="spellEnd"/>
            <w:r w:rsidRPr="00151663">
              <w:rPr>
                <w:rFonts w:ascii="Arial" w:hAnsi="Arial" w:cs="Arial"/>
              </w:rPr>
              <w:t xml:space="preserve"> :</w:t>
            </w:r>
          </w:p>
          <w:p w:rsidR="00151EEB" w:rsidRPr="00151663" w:rsidRDefault="00151EEB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151663" w:rsidRDefault="0014441C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</w:rPr>
              <w:t xml:space="preserve"> 1/2</w:t>
            </w:r>
          </w:p>
          <w:p w:rsidR="0014441C" w:rsidRPr="00151663" w:rsidRDefault="0014441C" w:rsidP="0015166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4441C" w:rsidRPr="00151663" w:rsidTr="00151EEB">
        <w:trPr>
          <w:trHeight w:val="1944"/>
        </w:trPr>
        <w:tc>
          <w:tcPr>
            <w:tcW w:w="2549" w:type="dxa"/>
            <w:vAlign w:val="center"/>
          </w:tcPr>
          <w:p w:rsidR="00FF61C7" w:rsidRPr="00151663" w:rsidRDefault="00FF61C7" w:rsidP="00151663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51663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151663" w:rsidRDefault="00FF61C7" w:rsidP="00151663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51663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151663" w:rsidRDefault="00FF61C7" w:rsidP="0015166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51663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7" w:type="dxa"/>
          </w:tcPr>
          <w:p w:rsidR="00FF61C7" w:rsidRPr="00151663" w:rsidRDefault="00FF61C7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151663" w:rsidRDefault="00FF61C7" w:rsidP="00151663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51663">
              <w:rPr>
                <w:rFonts w:ascii="Arial" w:hAnsi="Arial" w:cs="Arial"/>
              </w:rPr>
              <w:t>Tanggal</w:t>
            </w:r>
            <w:proofErr w:type="spellEnd"/>
            <w:r w:rsidRPr="00151663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</w:rPr>
              <w:t>Terbit</w:t>
            </w:r>
            <w:proofErr w:type="spellEnd"/>
            <w:r w:rsidRPr="00151663">
              <w:rPr>
                <w:rFonts w:ascii="Arial" w:hAnsi="Arial" w:cs="Arial"/>
                <w:lang w:val="id-ID"/>
              </w:rPr>
              <w:t>,</w:t>
            </w:r>
          </w:p>
          <w:p w:rsidR="0014441C" w:rsidRPr="00151663" w:rsidRDefault="00260D66" w:rsidP="00151663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283" w:type="dxa"/>
            <w:gridSpan w:val="2"/>
          </w:tcPr>
          <w:p w:rsidR="00FF61C7" w:rsidRPr="00151663" w:rsidRDefault="00260D66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sv-SE"/>
              </w:rPr>
              <w:t>Ditetapkan</w:t>
            </w:r>
            <w:r w:rsidRPr="00151663"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151663" w:rsidRDefault="00FF61C7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51663">
              <w:rPr>
                <w:rFonts w:ascii="Arial" w:hAnsi="Arial" w:cs="Arial"/>
                <w:lang w:val="sv-SE"/>
              </w:rPr>
              <w:t>Direktur</w:t>
            </w:r>
            <w:r w:rsidR="00260D66" w:rsidRPr="00151663">
              <w:rPr>
                <w:rFonts w:ascii="Arial" w:hAnsi="Arial" w:cs="Arial"/>
                <w:lang w:val="id-ID"/>
              </w:rPr>
              <w:t xml:space="preserve"> </w:t>
            </w:r>
            <w:r w:rsidRPr="00151663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151663" w:rsidRDefault="00FF61C7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51663" w:rsidRDefault="00FF61C7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51663" w:rsidRDefault="00FF61C7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151663" w:rsidRDefault="00260D66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151663" w:rsidRDefault="00FF61C7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151663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151663" w:rsidRDefault="00FF61C7" w:rsidP="0015166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51663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151663" w:rsidRDefault="00FF61C7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151663" w:rsidTr="00151EEB">
        <w:trPr>
          <w:trHeight w:val="5054"/>
        </w:trPr>
        <w:tc>
          <w:tcPr>
            <w:tcW w:w="2549" w:type="dxa"/>
            <w:vAlign w:val="center"/>
          </w:tcPr>
          <w:p w:rsidR="00FF61C7" w:rsidRPr="00151663" w:rsidRDefault="00FF61C7" w:rsidP="0015166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51663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00" w:type="dxa"/>
            <w:gridSpan w:val="3"/>
          </w:tcPr>
          <w:p w:rsidR="00151EEB" w:rsidRPr="00151663" w:rsidRDefault="00151EEB" w:rsidP="0015166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8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Pelimpahan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wewenang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pihak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berhak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pihak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berhak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berdasarkan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kesepakatan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kedua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pihak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tertulis.</w:t>
            </w:r>
            <w:proofErr w:type="spellEnd"/>
          </w:p>
          <w:p w:rsidR="00151EEB" w:rsidRPr="00151663" w:rsidRDefault="00151EEB" w:rsidP="0015166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8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Pelimpahan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tugas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spesialls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hemodialtsa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terjadi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ketika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melaksanakan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r w:rsidRPr="00151663">
              <w:rPr>
                <w:rFonts w:ascii="Arial" w:hAnsi="Arial" w:cs="Arial"/>
                <w:szCs w:val="22"/>
                <w:lang w:val="id-ID"/>
              </w:rPr>
              <w:t>fungsi</w:t>
            </w:r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koordinat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>if</w:t>
            </w:r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terapeutik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151663">
              <w:rPr>
                <w:rFonts w:ascii="Arial" w:hAnsi="Arial" w:cs="Arial"/>
                <w:szCs w:val="22"/>
              </w:rPr>
              <w:t>be</w:t>
            </w:r>
            <w:r w:rsidRPr="00151663">
              <w:rPr>
                <w:rFonts w:ascii="Arial" w:hAnsi="Arial" w:cs="Arial"/>
                <w:szCs w:val="22"/>
                <w:lang w:val="id-ID"/>
              </w:rPr>
              <w:t>rupa</w:t>
            </w:r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keperawatan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kolaratif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menempatkan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sebagai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mitra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bekerjasama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</w:t>
            </w:r>
            <w:r w:rsidRPr="00151663">
              <w:rPr>
                <w:rFonts w:ascii="Arial" w:hAnsi="Arial" w:cs="Arial"/>
                <w:szCs w:val="22"/>
              </w:rPr>
              <w:t>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tenaga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lainnya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termasuk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r w:rsidRPr="00151663">
              <w:rPr>
                <w:rFonts w:ascii="Arial" w:hAnsi="Arial" w:cs="Arial"/>
                <w:szCs w:val="22"/>
              </w:rPr>
              <w:t>sesame</w:t>
            </w:r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perawat.</w:t>
            </w:r>
            <w:proofErr w:type="spellEnd"/>
          </w:p>
          <w:p w:rsidR="00FF61C7" w:rsidRPr="00151663" w:rsidRDefault="00151EEB" w:rsidP="0015166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8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kewenangan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adatah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Sedangkan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kewenangan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adalah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melaksanakan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didelegasikan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>,</w:t>
            </w:r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memonitor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respon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ditakukan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>,</w:t>
            </w:r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kolaborasi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terkait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perubahan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respon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mandiri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>.</w:t>
            </w:r>
          </w:p>
        </w:tc>
      </w:tr>
      <w:tr w:rsidR="00FF61C7" w:rsidRPr="00151663" w:rsidTr="00151EEB">
        <w:trPr>
          <w:trHeight w:val="1198"/>
        </w:trPr>
        <w:tc>
          <w:tcPr>
            <w:tcW w:w="2549" w:type="dxa"/>
            <w:vAlign w:val="center"/>
          </w:tcPr>
          <w:p w:rsidR="00FF61C7" w:rsidRPr="00151663" w:rsidRDefault="00FF61C7" w:rsidP="0015166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51663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00" w:type="dxa"/>
            <w:gridSpan w:val="3"/>
          </w:tcPr>
          <w:p w:rsidR="00FF61C7" w:rsidRPr="00151663" w:rsidRDefault="00151EEB" w:rsidP="00151663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Agar petugas dapat melakukan dan menyelesaikan pekerjaan dengan lebih cepat sekiranya pelimpahan wewenang tersebut berjalan sebagaimana mestinya dan diberikan kepada orang yang bertanggung jawab sesuai dengan kompetensinya</w:t>
            </w:r>
          </w:p>
        </w:tc>
      </w:tr>
      <w:tr w:rsidR="00FF61C7" w:rsidRPr="00151663" w:rsidTr="00151EEB">
        <w:trPr>
          <w:trHeight w:val="2058"/>
        </w:trPr>
        <w:tc>
          <w:tcPr>
            <w:tcW w:w="2549" w:type="dxa"/>
            <w:vAlign w:val="center"/>
          </w:tcPr>
          <w:p w:rsidR="00FF61C7" w:rsidRPr="00151663" w:rsidRDefault="00FF61C7" w:rsidP="0015166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51663">
              <w:rPr>
                <w:rFonts w:ascii="Arial" w:hAnsi="Arial" w:cs="Arial"/>
                <w:b/>
              </w:rPr>
              <w:t>Kebijakan</w:t>
            </w:r>
            <w:proofErr w:type="spellEnd"/>
            <w:r w:rsidRPr="0015166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00" w:type="dxa"/>
            <w:gridSpan w:val="3"/>
          </w:tcPr>
          <w:p w:rsidR="00260D66" w:rsidRPr="00151663" w:rsidRDefault="00260D66" w:rsidP="0015166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60D66" w:rsidRPr="00151663" w:rsidRDefault="00260D66" w:rsidP="0015166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151663" w:rsidRDefault="00260D66" w:rsidP="0015166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151663">
              <w:rPr>
                <w:rFonts w:ascii="Arial" w:hAnsi="Arial" w:cs="Arial"/>
              </w:rPr>
              <w:t>d</w:t>
            </w:r>
            <w:r w:rsidRPr="00151663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151663">
              <w:rPr>
                <w:rFonts w:ascii="Arial" w:hAnsi="Arial" w:cs="Arial"/>
              </w:rPr>
              <w:t>Murjani</w:t>
            </w:r>
            <w:proofErr w:type="spellEnd"/>
            <w:r w:rsidRPr="00151663">
              <w:rPr>
                <w:rFonts w:ascii="Arial" w:hAnsi="Arial" w:cs="Arial"/>
              </w:rPr>
              <w:t xml:space="preserve"> </w:t>
            </w:r>
            <w:proofErr w:type="gramStart"/>
            <w:r w:rsidRPr="00151663">
              <w:rPr>
                <w:rFonts w:ascii="Arial" w:hAnsi="Arial" w:cs="Arial"/>
              </w:rPr>
              <w:t>N</w:t>
            </w:r>
            <w:r w:rsidRPr="00151663">
              <w:rPr>
                <w:rFonts w:ascii="Arial" w:hAnsi="Arial" w:cs="Arial"/>
                <w:lang w:val="id-ID"/>
              </w:rPr>
              <w:t xml:space="preserve">omor </w:t>
            </w:r>
            <w:r w:rsidRPr="00151663">
              <w:rPr>
                <w:rFonts w:ascii="Arial" w:hAnsi="Arial" w:cs="Arial"/>
              </w:rPr>
              <w:t xml:space="preserve"> /</w:t>
            </w:r>
            <w:proofErr w:type="gramEnd"/>
            <w:r w:rsidRPr="00151663">
              <w:rPr>
                <w:rFonts w:ascii="Arial" w:hAnsi="Arial" w:cs="Arial"/>
              </w:rPr>
              <w:t>SKPT/</w:t>
            </w:r>
            <w:r w:rsidRPr="00151663">
              <w:rPr>
                <w:rFonts w:ascii="Arial" w:hAnsi="Arial" w:cs="Arial"/>
                <w:lang w:val="id-ID"/>
              </w:rPr>
              <w:t>DIR/P05/</w:t>
            </w:r>
            <w:r w:rsidRPr="00151663">
              <w:rPr>
                <w:rFonts w:ascii="Arial" w:hAnsi="Arial" w:cs="Arial"/>
              </w:rPr>
              <w:t>RSUD-DM/1/201</w:t>
            </w:r>
            <w:r w:rsidRPr="00151663">
              <w:rPr>
                <w:rFonts w:ascii="Arial" w:hAnsi="Arial" w:cs="Arial"/>
                <w:lang w:val="id-ID"/>
              </w:rPr>
              <w:t>8</w:t>
            </w:r>
            <w:r w:rsidRPr="00151663">
              <w:rPr>
                <w:rFonts w:ascii="Arial" w:hAnsi="Arial" w:cs="Arial"/>
              </w:rPr>
              <w:t xml:space="preserve"> </w:t>
            </w:r>
            <w:r w:rsidRPr="00151663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151663" w:rsidTr="00151EEB">
        <w:trPr>
          <w:trHeight w:val="1125"/>
        </w:trPr>
        <w:tc>
          <w:tcPr>
            <w:tcW w:w="2549" w:type="dxa"/>
          </w:tcPr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</w:p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51663">
              <w:rPr>
                <w:rFonts w:ascii="Arial" w:hAnsi="Arial" w:cs="Arial"/>
                <w:b/>
              </w:rPr>
              <w:t>Prosedur</w:t>
            </w:r>
            <w:proofErr w:type="spellEnd"/>
            <w:r w:rsidRPr="0015166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00" w:type="dxa"/>
            <w:gridSpan w:val="3"/>
          </w:tcPr>
          <w:p w:rsidR="00151EEB" w:rsidRPr="00151663" w:rsidRDefault="00151EEB" w:rsidP="0015166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 w:hanging="425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mendelegasikan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metakukan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akses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vakuter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gramStart"/>
            <w:r w:rsidRPr="00151663">
              <w:rPr>
                <w:rFonts w:ascii="Arial" w:hAnsi="Arial" w:cs="Arial"/>
                <w:szCs w:val="22"/>
              </w:rPr>
              <w:t xml:space="preserve">(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Femoratis,cimono,doubte</w:t>
            </w:r>
            <w:proofErr w:type="spellEnd"/>
            <w:proofErr w:type="gram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tumen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)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>.</w:t>
            </w:r>
          </w:p>
          <w:p w:rsidR="00454B01" w:rsidRPr="00151663" w:rsidRDefault="00151EEB" w:rsidP="0015166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 w:hanging="425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mendelegasikan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penggantian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tenckhoof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kateter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CAPD, training</w:t>
            </w:r>
            <w:r w:rsidR="00151663"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</w:p>
        </w:tc>
      </w:tr>
    </w:tbl>
    <w:p w:rsidR="00454B01" w:rsidRPr="00151663" w:rsidRDefault="00454B01" w:rsidP="00151663">
      <w:pPr>
        <w:rPr>
          <w:rFonts w:ascii="Arial" w:hAnsi="Arial" w:cs="Arial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846"/>
        <w:gridCol w:w="1904"/>
        <w:gridCol w:w="1982"/>
      </w:tblGrid>
      <w:tr w:rsidR="00454B01" w:rsidRPr="00151663" w:rsidTr="00151663">
        <w:trPr>
          <w:trHeight w:val="839"/>
        </w:trPr>
        <w:tc>
          <w:tcPr>
            <w:tcW w:w="2518" w:type="dxa"/>
            <w:vMerge w:val="restart"/>
          </w:tcPr>
          <w:p w:rsidR="00454B01" w:rsidRPr="00151663" w:rsidRDefault="00151663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411C7D0C" wp14:editId="7CF60AA0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0" w:type="dxa"/>
            <w:gridSpan w:val="3"/>
            <w:vAlign w:val="center"/>
          </w:tcPr>
          <w:p w:rsidR="00454B01" w:rsidRPr="00151663" w:rsidRDefault="00151663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  <w:b/>
                <w:lang w:val="id-ID"/>
              </w:rPr>
              <w:t>PENDELEGASIAN WEWENANG DOKTER SPESIALIS HEMODIALISA KEPADA PERAWAT HEMODIALISA</w:t>
            </w:r>
          </w:p>
        </w:tc>
      </w:tr>
      <w:tr w:rsidR="00454B01" w:rsidRPr="00151663" w:rsidTr="00151663">
        <w:tc>
          <w:tcPr>
            <w:tcW w:w="2518" w:type="dxa"/>
            <w:vMerge/>
          </w:tcPr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65" w:type="dxa"/>
          </w:tcPr>
          <w:p w:rsidR="00454B01" w:rsidRPr="00151663" w:rsidRDefault="00454B01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151663" w:rsidRDefault="00454B01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</w:rPr>
              <w:t xml:space="preserve">No. </w:t>
            </w:r>
            <w:proofErr w:type="spellStart"/>
            <w:r w:rsidRPr="00151663">
              <w:rPr>
                <w:rFonts w:ascii="Arial" w:hAnsi="Arial" w:cs="Arial"/>
              </w:rPr>
              <w:t>Dokumen</w:t>
            </w:r>
            <w:proofErr w:type="spellEnd"/>
          </w:p>
          <w:p w:rsidR="00151663" w:rsidRPr="00151663" w:rsidRDefault="00151663" w:rsidP="00151663">
            <w:pPr>
              <w:spacing w:line="276" w:lineRule="auto"/>
              <w:ind w:left="515" w:firstLine="567"/>
              <w:jc w:val="center"/>
              <w:rPr>
                <w:rFonts w:ascii="Arial" w:hAnsi="Arial" w:cs="Arial"/>
                <w:lang w:val="id-ID"/>
              </w:rPr>
            </w:pPr>
          </w:p>
          <w:p w:rsidR="00151663" w:rsidRPr="00151663" w:rsidRDefault="00151663" w:rsidP="00151663">
            <w:pPr>
              <w:spacing w:line="276" w:lineRule="auto"/>
              <w:ind w:left="515" w:firstLine="567"/>
              <w:jc w:val="center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080" w:type="dxa"/>
          </w:tcPr>
          <w:p w:rsidR="00454B01" w:rsidRPr="00151663" w:rsidRDefault="00454B01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151663" w:rsidRDefault="00454B01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</w:rPr>
              <w:t>No.</w:t>
            </w:r>
            <w:r w:rsidRPr="00151663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</w:rPr>
              <w:t>Revisi</w:t>
            </w:r>
            <w:proofErr w:type="spellEnd"/>
          </w:p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5" w:type="dxa"/>
          </w:tcPr>
          <w:p w:rsidR="00454B01" w:rsidRPr="00151663" w:rsidRDefault="00454B01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51663" w:rsidRPr="00151663" w:rsidRDefault="00454B01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51663">
              <w:rPr>
                <w:rFonts w:ascii="Arial" w:hAnsi="Arial" w:cs="Arial"/>
              </w:rPr>
              <w:t>Halaman</w:t>
            </w:r>
            <w:proofErr w:type="spellEnd"/>
            <w:r w:rsidRPr="00151663">
              <w:rPr>
                <w:rFonts w:ascii="Arial" w:hAnsi="Arial" w:cs="Arial"/>
              </w:rPr>
              <w:t xml:space="preserve"> : </w:t>
            </w:r>
          </w:p>
          <w:p w:rsidR="00151663" w:rsidRPr="00151663" w:rsidRDefault="00151663" w:rsidP="0015166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151663" w:rsidRDefault="00C708E0" w:rsidP="0015166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51663">
              <w:rPr>
                <w:rFonts w:ascii="Arial" w:hAnsi="Arial" w:cs="Arial"/>
              </w:rPr>
              <w:t>2</w:t>
            </w:r>
            <w:r w:rsidR="00454B01" w:rsidRPr="00151663">
              <w:rPr>
                <w:rFonts w:ascii="Arial" w:hAnsi="Arial" w:cs="Arial"/>
              </w:rPr>
              <w:t>/2</w:t>
            </w:r>
          </w:p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54B01" w:rsidRPr="00151663" w:rsidTr="00151663">
        <w:tc>
          <w:tcPr>
            <w:tcW w:w="2518" w:type="dxa"/>
          </w:tcPr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151663" w:rsidRDefault="00454B01" w:rsidP="0015166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5166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70" w:type="dxa"/>
            <w:gridSpan w:val="3"/>
          </w:tcPr>
          <w:p w:rsidR="00151663" w:rsidRPr="00151663" w:rsidRDefault="00151663" w:rsidP="00151663">
            <w:pPr>
              <w:spacing w:line="276" w:lineRule="auto"/>
              <w:ind w:left="526"/>
              <w:rPr>
                <w:rFonts w:ascii="Arial" w:hAnsi="Arial" w:cs="Arial"/>
              </w:rPr>
            </w:pPr>
            <w:proofErr w:type="spellStart"/>
            <w:proofErr w:type="gramStart"/>
            <w:r w:rsidRPr="00151663">
              <w:rPr>
                <w:rFonts w:ascii="Arial" w:hAnsi="Arial" w:cs="Arial"/>
              </w:rPr>
              <w:t>penggantian</w:t>
            </w:r>
            <w:proofErr w:type="spellEnd"/>
            <w:proofErr w:type="gramEnd"/>
            <w:r w:rsidRPr="00151663">
              <w:rPr>
                <w:rFonts w:ascii="Arial" w:hAnsi="Arial" w:cs="Arial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</w:rPr>
              <w:t>cairan</w:t>
            </w:r>
            <w:proofErr w:type="spellEnd"/>
            <w:r w:rsidRPr="00151663">
              <w:rPr>
                <w:rFonts w:ascii="Arial" w:hAnsi="Arial" w:cs="Arial"/>
              </w:rPr>
              <w:t xml:space="preserve"> CAPD</w:t>
            </w:r>
            <w:r w:rsidRPr="00151663">
              <w:rPr>
                <w:rFonts w:ascii="Arial" w:hAnsi="Arial" w:cs="Arial"/>
                <w:lang w:val="id-ID"/>
              </w:rPr>
              <w:t>.</w:t>
            </w:r>
          </w:p>
          <w:p w:rsidR="00151663" w:rsidRPr="00151663" w:rsidRDefault="00151663" w:rsidP="0015166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26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mendelegasikan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heparin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151663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rumus</w:t>
            </w:r>
            <w:proofErr w:type="spellEnd"/>
            <w:proofErr w:type="gramEnd"/>
            <w:r w:rsidRPr="00151663">
              <w:rPr>
                <w:rFonts w:ascii="Arial" w:hAnsi="Arial" w:cs="Arial"/>
                <w:szCs w:val="22"/>
              </w:rPr>
              <w:t>.</w:t>
            </w:r>
          </w:p>
          <w:p w:rsidR="00151EEB" w:rsidRPr="00151663" w:rsidRDefault="00151EEB" w:rsidP="0015166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26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mendelegasikan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obatobatan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penanganan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komplikasi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intradia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>lisis</w:t>
            </w:r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menjalankan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advis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didokumentasikan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>.</w:t>
            </w:r>
          </w:p>
          <w:p w:rsidR="00454B01" w:rsidRPr="00151663" w:rsidRDefault="00151EEB" w:rsidP="0015166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26" w:hanging="369"/>
              <w:rPr>
                <w:rFonts w:ascii="Arial" w:hAnsi="Arial" w:cs="Arial"/>
                <w:szCs w:val="22"/>
              </w:rPr>
            </w:pP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didelegasikan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adalah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mahir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bersertifikat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dialysis.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pelimpahan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tugas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disertai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bukti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151663">
              <w:rPr>
                <w:rFonts w:ascii="Arial" w:hAnsi="Arial" w:cs="Arial"/>
                <w:szCs w:val="22"/>
              </w:rPr>
              <w:t>surat</w:t>
            </w:r>
            <w:proofErr w:type="spellEnd"/>
            <w:proofErr w:type="gram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pelimpahan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diperbaharui</w:t>
            </w:r>
            <w:proofErr w:type="spellEnd"/>
            <w:r w:rsidRPr="0015166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3-6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bulan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51663">
              <w:rPr>
                <w:rFonts w:ascii="Arial" w:hAnsi="Arial" w:cs="Arial"/>
                <w:szCs w:val="22"/>
              </w:rPr>
              <w:t>sekali</w:t>
            </w:r>
            <w:proofErr w:type="spellEnd"/>
            <w:r w:rsidRPr="00151663">
              <w:rPr>
                <w:rFonts w:ascii="Arial" w:hAnsi="Arial" w:cs="Arial"/>
                <w:szCs w:val="22"/>
              </w:rPr>
              <w:t>.</w:t>
            </w:r>
          </w:p>
        </w:tc>
      </w:tr>
      <w:tr w:rsidR="00151663" w:rsidRPr="00151663" w:rsidTr="00151663">
        <w:tc>
          <w:tcPr>
            <w:tcW w:w="2518" w:type="dxa"/>
          </w:tcPr>
          <w:p w:rsidR="00151663" w:rsidRPr="00151663" w:rsidRDefault="00151663" w:rsidP="00151663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  <w:r w:rsidRPr="00151663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6770" w:type="dxa"/>
            <w:gridSpan w:val="3"/>
          </w:tcPr>
          <w:p w:rsidR="00151663" w:rsidRPr="00151663" w:rsidRDefault="00151663" w:rsidP="00151663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151663">
              <w:rPr>
                <w:rFonts w:ascii="Arial" w:hAnsi="Arial" w:cs="Arial"/>
                <w:lang w:val="id-ID"/>
              </w:rPr>
              <w:t>Unit Hemodialisis</w:t>
            </w:r>
          </w:p>
        </w:tc>
      </w:tr>
    </w:tbl>
    <w:p w:rsidR="00454B01" w:rsidRPr="00151663" w:rsidRDefault="00454B01" w:rsidP="00151663">
      <w:pPr>
        <w:rPr>
          <w:rFonts w:ascii="Arial" w:hAnsi="Arial" w:cs="Arial"/>
        </w:rPr>
      </w:pPr>
    </w:p>
    <w:sectPr w:rsidR="00454B01" w:rsidRPr="00151663" w:rsidSect="00260D66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EB" w:rsidRDefault="00151EEB" w:rsidP="00151EEB">
      <w:pPr>
        <w:spacing w:after="0" w:line="240" w:lineRule="auto"/>
      </w:pPr>
      <w:r>
        <w:separator/>
      </w:r>
    </w:p>
  </w:endnote>
  <w:endnote w:type="continuationSeparator" w:id="0">
    <w:p w:rsidR="00151EEB" w:rsidRDefault="00151EEB" w:rsidP="0015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EB" w:rsidRDefault="00151EEB" w:rsidP="00151EEB">
      <w:pPr>
        <w:spacing w:after="0" w:line="240" w:lineRule="auto"/>
      </w:pPr>
      <w:r>
        <w:separator/>
      </w:r>
    </w:p>
  </w:footnote>
  <w:footnote w:type="continuationSeparator" w:id="0">
    <w:p w:rsidR="00151EEB" w:rsidRDefault="00151EEB" w:rsidP="00151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1F5B"/>
    <w:multiLevelType w:val="hybridMultilevel"/>
    <w:tmpl w:val="FAD0C9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13C6F"/>
    <w:multiLevelType w:val="hybridMultilevel"/>
    <w:tmpl w:val="B554F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83E74"/>
    <w:multiLevelType w:val="hybridMultilevel"/>
    <w:tmpl w:val="B554F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75A01"/>
    <w:multiLevelType w:val="hybridMultilevel"/>
    <w:tmpl w:val="B554F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1B174A"/>
    <w:multiLevelType w:val="hybridMultilevel"/>
    <w:tmpl w:val="B554F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151663"/>
    <w:rsid w:val="00151EEB"/>
    <w:rsid w:val="00260D66"/>
    <w:rsid w:val="00454B01"/>
    <w:rsid w:val="00515153"/>
    <w:rsid w:val="005C4E68"/>
    <w:rsid w:val="005C5933"/>
    <w:rsid w:val="0087782E"/>
    <w:rsid w:val="00990286"/>
    <w:rsid w:val="00B1419E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151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151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2018-10-11T09:42:00Z</dcterms:created>
  <dcterms:modified xsi:type="dcterms:W3CDTF">2018-10-11T09:42:00Z</dcterms:modified>
</cp:coreProperties>
</file>