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2129"/>
        <w:gridCol w:w="2029"/>
        <w:gridCol w:w="2079"/>
      </w:tblGrid>
      <w:tr w:rsidR="0092366A" w:rsidRPr="008D6EF1" w14:paraId="632E5C89" w14:textId="77777777" w:rsidTr="003E5C60">
        <w:trPr>
          <w:trHeight w:val="1257"/>
        </w:trPr>
        <w:tc>
          <w:tcPr>
            <w:tcW w:w="2693" w:type="dxa"/>
            <w:vMerge w:val="restart"/>
          </w:tcPr>
          <w:p w14:paraId="286064A0" w14:textId="302657CD" w:rsidR="0092366A" w:rsidRPr="008D6EF1" w:rsidRDefault="008D6EF1" w:rsidP="008D6EF1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781EDA12" wp14:editId="2A86BF6F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gridSpan w:val="3"/>
            <w:vAlign w:val="center"/>
          </w:tcPr>
          <w:p w14:paraId="15010520" w14:textId="30D9ABED" w:rsidR="0092366A" w:rsidRPr="008D6EF1" w:rsidRDefault="00645ED7" w:rsidP="008D6EF1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6E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PROSEDUR PENERIMAAN PASIEN DARI RUANGAN RAWAT INAP / IGD / OK KE UNIT HEMODIALISIS DAN DARI UNIT HEMODIALISIS KE ICU </w:t>
            </w:r>
          </w:p>
        </w:tc>
      </w:tr>
      <w:tr w:rsidR="0092366A" w:rsidRPr="008D6EF1" w14:paraId="2164946D" w14:textId="77777777" w:rsidTr="003E5C60">
        <w:trPr>
          <w:trHeight w:val="2126"/>
        </w:trPr>
        <w:tc>
          <w:tcPr>
            <w:tcW w:w="2693" w:type="dxa"/>
            <w:vMerge/>
          </w:tcPr>
          <w:p w14:paraId="04A0F1A7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129" w:type="dxa"/>
          </w:tcPr>
          <w:p w14:paraId="55D9105B" w14:textId="77777777" w:rsidR="0092366A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8D6EF1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0355669A" w14:textId="77777777" w:rsidR="008D6EF1" w:rsidRDefault="008D6EF1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D634D24" w14:textId="7E4DD8DD" w:rsidR="008D6EF1" w:rsidRPr="008D6EF1" w:rsidRDefault="008D6EF1" w:rsidP="008D6EF1">
            <w:pPr>
              <w:spacing w:after="0"/>
              <w:ind w:left="176" w:firstLine="283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Pr="00737D5B">
              <w:rPr>
                <w:rFonts w:ascii="Arial" w:hAnsi="Arial" w:cs="Arial"/>
                <w:szCs w:val="22"/>
                <w:lang w:val="id-ID"/>
              </w:rPr>
              <w:t>SPO/HD/P05/RSUD-DM/I/2018</w:t>
            </w:r>
          </w:p>
        </w:tc>
        <w:tc>
          <w:tcPr>
            <w:tcW w:w="2029" w:type="dxa"/>
          </w:tcPr>
          <w:p w14:paraId="55931DC4" w14:textId="77777777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079" w:type="dxa"/>
          </w:tcPr>
          <w:p w14:paraId="4A031615" w14:textId="77777777" w:rsid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: </w:t>
            </w:r>
          </w:p>
          <w:p w14:paraId="2032F695" w14:textId="77777777" w:rsidR="008D6EF1" w:rsidRDefault="008D6EF1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7E9D12E" w14:textId="73730FD3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</w:rPr>
              <w:t>1/2</w:t>
            </w:r>
          </w:p>
          <w:p w14:paraId="300A978C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szCs w:val="22"/>
              </w:rPr>
            </w:pPr>
          </w:p>
        </w:tc>
      </w:tr>
      <w:tr w:rsidR="0092366A" w:rsidRPr="008D6EF1" w14:paraId="5C74A271" w14:textId="77777777" w:rsidTr="003E5C60">
        <w:tc>
          <w:tcPr>
            <w:tcW w:w="2693" w:type="dxa"/>
          </w:tcPr>
          <w:p w14:paraId="2A9EE6C7" w14:textId="77777777" w:rsidR="0092366A" w:rsidRPr="008D6EF1" w:rsidRDefault="0092366A" w:rsidP="008D6EF1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2D081738" w14:textId="77777777" w:rsidR="0092366A" w:rsidRPr="008D6EF1" w:rsidRDefault="0092366A" w:rsidP="008D6EF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8D6EF1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8D6E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A6F784A" w14:textId="77777777" w:rsidR="0092366A" w:rsidRPr="008D6EF1" w:rsidRDefault="0092366A" w:rsidP="008D6EF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D6EF1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11668A86" w14:textId="77777777" w:rsidR="0092366A" w:rsidRPr="008D6EF1" w:rsidRDefault="0092366A" w:rsidP="008D6EF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D6EF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6EF1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  <w:bookmarkEnd w:id="0"/>
          </w:p>
        </w:tc>
        <w:tc>
          <w:tcPr>
            <w:tcW w:w="2129" w:type="dxa"/>
          </w:tcPr>
          <w:p w14:paraId="27E76881" w14:textId="1D40CF74" w:rsidR="0092366A" w:rsidRPr="008D6EF1" w:rsidRDefault="0092366A" w:rsidP="008D6EF1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8D6EF1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3A0F414" w14:textId="3AE2B330" w:rsidR="0092366A" w:rsidRPr="008D6EF1" w:rsidRDefault="008D6EF1" w:rsidP="008D6EF1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108" w:type="dxa"/>
            <w:gridSpan w:val="2"/>
          </w:tcPr>
          <w:p w14:paraId="00C08D98" w14:textId="112FBDE0" w:rsidR="0092366A" w:rsidRPr="008D6EF1" w:rsidRDefault="008D6EF1" w:rsidP="008D6EF1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2BFE95E4" w14:textId="48971875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  <w:lang w:val="sv-SE"/>
              </w:rPr>
              <w:t>Direktur</w:t>
            </w:r>
            <w:r w:rsidR="008D6EF1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8D6EF1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359E6BDD" w14:textId="77777777" w:rsidR="00C858CD" w:rsidRDefault="00C858CD" w:rsidP="008D6EF1">
            <w:pPr>
              <w:spacing w:after="0"/>
              <w:rPr>
                <w:rFonts w:ascii="Arial" w:hAnsi="Arial" w:cs="Arial"/>
                <w:szCs w:val="22"/>
                <w:u w:val="single"/>
                <w:lang w:val="id-ID"/>
              </w:rPr>
            </w:pPr>
          </w:p>
          <w:p w14:paraId="3DA379D6" w14:textId="77777777" w:rsidR="008D6EF1" w:rsidRDefault="008D6EF1" w:rsidP="008D6EF1">
            <w:pPr>
              <w:spacing w:after="0"/>
              <w:rPr>
                <w:rFonts w:ascii="Arial" w:hAnsi="Arial" w:cs="Arial"/>
                <w:szCs w:val="22"/>
                <w:u w:val="single"/>
                <w:lang w:val="id-ID"/>
              </w:rPr>
            </w:pPr>
          </w:p>
          <w:p w14:paraId="4385D6C4" w14:textId="77777777" w:rsidR="008D6EF1" w:rsidRPr="008D6EF1" w:rsidRDefault="008D6EF1" w:rsidP="008D6EF1">
            <w:pPr>
              <w:spacing w:after="0"/>
              <w:rPr>
                <w:rFonts w:ascii="Arial" w:hAnsi="Arial" w:cs="Arial"/>
                <w:szCs w:val="22"/>
                <w:u w:val="single"/>
                <w:lang w:val="id-ID"/>
              </w:rPr>
            </w:pPr>
          </w:p>
          <w:p w14:paraId="0F1970BC" w14:textId="77777777" w:rsidR="00C858CD" w:rsidRPr="008D6EF1" w:rsidRDefault="00C858CD" w:rsidP="008D6EF1">
            <w:pPr>
              <w:spacing w:after="0"/>
              <w:rPr>
                <w:rFonts w:ascii="Arial" w:hAnsi="Arial" w:cs="Arial"/>
                <w:szCs w:val="22"/>
                <w:u w:val="single"/>
                <w:lang w:val="sv-SE"/>
              </w:rPr>
            </w:pPr>
          </w:p>
          <w:p w14:paraId="63A7A4F2" w14:textId="77777777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316FD3FF" w14:textId="77777777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2A24AFAF" w14:textId="77777777" w:rsidR="0092366A" w:rsidRPr="008D6EF1" w:rsidRDefault="0092366A" w:rsidP="008D6EF1">
            <w:pPr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92366A" w:rsidRPr="008D6EF1" w14:paraId="1D78464C" w14:textId="77777777" w:rsidTr="003E5C60">
        <w:tc>
          <w:tcPr>
            <w:tcW w:w="2693" w:type="dxa"/>
          </w:tcPr>
          <w:p w14:paraId="0188A90A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72C98BE4" w14:textId="77777777" w:rsidR="0092366A" w:rsidRPr="008D6EF1" w:rsidRDefault="0092366A" w:rsidP="008D6EF1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237" w:type="dxa"/>
            <w:gridSpan w:val="3"/>
          </w:tcPr>
          <w:p w14:paraId="3908B0ED" w14:textId="77777777" w:rsidR="0092366A" w:rsidRPr="008D6EF1" w:rsidRDefault="0092366A" w:rsidP="008D6EF1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  <w:lang w:val="id-ID"/>
              </w:rPr>
              <w:t>Alur penerimaan pasien dari ruangan rawat inap atau IGD atau ruang operasi (OK) untuk</w:t>
            </w:r>
            <w:r w:rsidR="00577443" w:rsidRPr="008D6EF1">
              <w:rPr>
                <w:rFonts w:ascii="Arial" w:hAnsi="Arial" w:cs="Arial"/>
                <w:szCs w:val="22"/>
                <w:lang w:val="id-ID"/>
              </w:rPr>
              <w:t xml:space="preserve"> di lakukan tindakan Hemodialisis</w:t>
            </w:r>
            <w:r w:rsidRPr="008D6EF1">
              <w:rPr>
                <w:rFonts w:ascii="Arial" w:hAnsi="Arial" w:cs="Arial"/>
                <w:szCs w:val="22"/>
                <w:lang w:val="id-ID"/>
              </w:rPr>
              <w:t xml:space="preserve"> di unit HD dan oleh karena kondisi pasien yang memerlukan pengawasan khusus sehingga pasien di rawat di ruangan pemantauan khusus (ICU) setelah d</w:t>
            </w:r>
            <w:r w:rsidR="00577443" w:rsidRPr="008D6EF1">
              <w:rPr>
                <w:rFonts w:ascii="Arial" w:hAnsi="Arial" w:cs="Arial"/>
                <w:szCs w:val="22"/>
                <w:lang w:val="id-ID"/>
              </w:rPr>
              <w:t>ilakukannya tindakan hemodialisis</w:t>
            </w:r>
            <w:r w:rsidRPr="008D6EF1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92366A" w:rsidRPr="008D6EF1" w14:paraId="0F59B3BD" w14:textId="77777777" w:rsidTr="003E5C60">
        <w:trPr>
          <w:trHeight w:val="2244"/>
        </w:trPr>
        <w:tc>
          <w:tcPr>
            <w:tcW w:w="2693" w:type="dxa"/>
          </w:tcPr>
          <w:p w14:paraId="2A2D8F0D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237" w:type="dxa"/>
            <w:gridSpan w:val="3"/>
          </w:tcPr>
          <w:p w14:paraId="30D5BD77" w14:textId="77777777" w:rsidR="0092366A" w:rsidRPr="008D6EF1" w:rsidRDefault="0092366A" w:rsidP="008D6EF1">
            <w:pPr>
              <w:pStyle w:val="ListParagraph"/>
              <w:numPr>
                <w:ilvl w:val="0"/>
                <w:numId w:val="4"/>
              </w:numPr>
              <w:tabs>
                <w:tab w:val="left" w:pos="2977"/>
              </w:tabs>
              <w:ind w:left="4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Sebagai pedoman penatalaksanaan perawat pasien baru di unit hemodialis</w:t>
            </w:r>
            <w:r w:rsidR="00577443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is.</w:t>
            </w:r>
          </w:p>
          <w:p w14:paraId="12D24C9C" w14:textId="77777777" w:rsidR="0092366A" w:rsidRPr="008D6EF1" w:rsidRDefault="0092366A" w:rsidP="008D6EF1">
            <w:pPr>
              <w:pStyle w:val="ListParagraph"/>
              <w:numPr>
                <w:ilvl w:val="0"/>
                <w:numId w:val="4"/>
              </w:numPr>
              <w:tabs>
                <w:tab w:val="left" w:pos="2977"/>
              </w:tabs>
              <w:ind w:left="4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Sebagai pedoman penatalaksanaan tindak lanjut pemantauan post tindakan</w:t>
            </w:r>
            <w:r w:rsidR="00577443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hemodialisa di unit hemodialisis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  <w:p w14:paraId="28D1B000" w14:textId="77777777" w:rsidR="0092366A" w:rsidRPr="008D6EF1" w:rsidRDefault="0092366A" w:rsidP="008D6EF1">
            <w:pPr>
              <w:pStyle w:val="ListParagraph"/>
              <w:numPr>
                <w:ilvl w:val="0"/>
                <w:numId w:val="4"/>
              </w:numPr>
              <w:tabs>
                <w:tab w:val="left" w:pos="2977"/>
              </w:tabs>
              <w:spacing w:after="0"/>
              <w:ind w:left="425" w:hanging="357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Pasien mendapatkan perawatan, pengobatan dan pemantauan yang intensif.</w:t>
            </w:r>
          </w:p>
        </w:tc>
      </w:tr>
      <w:tr w:rsidR="0092366A" w:rsidRPr="008D6EF1" w14:paraId="6BE2B921" w14:textId="77777777" w:rsidTr="003E5C60">
        <w:tc>
          <w:tcPr>
            <w:tcW w:w="2693" w:type="dxa"/>
          </w:tcPr>
          <w:p w14:paraId="7F5114ED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8D6EF1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237" w:type="dxa"/>
            <w:gridSpan w:val="3"/>
          </w:tcPr>
          <w:p w14:paraId="60FDC151" w14:textId="77777777" w:rsidR="008D6EF1" w:rsidRPr="00737D5B" w:rsidRDefault="008D6EF1" w:rsidP="008D6EF1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75B2A4E2" w14:textId="77777777" w:rsidR="008D6EF1" w:rsidRDefault="008D6EF1" w:rsidP="008D6EF1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649CBBEF" w14:textId="616C5827" w:rsidR="0092366A" w:rsidRPr="008D6EF1" w:rsidRDefault="008D6EF1" w:rsidP="008D6EF1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8D6EF1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8D6EF1">
              <w:rPr>
                <w:rFonts w:ascii="Arial" w:hAnsi="Arial" w:cs="Arial"/>
                <w:szCs w:val="22"/>
              </w:rPr>
              <w:t>d</w:t>
            </w:r>
            <w:r w:rsidRPr="008D6EF1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8D6EF1">
              <w:rPr>
                <w:rFonts w:ascii="Arial" w:hAnsi="Arial" w:cs="Arial"/>
                <w:szCs w:val="22"/>
              </w:rPr>
              <w:t>N</w:t>
            </w:r>
            <w:r w:rsidRPr="008D6EF1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8D6EF1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8D6EF1">
              <w:rPr>
                <w:rFonts w:ascii="Arial" w:hAnsi="Arial" w:cs="Arial"/>
                <w:szCs w:val="22"/>
              </w:rPr>
              <w:t>SKPT/</w:t>
            </w:r>
            <w:r w:rsidRPr="008D6EF1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8D6EF1">
              <w:rPr>
                <w:rFonts w:ascii="Arial" w:hAnsi="Arial" w:cs="Arial"/>
                <w:szCs w:val="22"/>
              </w:rPr>
              <w:t>RSUD-DM/1/201</w:t>
            </w:r>
            <w:r w:rsidRPr="008D6EF1">
              <w:rPr>
                <w:rFonts w:ascii="Arial" w:hAnsi="Arial" w:cs="Arial"/>
                <w:szCs w:val="22"/>
                <w:lang w:val="id-ID"/>
              </w:rPr>
              <w:t>8</w:t>
            </w:r>
            <w:r w:rsidRPr="008D6EF1">
              <w:rPr>
                <w:rFonts w:ascii="Arial" w:hAnsi="Arial" w:cs="Arial"/>
                <w:szCs w:val="22"/>
              </w:rPr>
              <w:t xml:space="preserve"> </w:t>
            </w:r>
            <w:r w:rsidRPr="008D6EF1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92366A" w:rsidRPr="008D6EF1" w14:paraId="7F2DDE63" w14:textId="77777777" w:rsidTr="003E5C60">
        <w:trPr>
          <w:trHeight w:val="2917"/>
        </w:trPr>
        <w:tc>
          <w:tcPr>
            <w:tcW w:w="2693" w:type="dxa"/>
          </w:tcPr>
          <w:p w14:paraId="73E52A1C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398D6F94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237" w:type="dxa"/>
            <w:gridSpan w:val="3"/>
          </w:tcPr>
          <w:p w14:paraId="33DE71DF" w14:textId="77777777" w:rsidR="0092366A" w:rsidRPr="008D6EF1" w:rsidRDefault="002B32DB" w:rsidP="008D6EF1">
            <w:pPr>
              <w:pStyle w:val="ListParagraph"/>
              <w:numPr>
                <w:ilvl w:val="0"/>
                <w:numId w:val="9"/>
              </w:numPr>
              <w:ind w:left="318" w:hanging="284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Dokter jaga a</w:t>
            </w:r>
            <w:r w:rsidR="009377AC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tau dokter spesialis lain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mengkonsul</w:t>
            </w:r>
            <w:r w:rsidR="009377AC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tasi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kan pa</w:t>
            </w:r>
            <w:r w:rsidR="009377AC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sien ke dokter DPJP hemodialisis apa bila ada pasien yang terindikasi untuk dilakukan tindakan hemodialisis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  <w:p w14:paraId="3490D682" w14:textId="75C241C3" w:rsidR="00C858CD" w:rsidRPr="008D6EF1" w:rsidRDefault="00C858CD" w:rsidP="008D6EF1">
            <w:pPr>
              <w:pStyle w:val="ListParagraph"/>
              <w:numPr>
                <w:ilvl w:val="0"/>
                <w:numId w:val="9"/>
              </w:numPr>
              <w:spacing w:after="0"/>
              <w:ind w:left="318" w:hanging="284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Dokter DPJP HD memberikan jawaban atas konsultasi medis yang di minta dan memberikan resep HD baik secara langsung maupun pertelpone.</w:t>
            </w:r>
          </w:p>
          <w:p w14:paraId="16D8331F" w14:textId="0CBFA7FC" w:rsidR="003E5C60" w:rsidRPr="008D6EF1" w:rsidRDefault="00C858CD" w:rsidP="008D6EF1">
            <w:pPr>
              <w:pStyle w:val="ListParagraph"/>
              <w:numPr>
                <w:ilvl w:val="0"/>
                <w:numId w:val="9"/>
              </w:numPr>
              <w:ind w:left="318" w:hanging="284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Dokter jaga atau dokter spesialis lain memberikan informed concent kepada pasien dan keluarga pasien tentang tindakan </w:t>
            </w:r>
          </w:p>
        </w:tc>
      </w:tr>
    </w:tbl>
    <w:p w14:paraId="7089C79B" w14:textId="77777777" w:rsidR="008C2D1F" w:rsidRPr="008D6EF1" w:rsidRDefault="008C2D1F" w:rsidP="008D6EF1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554"/>
        <w:gridCol w:w="2124"/>
        <w:gridCol w:w="2139"/>
        <w:gridCol w:w="1972"/>
      </w:tblGrid>
      <w:tr w:rsidR="0092366A" w:rsidRPr="008D6EF1" w14:paraId="7A34CC51" w14:textId="77777777" w:rsidTr="003E5C60">
        <w:tc>
          <w:tcPr>
            <w:tcW w:w="2554" w:type="dxa"/>
            <w:vMerge w:val="restart"/>
          </w:tcPr>
          <w:p w14:paraId="18AC0972" w14:textId="4464052D" w:rsidR="0092366A" w:rsidRPr="008D6EF1" w:rsidRDefault="008D6EF1" w:rsidP="008D6EF1">
            <w:pPr>
              <w:rPr>
                <w:rFonts w:ascii="Arial" w:hAnsi="Arial" w:cs="Arial"/>
                <w:noProof/>
                <w:szCs w:val="22"/>
                <w:lang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239BF14" wp14:editId="348EBFB4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5" w:type="dxa"/>
            <w:gridSpan w:val="3"/>
            <w:vAlign w:val="center"/>
          </w:tcPr>
          <w:p w14:paraId="1AF31336" w14:textId="345954CE" w:rsidR="0092366A" w:rsidRPr="008D6EF1" w:rsidRDefault="0092366A" w:rsidP="008D6EF1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6EF1">
              <w:rPr>
                <w:rFonts w:ascii="Arial" w:hAnsi="Arial" w:cs="Arial"/>
                <w:b/>
                <w:bCs/>
                <w:sz w:val="22"/>
                <w:szCs w:val="22"/>
              </w:rPr>
              <w:t>PROSEDUR PENERIMAAN PASIEN DARI RUANGAN RAWAT INA</w:t>
            </w:r>
            <w:r w:rsidR="00645ED7" w:rsidRPr="008D6EF1">
              <w:rPr>
                <w:rFonts w:ascii="Arial" w:hAnsi="Arial" w:cs="Arial"/>
                <w:b/>
                <w:bCs/>
                <w:sz w:val="22"/>
                <w:szCs w:val="22"/>
              </w:rPr>
              <w:t>P / IGD / OK KE UNIT HEMODIALISIS</w:t>
            </w:r>
            <w:r w:rsidRPr="008D6E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DAN DARI </w:t>
            </w:r>
            <w:r w:rsidR="00645ED7" w:rsidRPr="008D6EF1">
              <w:rPr>
                <w:rFonts w:ascii="Arial" w:hAnsi="Arial" w:cs="Arial"/>
                <w:b/>
                <w:bCs/>
                <w:sz w:val="22"/>
                <w:szCs w:val="22"/>
              </w:rPr>
              <w:t>UNIT HEMODIALISIS</w:t>
            </w:r>
            <w:r w:rsidRPr="008D6E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 ICU</w:t>
            </w:r>
            <w:r w:rsidR="00645ED7" w:rsidRPr="008D6E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2366A" w:rsidRPr="008D6EF1" w14:paraId="60CD32C2" w14:textId="77777777" w:rsidTr="008D6EF1">
        <w:trPr>
          <w:trHeight w:val="1853"/>
        </w:trPr>
        <w:tc>
          <w:tcPr>
            <w:tcW w:w="2554" w:type="dxa"/>
            <w:vMerge/>
          </w:tcPr>
          <w:p w14:paraId="568F2720" w14:textId="77777777" w:rsidR="0092366A" w:rsidRPr="008D6EF1" w:rsidRDefault="0092366A" w:rsidP="008D6EF1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124" w:type="dxa"/>
          </w:tcPr>
          <w:p w14:paraId="4CDCDF73" w14:textId="77777777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50751D09" w14:textId="77777777" w:rsidR="0092366A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C2776F9" w14:textId="64FD25B6" w:rsidR="008D6EF1" w:rsidRPr="008D6EF1" w:rsidRDefault="008D6EF1" w:rsidP="008D6EF1">
            <w:pPr>
              <w:spacing w:after="0"/>
              <w:ind w:left="31" w:firstLine="425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8D6EF1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  <w:p w14:paraId="37E7CF71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139" w:type="dxa"/>
          </w:tcPr>
          <w:p w14:paraId="530DEE7A" w14:textId="77777777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72" w:type="dxa"/>
          </w:tcPr>
          <w:p w14:paraId="443C0F19" w14:textId="77777777" w:rsid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: </w:t>
            </w:r>
          </w:p>
          <w:p w14:paraId="03B71AC1" w14:textId="77777777" w:rsidR="008D6EF1" w:rsidRDefault="008D6EF1" w:rsidP="008D6EF1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882A2A6" w14:textId="4F1C174F" w:rsidR="0092366A" w:rsidRPr="008D6EF1" w:rsidRDefault="0092366A" w:rsidP="008D6EF1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</w:rPr>
              <w:t>2/2</w:t>
            </w:r>
          </w:p>
          <w:p w14:paraId="26A69C76" w14:textId="77777777" w:rsidR="0092366A" w:rsidRPr="008D6EF1" w:rsidRDefault="0092366A" w:rsidP="008D6EF1">
            <w:pPr>
              <w:rPr>
                <w:rFonts w:ascii="Arial" w:hAnsi="Arial" w:cs="Arial"/>
                <w:szCs w:val="22"/>
              </w:rPr>
            </w:pPr>
          </w:p>
        </w:tc>
      </w:tr>
      <w:tr w:rsidR="0092366A" w:rsidRPr="008D6EF1" w14:paraId="2F622DBC" w14:textId="77777777" w:rsidTr="003E5C60">
        <w:tc>
          <w:tcPr>
            <w:tcW w:w="2554" w:type="dxa"/>
          </w:tcPr>
          <w:p w14:paraId="3B2118CA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7FC0CED4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235" w:type="dxa"/>
            <w:gridSpan w:val="3"/>
          </w:tcPr>
          <w:p w14:paraId="5E0691CB" w14:textId="6DDF2FF1" w:rsidR="00C858CD" w:rsidRPr="008D6EF1" w:rsidRDefault="00C858CD" w:rsidP="008D6EF1">
            <w:pPr>
              <w:pStyle w:val="ListParagraph"/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yang akan di lakukan.</w:t>
            </w:r>
          </w:p>
          <w:p w14:paraId="1BB3A0BF" w14:textId="2F37D944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ruangan rawat inap/IGD/OK atau dokter jaga mendaft</w:t>
            </w:r>
            <w:r w:rsidR="00577443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a</w:t>
            </w:r>
            <w:r w:rsidR="00D44AE2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rkan pasien ke unit HD</w:t>
            </w:r>
            <w:r w:rsidR="00035D3F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dan ruang ICU untuk perawatan post HD.</w:t>
            </w:r>
          </w:p>
          <w:p w14:paraId="552A8DD6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ruangan rawat inap/IGD/OK menyiapkan pasien, melengkapi berkas-berkas dan hasil laboratorium terbaru (darah lengkap, kimia lengkap, HbsAg, HIV,</w:t>
            </w:r>
            <w:r w:rsidR="00577443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anti HCV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dll).</w:t>
            </w:r>
          </w:p>
          <w:p w14:paraId="5C902B66" w14:textId="77777777" w:rsidR="002B32DB" w:rsidRPr="008D6EF1" w:rsidRDefault="00D44AE2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Apabila kelengkapan </w:t>
            </w:r>
            <w:r w:rsidR="002B32DB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berkas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pasien </w:t>
            </w:r>
            <w:r w:rsidR="002B32DB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sudah lengkap, resep HD sdh ada, perawat ruangan rawat inap/IGD/OK melaporkan ke perawat HD.</w:t>
            </w:r>
          </w:p>
          <w:p w14:paraId="21DDCE09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memanggil pasien ke unit HD.</w:t>
            </w:r>
          </w:p>
          <w:p w14:paraId="5535EAE9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menerima pasi</w:t>
            </w:r>
            <w:r w:rsidR="00D44AE2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en, berkas-berkas dan resep HD s</w:t>
            </w:r>
            <w:r w:rsidR="00E91469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erta aplusan/serah terima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pasien dengan perawat yang mengantar.</w:t>
            </w:r>
          </w:p>
          <w:p w14:paraId="1081DCF7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memeriksa ulang pasien, berkas-berkas dan resep HD.</w:t>
            </w:r>
          </w:p>
          <w:p w14:paraId="6106ADEB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</w:t>
            </w:r>
            <w:r w:rsidR="00D44AE2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HD atau dokter DPJP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HD memberikan informed concent kepada pasien dan keluarganya</w:t>
            </w:r>
            <w:r w:rsidR="00E01248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tentang tindakan yang akan dilakukan.</w:t>
            </w:r>
          </w:p>
          <w:p w14:paraId="584B076E" w14:textId="77777777" w:rsidR="002B32DB" w:rsidRPr="008D6EF1" w:rsidRDefault="002B32DB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melakukan tindakan</w:t>
            </w:r>
            <w:r w:rsidR="00E01248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sesuai resep HD, mengobservasi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dan mendokumentasikan setiap tindakan.</w:t>
            </w:r>
          </w:p>
          <w:p w14:paraId="5168F8DA" w14:textId="2A7A61D5" w:rsidR="002B32DB" w:rsidRPr="008D6EF1" w:rsidRDefault="00E01248" w:rsidP="008D6EF1">
            <w:pPr>
              <w:pStyle w:val="ListParagraph"/>
              <w:numPr>
                <w:ilvl w:val="0"/>
                <w:numId w:val="7"/>
              </w:numPr>
              <w:ind w:left="326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Setelah tindakan HD selesai</w:t>
            </w:r>
            <w:r w:rsidR="002B32DB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, perawat HD menghubungi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ruang </w:t>
            </w:r>
            <w:r w:rsidR="002B32DB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ICU</w:t>
            </w:r>
            <w:r w:rsidR="00035D3F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untuk transfer pasien</w:t>
            </w:r>
            <w:r w:rsidR="002B32DB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  <w:p w14:paraId="431FA0A2" w14:textId="3407F388" w:rsidR="0092366A" w:rsidRPr="008D6EF1" w:rsidRDefault="002B32DB" w:rsidP="008D6EF1">
            <w:pPr>
              <w:pStyle w:val="ListParagraph"/>
              <w:numPr>
                <w:ilvl w:val="0"/>
                <w:numId w:val="7"/>
              </w:numPr>
              <w:spacing w:after="0"/>
              <w:ind w:left="326" w:hanging="357"/>
              <w:jc w:val="both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Perawat HD mengantar pasien ke </w:t>
            </w:r>
            <w:r w:rsidR="00E01248"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ruang </w:t>
            </w:r>
            <w:r w:rsidRPr="008D6EF1">
              <w:rPr>
                <w:rFonts w:ascii="Arial" w:hAnsi="Arial" w:cs="Arial"/>
                <w:color w:val="000000"/>
                <w:szCs w:val="22"/>
                <w:lang w:val="id-ID" w:eastAsia="id-ID"/>
              </w:rPr>
              <w:t>ICU.</w:t>
            </w:r>
          </w:p>
        </w:tc>
      </w:tr>
      <w:tr w:rsidR="0092366A" w:rsidRPr="008D6EF1" w14:paraId="3F11B58A" w14:textId="77777777" w:rsidTr="003E5C60">
        <w:tc>
          <w:tcPr>
            <w:tcW w:w="2554" w:type="dxa"/>
          </w:tcPr>
          <w:p w14:paraId="648158B1" w14:textId="77777777" w:rsidR="0092366A" w:rsidRPr="008D6EF1" w:rsidRDefault="0092366A" w:rsidP="008D6EF1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8D6EF1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8D6EF1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235" w:type="dxa"/>
            <w:gridSpan w:val="3"/>
          </w:tcPr>
          <w:p w14:paraId="51345E82" w14:textId="77777777" w:rsidR="0092366A" w:rsidRPr="008D6EF1" w:rsidRDefault="009377AC" w:rsidP="008D6EF1">
            <w:pPr>
              <w:numPr>
                <w:ilvl w:val="0"/>
                <w:numId w:val="1"/>
              </w:numPr>
              <w:spacing w:after="0"/>
              <w:ind w:left="341" w:hanging="283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  <w:p w14:paraId="611A83C1" w14:textId="77777777" w:rsidR="0092366A" w:rsidRPr="008D6EF1" w:rsidRDefault="0092366A" w:rsidP="008D6EF1">
            <w:pPr>
              <w:numPr>
                <w:ilvl w:val="0"/>
                <w:numId w:val="1"/>
              </w:numPr>
              <w:spacing w:after="0"/>
              <w:ind w:left="341" w:hanging="283"/>
              <w:rPr>
                <w:rFonts w:ascii="Arial" w:hAnsi="Arial" w:cs="Arial"/>
                <w:szCs w:val="22"/>
              </w:rPr>
            </w:pPr>
            <w:proofErr w:type="spellStart"/>
            <w:r w:rsidRPr="008D6EF1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8D6EF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8D6EF1">
              <w:rPr>
                <w:rFonts w:ascii="Arial" w:hAnsi="Arial" w:cs="Arial"/>
                <w:szCs w:val="22"/>
              </w:rPr>
              <w:t>Inap</w:t>
            </w:r>
            <w:proofErr w:type="spellEnd"/>
          </w:p>
          <w:p w14:paraId="513D7DD8" w14:textId="77777777" w:rsidR="0092366A" w:rsidRPr="008D6EF1" w:rsidRDefault="0092366A" w:rsidP="008D6EF1">
            <w:pPr>
              <w:pStyle w:val="ListParagraph"/>
              <w:numPr>
                <w:ilvl w:val="0"/>
                <w:numId w:val="1"/>
              </w:numPr>
              <w:spacing w:after="0"/>
              <w:ind w:left="341" w:hanging="283"/>
              <w:rPr>
                <w:rFonts w:ascii="Arial" w:hAnsi="Arial" w:cs="Arial"/>
                <w:szCs w:val="22"/>
              </w:rPr>
            </w:pPr>
            <w:r w:rsidRPr="008D6EF1">
              <w:rPr>
                <w:rFonts w:ascii="Arial" w:hAnsi="Arial" w:cs="Arial"/>
                <w:szCs w:val="22"/>
              </w:rPr>
              <w:t xml:space="preserve"> Admission</w:t>
            </w:r>
          </w:p>
        </w:tc>
      </w:tr>
    </w:tbl>
    <w:p w14:paraId="256E4274" w14:textId="77777777" w:rsidR="0092366A" w:rsidRPr="008D6EF1" w:rsidRDefault="0092366A" w:rsidP="008D6EF1">
      <w:pPr>
        <w:rPr>
          <w:rFonts w:ascii="Arial" w:hAnsi="Arial" w:cs="Arial"/>
          <w:szCs w:val="22"/>
        </w:rPr>
      </w:pPr>
    </w:p>
    <w:p w14:paraId="11F83562" w14:textId="77777777" w:rsidR="00CC7635" w:rsidRPr="008D6EF1" w:rsidRDefault="00CC7635" w:rsidP="008D6EF1">
      <w:pPr>
        <w:rPr>
          <w:rFonts w:ascii="Arial" w:hAnsi="Arial" w:cs="Arial"/>
          <w:szCs w:val="22"/>
        </w:rPr>
      </w:pPr>
    </w:p>
    <w:sectPr w:rsidR="00CC7635" w:rsidRPr="008D6EF1" w:rsidSect="008D6EF1">
      <w:pgSz w:w="12179" w:h="1870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67A1"/>
    <w:multiLevelType w:val="multilevel"/>
    <w:tmpl w:val="B6D453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7ACA"/>
    <w:multiLevelType w:val="hybridMultilevel"/>
    <w:tmpl w:val="07269834"/>
    <w:lvl w:ilvl="0" w:tplc="4664CC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30DC6"/>
    <w:multiLevelType w:val="hybridMultilevel"/>
    <w:tmpl w:val="5A0E63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74F64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67CD9"/>
    <w:multiLevelType w:val="hybridMultilevel"/>
    <w:tmpl w:val="477831F2"/>
    <w:lvl w:ilvl="0" w:tplc="A770E5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6">
    <w:nsid w:val="599037F4"/>
    <w:multiLevelType w:val="hybridMultilevel"/>
    <w:tmpl w:val="A66ACA72"/>
    <w:lvl w:ilvl="0" w:tplc="F71E0058">
      <w:start w:val="4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62E93F6C"/>
    <w:multiLevelType w:val="hybridMultilevel"/>
    <w:tmpl w:val="EB9C79B4"/>
    <w:lvl w:ilvl="0" w:tplc="04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B8272D"/>
    <w:multiLevelType w:val="hybridMultilevel"/>
    <w:tmpl w:val="4076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6A"/>
    <w:rsid w:val="00035D3F"/>
    <w:rsid w:val="00140A4E"/>
    <w:rsid w:val="002B32DB"/>
    <w:rsid w:val="003E5C60"/>
    <w:rsid w:val="004643EE"/>
    <w:rsid w:val="00577443"/>
    <w:rsid w:val="00645ED7"/>
    <w:rsid w:val="008C2D1F"/>
    <w:rsid w:val="008D6EF1"/>
    <w:rsid w:val="0092366A"/>
    <w:rsid w:val="009377AC"/>
    <w:rsid w:val="00C858CD"/>
    <w:rsid w:val="00CC7635"/>
    <w:rsid w:val="00D44AE2"/>
    <w:rsid w:val="00E01248"/>
    <w:rsid w:val="00E541AE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413FF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6A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92366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2366A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92366A"/>
    <w:pPr>
      <w:ind w:left="720"/>
      <w:contextualSpacing/>
    </w:pPr>
  </w:style>
  <w:style w:type="table" w:styleId="TableGrid">
    <w:name w:val="Table Grid"/>
    <w:basedOn w:val="TableNormal"/>
    <w:uiPriority w:val="39"/>
    <w:rsid w:val="0092366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236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92366A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F1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6A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92366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2366A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92366A"/>
    <w:pPr>
      <w:ind w:left="720"/>
      <w:contextualSpacing/>
    </w:pPr>
  </w:style>
  <w:style w:type="table" w:styleId="TableGrid">
    <w:name w:val="Table Grid"/>
    <w:basedOn w:val="TableNormal"/>
    <w:uiPriority w:val="39"/>
    <w:rsid w:val="0092366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236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92366A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F1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2</cp:revision>
  <cp:lastPrinted>2018-03-26T02:01:00Z</cp:lastPrinted>
  <dcterms:created xsi:type="dcterms:W3CDTF">2018-10-09T05:23:00Z</dcterms:created>
  <dcterms:modified xsi:type="dcterms:W3CDTF">2018-10-09T05:23:00Z</dcterms:modified>
</cp:coreProperties>
</file>