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10"/>
        <w:gridCol w:w="2034"/>
        <w:gridCol w:w="2088"/>
      </w:tblGrid>
      <w:tr w:rsidR="0014441C" w:rsidRPr="00CF7964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CF7964" w:rsidRDefault="00CF7964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02C6E666">
                  <wp:extent cx="1481455" cy="1901825"/>
                  <wp:effectExtent l="0" t="0" r="444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CF7964" w:rsidRDefault="00B16B90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F7964">
              <w:rPr>
                <w:rFonts w:ascii="Arial" w:eastAsia="Times New Roman" w:hAnsi="Arial" w:cs="Arial"/>
                <w:b/>
                <w:bCs/>
                <w:color w:val="000000"/>
              </w:rPr>
              <w:t>PERAWATAN PASIEN DENGAN DOUBLE LUMEN HEMODIALISA</w:t>
            </w:r>
          </w:p>
        </w:tc>
      </w:tr>
      <w:tr w:rsidR="0014441C" w:rsidRPr="00CF7964" w:rsidTr="0014441C">
        <w:tc>
          <w:tcPr>
            <w:tcW w:w="2322" w:type="dxa"/>
            <w:vMerge/>
          </w:tcPr>
          <w:p w:rsidR="0014441C" w:rsidRPr="00CF7964" w:rsidRDefault="0014441C" w:rsidP="00CF796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14441C" w:rsidRDefault="0014441C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CF7964">
              <w:rPr>
                <w:rFonts w:ascii="Arial" w:hAnsi="Arial" w:cs="Arial"/>
              </w:rPr>
              <w:t xml:space="preserve">No. </w:t>
            </w:r>
            <w:proofErr w:type="spellStart"/>
            <w:r w:rsidRPr="00CF7964">
              <w:rPr>
                <w:rFonts w:ascii="Arial" w:hAnsi="Arial" w:cs="Arial"/>
              </w:rPr>
              <w:t>Dokumen</w:t>
            </w:r>
            <w:proofErr w:type="spellEnd"/>
          </w:p>
          <w:p w:rsidR="00CF7964" w:rsidRDefault="00CF7964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F7964" w:rsidRPr="00CF7964" w:rsidRDefault="00CF7964" w:rsidP="00CF7964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CF7964" w:rsidRPr="00CF7964" w:rsidRDefault="00CF7964" w:rsidP="00CF7964">
            <w:pPr>
              <w:spacing w:line="276" w:lineRule="auto"/>
              <w:ind w:left="279" w:firstLine="567"/>
              <w:jc w:val="center"/>
              <w:rPr>
                <w:rFonts w:ascii="Arial" w:hAnsi="Arial" w:cs="Arial"/>
                <w:lang w:val="id-ID"/>
              </w:rPr>
            </w:pPr>
            <w:r w:rsidRPr="00CF7964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2322" w:type="dxa"/>
          </w:tcPr>
          <w:p w:rsidR="0014441C" w:rsidRPr="00CF7964" w:rsidRDefault="0014441C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F7964">
              <w:rPr>
                <w:rFonts w:ascii="Arial" w:hAnsi="Arial" w:cs="Arial"/>
              </w:rPr>
              <w:t>No.</w:t>
            </w:r>
            <w:r w:rsidRPr="00CF7964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hAnsi="Arial" w:cs="Arial"/>
              </w:rPr>
              <w:t>Revisi</w:t>
            </w:r>
            <w:proofErr w:type="spellEnd"/>
          </w:p>
          <w:p w:rsidR="0014441C" w:rsidRPr="00CF7964" w:rsidRDefault="0014441C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F7964" w:rsidRDefault="00F15D58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F7964">
              <w:rPr>
                <w:rFonts w:ascii="Arial" w:hAnsi="Arial" w:cs="Arial"/>
              </w:rPr>
              <w:t>Halaman</w:t>
            </w:r>
            <w:proofErr w:type="spellEnd"/>
            <w:r w:rsidRPr="00CF7964">
              <w:rPr>
                <w:rFonts w:ascii="Arial" w:hAnsi="Arial" w:cs="Arial"/>
              </w:rPr>
              <w:t xml:space="preserve"> : </w:t>
            </w:r>
          </w:p>
          <w:p w:rsidR="00CF7964" w:rsidRDefault="00CF7964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14441C" w:rsidRPr="00CF7964" w:rsidRDefault="00F15D58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CF7964">
              <w:rPr>
                <w:rFonts w:ascii="Arial" w:hAnsi="Arial" w:cs="Arial"/>
              </w:rPr>
              <w:t>1/</w:t>
            </w:r>
            <w:r w:rsidR="00CF7964">
              <w:rPr>
                <w:rFonts w:ascii="Arial" w:hAnsi="Arial" w:cs="Arial"/>
                <w:lang w:val="id-ID"/>
              </w:rPr>
              <w:t>3</w:t>
            </w:r>
            <w:bookmarkStart w:id="0" w:name="_GoBack"/>
            <w:bookmarkEnd w:id="0"/>
          </w:p>
          <w:p w:rsidR="0014441C" w:rsidRPr="00CF7964" w:rsidRDefault="0014441C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CF7964" w:rsidTr="00FF61C7">
        <w:tc>
          <w:tcPr>
            <w:tcW w:w="2322" w:type="dxa"/>
            <w:vAlign w:val="center"/>
          </w:tcPr>
          <w:p w:rsidR="00FF61C7" w:rsidRPr="00CF7964" w:rsidRDefault="00FF61C7" w:rsidP="00CF7964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F7964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CF7964" w:rsidRDefault="00FF61C7" w:rsidP="00CF7964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F7964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CF7964" w:rsidRDefault="00FF61C7" w:rsidP="00CF796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F7964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322" w:type="dxa"/>
          </w:tcPr>
          <w:p w:rsidR="00FF61C7" w:rsidRPr="00CF7964" w:rsidRDefault="00FF61C7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CF7964" w:rsidRDefault="00FF61C7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F7964">
              <w:rPr>
                <w:rFonts w:ascii="Arial" w:hAnsi="Arial" w:cs="Arial"/>
              </w:rPr>
              <w:t>Tanggal</w:t>
            </w:r>
            <w:proofErr w:type="spellEnd"/>
            <w:r w:rsidRPr="00CF7964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hAnsi="Arial" w:cs="Arial"/>
              </w:rPr>
              <w:t>Terbit</w:t>
            </w:r>
            <w:proofErr w:type="spellEnd"/>
            <w:r w:rsidRPr="00CF7964">
              <w:rPr>
                <w:rFonts w:ascii="Arial" w:hAnsi="Arial" w:cs="Arial"/>
                <w:lang w:val="id-ID"/>
              </w:rPr>
              <w:t>,</w:t>
            </w:r>
          </w:p>
          <w:p w:rsidR="0014441C" w:rsidRPr="00CF7964" w:rsidRDefault="00CF7964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08 Januari 2018</w:t>
            </w:r>
          </w:p>
        </w:tc>
        <w:tc>
          <w:tcPr>
            <w:tcW w:w="4644" w:type="dxa"/>
            <w:gridSpan w:val="2"/>
          </w:tcPr>
          <w:p w:rsidR="00FF61C7" w:rsidRPr="00CF7964" w:rsidRDefault="00CF7964" w:rsidP="00CF796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:rsidR="00FF61C7" w:rsidRPr="00CF7964" w:rsidRDefault="00FF61C7" w:rsidP="00CF796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F7964">
              <w:rPr>
                <w:rFonts w:ascii="Arial" w:hAnsi="Arial" w:cs="Arial"/>
                <w:lang w:val="sv-SE"/>
              </w:rPr>
              <w:t>Direktur</w:t>
            </w:r>
            <w:r w:rsidR="00CF7964">
              <w:rPr>
                <w:rFonts w:ascii="Arial" w:hAnsi="Arial" w:cs="Arial"/>
                <w:lang w:val="id-ID"/>
              </w:rPr>
              <w:t xml:space="preserve"> </w:t>
            </w:r>
            <w:r w:rsidRPr="00CF7964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CF7964" w:rsidRDefault="00FF61C7" w:rsidP="00CF796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Default="00FF61C7" w:rsidP="00CF796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F7964" w:rsidRPr="00CF7964" w:rsidRDefault="00CF7964" w:rsidP="00CF796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FF61C7" w:rsidRPr="00CF7964" w:rsidRDefault="00FF61C7" w:rsidP="00CF796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F7964" w:rsidRDefault="00FF61C7" w:rsidP="00CF796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CF7964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CF7964" w:rsidRDefault="00FF61C7" w:rsidP="00CF7964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F7964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CF7964" w:rsidRDefault="00FF61C7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F7964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CF7964" w:rsidTr="00FF61C7">
        <w:tc>
          <w:tcPr>
            <w:tcW w:w="2322" w:type="dxa"/>
            <w:vAlign w:val="center"/>
          </w:tcPr>
          <w:p w:rsidR="00FF61C7" w:rsidRPr="00CF7964" w:rsidRDefault="00FF61C7" w:rsidP="00CF7964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F7964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6" w:type="dxa"/>
            <w:gridSpan w:val="3"/>
          </w:tcPr>
          <w:p w:rsidR="00FF61C7" w:rsidRPr="00CF7964" w:rsidRDefault="00B16B90" w:rsidP="00CF7964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Membantu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dokter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dalam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mempersiapkan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alat-alat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akan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menjalani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hemodialisa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untuk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</w:rPr>
              <w:t>pemasangan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</w:rPr>
              <w:t xml:space="preserve"> double lumen.</w:t>
            </w:r>
          </w:p>
        </w:tc>
      </w:tr>
      <w:tr w:rsidR="00FF61C7" w:rsidRPr="00CF7964" w:rsidTr="00FF61C7">
        <w:tc>
          <w:tcPr>
            <w:tcW w:w="2322" w:type="dxa"/>
            <w:vAlign w:val="center"/>
          </w:tcPr>
          <w:p w:rsidR="00FF61C7" w:rsidRPr="00CF7964" w:rsidRDefault="00FF61C7" w:rsidP="00CF7964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F7964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3"/>
          </w:tcPr>
          <w:p w:rsidR="00B16B90" w:rsidRPr="00CF7964" w:rsidRDefault="00B16B90" w:rsidP="00CF7964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Agar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prosedur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dapat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berjalan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lancar</w:t>
            </w:r>
            <w:proofErr w:type="spellEnd"/>
          </w:p>
          <w:p w:rsidR="00FF61C7" w:rsidRPr="00CF7964" w:rsidRDefault="00B16B90" w:rsidP="00CF7964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Agar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merasa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aman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nyaman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selama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prosedur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tindakan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hemodialisa</w:t>
            </w:r>
            <w:proofErr w:type="spellEnd"/>
          </w:p>
        </w:tc>
      </w:tr>
      <w:tr w:rsidR="00FF61C7" w:rsidRPr="00CF7964" w:rsidTr="00FF61C7">
        <w:tc>
          <w:tcPr>
            <w:tcW w:w="2322" w:type="dxa"/>
            <w:vAlign w:val="center"/>
          </w:tcPr>
          <w:p w:rsidR="00FF61C7" w:rsidRPr="00CF7964" w:rsidRDefault="00FF61C7" w:rsidP="00CF7964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F7964">
              <w:rPr>
                <w:rFonts w:ascii="Arial" w:hAnsi="Arial" w:cs="Arial"/>
                <w:b/>
              </w:rPr>
              <w:t>Kebijakan</w:t>
            </w:r>
            <w:proofErr w:type="spellEnd"/>
            <w:r w:rsidRPr="00CF796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CF7964" w:rsidRDefault="00CF7964" w:rsidP="00CF796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3E484A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CF7964" w:rsidRDefault="00CF7964" w:rsidP="00CF796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CF7964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CF7964" w:rsidRDefault="00CF7964" w:rsidP="00CF7964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  <w:lang w:val="id-ID"/>
              </w:rPr>
            </w:pPr>
            <w:r w:rsidRPr="00CF7964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CF7964">
              <w:rPr>
                <w:rFonts w:ascii="Arial" w:hAnsi="Arial" w:cs="Arial"/>
              </w:rPr>
              <w:t>d</w:t>
            </w:r>
            <w:r w:rsidRPr="00CF7964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CF7964">
              <w:rPr>
                <w:rFonts w:ascii="Arial" w:hAnsi="Arial" w:cs="Arial"/>
              </w:rPr>
              <w:t>Murjani</w:t>
            </w:r>
            <w:proofErr w:type="spellEnd"/>
            <w:r w:rsidRPr="00CF7964">
              <w:rPr>
                <w:rFonts w:ascii="Arial" w:hAnsi="Arial" w:cs="Arial"/>
              </w:rPr>
              <w:t xml:space="preserve"> </w:t>
            </w:r>
            <w:proofErr w:type="gramStart"/>
            <w:r w:rsidRPr="00CF7964">
              <w:rPr>
                <w:rFonts w:ascii="Arial" w:hAnsi="Arial" w:cs="Arial"/>
              </w:rPr>
              <w:t>N</w:t>
            </w:r>
            <w:r w:rsidRPr="00CF7964">
              <w:rPr>
                <w:rFonts w:ascii="Arial" w:hAnsi="Arial" w:cs="Arial"/>
                <w:lang w:val="id-ID"/>
              </w:rPr>
              <w:t xml:space="preserve">omor </w:t>
            </w:r>
            <w:r w:rsidRPr="00CF7964">
              <w:rPr>
                <w:rFonts w:ascii="Arial" w:hAnsi="Arial" w:cs="Arial"/>
              </w:rPr>
              <w:t xml:space="preserve"> /</w:t>
            </w:r>
            <w:proofErr w:type="gramEnd"/>
            <w:r w:rsidRPr="00CF7964">
              <w:rPr>
                <w:rFonts w:ascii="Arial" w:hAnsi="Arial" w:cs="Arial"/>
              </w:rPr>
              <w:t>SKPT/</w:t>
            </w:r>
            <w:r w:rsidRPr="00CF7964">
              <w:rPr>
                <w:rFonts w:ascii="Arial" w:hAnsi="Arial" w:cs="Arial"/>
                <w:lang w:val="id-ID"/>
              </w:rPr>
              <w:t>DIR/P05/</w:t>
            </w:r>
            <w:r w:rsidRPr="00CF7964">
              <w:rPr>
                <w:rFonts w:ascii="Arial" w:hAnsi="Arial" w:cs="Arial"/>
              </w:rPr>
              <w:t>RSUD-DM/1/201</w:t>
            </w:r>
            <w:r w:rsidRPr="00CF7964">
              <w:rPr>
                <w:rFonts w:ascii="Arial" w:hAnsi="Arial" w:cs="Arial"/>
                <w:lang w:val="id-ID"/>
              </w:rPr>
              <w:t>8</w:t>
            </w:r>
            <w:r w:rsidRPr="00CF7964">
              <w:rPr>
                <w:rFonts w:ascii="Arial" w:hAnsi="Arial" w:cs="Arial"/>
              </w:rPr>
              <w:t xml:space="preserve"> </w:t>
            </w:r>
            <w:r w:rsidRPr="00CF7964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454B01" w:rsidRPr="00CF7964" w:rsidTr="00FF61C7">
        <w:tc>
          <w:tcPr>
            <w:tcW w:w="2322" w:type="dxa"/>
            <w:vAlign w:val="center"/>
          </w:tcPr>
          <w:p w:rsidR="00454B01" w:rsidRPr="00CF7964" w:rsidRDefault="00454B01" w:rsidP="00CF7964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CF7964" w:rsidRDefault="00454B01" w:rsidP="00CF7964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F7964">
              <w:rPr>
                <w:rFonts w:ascii="Arial" w:hAnsi="Arial" w:cs="Arial"/>
                <w:b/>
              </w:rPr>
              <w:t>Prosedur</w:t>
            </w:r>
            <w:proofErr w:type="spellEnd"/>
            <w:r w:rsidRPr="00CF796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966" w:type="dxa"/>
            <w:gridSpan w:val="3"/>
          </w:tcPr>
          <w:p w:rsidR="00B16B90" w:rsidRPr="00CF7964" w:rsidRDefault="00B16B90" w:rsidP="00CF796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Persiapan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Alat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:</w:t>
            </w:r>
          </w:p>
          <w:p w:rsidR="00B16B90" w:rsidRPr="00CF7964" w:rsidRDefault="00B16B90" w:rsidP="00CF7964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Paket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:</w:t>
            </w:r>
          </w:p>
          <w:p w:rsidR="00B16B90" w:rsidRPr="00CF7964" w:rsidRDefault="00B16B90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Sarung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steril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1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pasang</w:t>
            </w:r>
            <w:proofErr w:type="spellEnd"/>
          </w:p>
          <w:p w:rsidR="00B16B90" w:rsidRPr="00CF7964" w:rsidRDefault="00B16B90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Mangkok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steril</w:t>
            </w:r>
            <w:proofErr w:type="spellEnd"/>
          </w:p>
          <w:p w:rsidR="00B16B90" w:rsidRPr="00CF7964" w:rsidRDefault="00B16B90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Kassa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steril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7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lembar</w:t>
            </w:r>
            <w:proofErr w:type="spellEnd"/>
          </w:p>
          <w:p w:rsidR="00454B01" w:rsidRPr="00CF7964" w:rsidRDefault="00B16B90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Syringe 1 cc 1 pcs</w:t>
            </w:r>
          </w:p>
          <w:p w:rsidR="00B16B90" w:rsidRPr="00CF7964" w:rsidRDefault="00B16B90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Syringe 20 cc 1 pcs</w:t>
            </w:r>
          </w:p>
          <w:p w:rsidR="00B16B90" w:rsidRPr="00CF7964" w:rsidRDefault="00B16B90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Heparin injective 1 vial</w:t>
            </w:r>
          </w:p>
          <w:p w:rsidR="00B16B90" w:rsidRPr="00CF7964" w:rsidRDefault="00B16B90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NaCL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0,9 % 1000 cc</w:t>
            </w:r>
          </w:p>
          <w:p w:rsidR="00B16B90" w:rsidRPr="00CF7964" w:rsidRDefault="00B16B90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NaCL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0,9 % 500 cc</w:t>
            </w:r>
          </w:p>
          <w:p w:rsidR="00B16B90" w:rsidRPr="00CF7964" w:rsidRDefault="00B16B90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Tranfusi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Set 1 pcs</w:t>
            </w:r>
          </w:p>
          <w:p w:rsidR="00B16B90" w:rsidRPr="00CF7964" w:rsidRDefault="00B16B90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Bethadine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Solution 30 cc</w:t>
            </w:r>
          </w:p>
          <w:p w:rsidR="00B16B90" w:rsidRPr="00CF7964" w:rsidRDefault="00B16B90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Alkohol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70 % 30 cc</w:t>
            </w:r>
          </w:p>
          <w:p w:rsidR="00CF7964" w:rsidRPr="00CF7964" w:rsidRDefault="00CF7964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Blood line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standart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1 set</w:t>
            </w:r>
          </w:p>
          <w:p w:rsidR="00CF7964" w:rsidRPr="00CF7964" w:rsidRDefault="00CF7964" w:rsidP="00CF7964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Dializer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(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ginjal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buatan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)</w:t>
            </w:r>
          </w:p>
        </w:tc>
      </w:tr>
    </w:tbl>
    <w:p w:rsidR="00013F05" w:rsidRDefault="00013F05" w:rsidP="00CF7964">
      <w:pPr>
        <w:rPr>
          <w:rFonts w:ascii="Arial" w:hAnsi="Arial" w:cs="Arial"/>
          <w:lang w:val="id-ID"/>
        </w:rPr>
      </w:pPr>
    </w:p>
    <w:p w:rsidR="00CF7964" w:rsidRDefault="00CF7964" w:rsidP="00CF7964">
      <w:pPr>
        <w:rPr>
          <w:rFonts w:ascii="Arial" w:hAnsi="Arial" w:cs="Arial"/>
          <w:lang w:val="id-ID"/>
        </w:rPr>
      </w:pPr>
    </w:p>
    <w:p w:rsidR="00CF7964" w:rsidRPr="00CF7964" w:rsidRDefault="00CF7964" w:rsidP="00CF7964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894"/>
        <w:gridCol w:w="1877"/>
        <w:gridCol w:w="1961"/>
      </w:tblGrid>
      <w:tr w:rsidR="00454B01" w:rsidRPr="00CF7964" w:rsidTr="00CF7964">
        <w:trPr>
          <w:trHeight w:val="839"/>
        </w:trPr>
        <w:tc>
          <w:tcPr>
            <w:tcW w:w="2556" w:type="dxa"/>
            <w:vMerge w:val="restart"/>
          </w:tcPr>
          <w:p w:rsidR="00454B01" w:rsidRPr="00CF7964" w:rsidRDefault="00CF7964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1428FA05" wp14:editId="030C4020">
                  <wp:extent cx="1481455" cy="1901825"/>
                  <wp:effectExtent l="0" t="0" r="444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2" w:type="dxa"/>
            <w:gridSpan w:val="3"/>
            <w:vAlign w:val="center"/>
          </w:tcPr>
          <w:p w:rsidR="00454B01" w:rsidRPr="00CF7964" w:rsidRDefault="00B16B90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F7964">
              <w:rPr>
                <w:rFonts w:ascii="Arial" w:eastAsia="Times New Roman" w:hAnsi="Arial" w:cs="Arial"/>
                <w:b/>
                <w:bCs/>
                <w:color w:val="000000"/>
              </w:rPr>
              <w:t>PERAWATAN PASIEN DENGAN DOUBLE LUMEN HEMODIALISA</w:t>
            </w:r>
          </w:p>
        </w:tc>
      </w:tr>
      <w:tr w:rsidR="00454B01" w:rsidRPr="00CF7964" w:rsidTr="00CF7964">
        <w:tc>
          <w:tcPr>
            <w:tcW w:w="2556" w:type="dxa"/>
            <w:vMerge/>
          </w:tcPr>
          <w:p w:rsidR="00454B01" w:rsidRPr="00CF7964" w:rsidRDefault="00454B01" w:rsidP="00CF796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94" w:type="dxa"/>
          </w:tcPr>
          <w:p w:rsidR="00454B01" w:rsidRDefault="00454B01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CF7964">
              <w:rPr>
                <w:rFonts w:ascii="Arial" w:hAnsi="Arial" w:cs="Arial"/>
              </w:rPr>
              <w:t xml:space="preserve">No. </w:t>
            </w:r>
            <w:proofErr w:type="spellStart"/>
            <w:r w:rsidRPr="00CF7964">
              <w:rPr>
                <w:rFonts w:ascii="Arial" w:hAnsi="Arial" w:cs="Arial"/>
              </w:rPr>
              <w:t>Dokumen</w:t>
            </w:r>
            <w:proofErr w:type="spellEnd"/>
          </w:p>
          <w:p w:rsidR="00CF7964" w:rsidRDefault="00CF7964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F7964" w:rsidRPr="00CF7964" w:rsidRDefault="00CF7964" w:rsidP="00CF7964">
            <w:pPr>
              <w:spacing w:line="276" w:lineRule="auto"/>
              <w:ind w:left="515" w:firstLine="650"/>
              <w:jc w:val="center"/>
              <w:rPr>
                <w:rFonts w:ascii="Arial" w:hAnsi="Arial" w:cs="Arial"/>
                <w:lang w:val="id-ID"/>
              </w:rPr>
            </w:pPr>
            <w:r w:rsidRPr="00CF7964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1877" w:type="dxa"/>
          </w:tcPr>
          <w:p w:rsidR="00454B01" w:rsidRPr="00CF7964" w:rsidRDefault="00454B01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F7964">
              <w:rPr>
                <w:rFonts w:ascii="Arial" w:hAnsi="Arial" w:cs="Arial"/>
              </w:rPr>
              <w:t>No.</w:t>
            </w:r>
            <w:r w:rsidRPr="00CF7964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hAnsi="Arial" w:cs="Arial"/>
              </w:rPr>
              <w:t>Revisi</w:t>
            </w:r>
            <w:proofErr w:type="spellEnd"/>
          </w:p>
          <w:p w:rsidR="00454B01" w:rsidRPr="00CF7964" w:rsidRDefault="00454B01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61" w:type="dxa"/>
          </w:tcPr>
          <w:p w:rsidR="00CF7964" w:rsidRDefault="00F15D58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F7964">
              <w:rPr>
                <w:rFonts w:ascii="Arial" w:hAnsi="Arial" w:cs="Arial"/>
              </w:rPr>
              <w:t>Halaman</w:t>
            </w:r>
            <w:proofErr w:type="spellEnd"/>
            <w:r w:rsidRPr="00CF7964">
              <w:rPr>
                <w:rFonts w:ascii="Arial" w:hAnsi="Arial" w:cs="Arial"/>
              </w:rPr>
              <w:t xml:space="preserve"> :</w:t>
            </w:r>
          </w:p>
          <w:p w:rsidR="00CF7964" w:rsidRDefault="00CF7964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454B01" w:rsidRPr="00CF7964" w:rsidRDefault="00F15D58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CF7964">
              <w:rPr>
                <w:rFonts w:ascii="Arial" w:hAnsi="Arial" w:cs="Arial"/>
              </w:rPr>
              <w:t>2</w:t>
            </w:r>
            <w:r w:rsidR="00CF7964">
              <w:rPr>
                <w:rFonts w:ascii="Arial" w:hAnsi="Arial" w:cs="Arial"/>
                <w:lang w:val="id-ID"/>
              </w:rPr>
              <w:t>/3</w:t>
            </w:r>
          </w:p>
          <w:p w:rsidR="00454B01" w:rsidRPr="00CF7964" w:rsidRDefault="00454B01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454B01" w:rsidRPr="00CF7964" w:rsidTr="00CF7964">
        <w:tc>
          <w:tcPr>
            <w:tcW w:w="2556" w:type="dxa"/>
          </w:tcPr>
          <w:p w:rsidR="00454B01" w:rsidRPr="00CF7964" w:rsidRDefault="00454B01" w:rsidP="00CF7964">
            <w:pPr>
              <w:spacing w:line="276" w:lineRule="auto"/>
              <w:rPr>
                <w:rFonts w:ascii="Arial" w:hAnsi="Arial" w:cs="Arial"/>
              </w:rPr>
            </w:pPr>
          </w:p>
          <w:p w:rsidR="00454B01" w:rsidRPr="00CF7964" w:rsidRDefault="00454B01" w:rsidP="00CF796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CF7964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732" w:type="dxa"/>
            <w:gridSpan w:val="3"/>
          </w:tcPr>
          <w:p w:rsidR="00EA2399" w:rsidRPr="00CF7964" w:rsidRDefault="00EA2399" w:rsidP="00CF796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72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Cara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Kerja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:</w:t>
            </w:r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Observasi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Keadaan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Umum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kesadaran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berdasarkan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GCS</w:t>
            </w:r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Observasi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vital sign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(TD,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suhu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Respirasi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)</w:t>
            </w:r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Kelengkapan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administrasi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medis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Sebelumnya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sudah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dipasang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double lumen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oleh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dokter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Atur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posisi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senyaman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mungkin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Perawat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cuci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tangan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Perawat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memakai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handscoen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steril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Oleskan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kassa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telah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dibasahi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bethadine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daerah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exit site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double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lument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bagian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yang di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hecting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Daerah exit site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ditutup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kassa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steril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(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penutup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exit side) </w:t>
            </w:r>
            <w:proofErr w:type="spellStart"/>
            <w:proofErr w:type="gram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dilapisi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opsite</w:t>
            </w:r>
            <w:proofErr w:type="spellEnd"/>
            <w:proofErr w:type="gram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atau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hypapik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>.</w:t>
            </w:r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Buka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kedua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ujung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penutup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double lumen,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lalu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tarik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berada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di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dalam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kedua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jalur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(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biru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)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sebanyak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masing-masing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1</w:t>
            </w:r>
            <w:proofErr w:type="gram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,5</w:t>
            </w:r>
            <w:proofErr w:type="gram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cc,</w:t>
            </w:r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buang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cairan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tersebut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ingat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jangan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terlalu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banyak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membuang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atau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menarik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dari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Bilas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tiap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lument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NaCL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0,9 %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secukupnya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(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kira-kira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3-5 cc )</w:t>
            </w:r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tiap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lument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lalu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bolus heparin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dosisi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awal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50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iu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- 100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iu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/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kgBB</w:t>
            </w:r>
            <w:proofErr w:type="spellEnd"/>
          </w:p>
          <w:p w:rsidR="00EA2399" w:rsidRPr="00CF7964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</w:rPr>
            </w:pPr>
            <w:proofErr w:type="gram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yang</w:t>
            </w:r>
            <w:proofErr w:type="gram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telah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diencerkan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denganNaCL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0,9 % 5 - 10 cc,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atau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cara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lain heparin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dosis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awal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diberikan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awalpermulaan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HD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yaitu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awal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dialirkan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sirkulasi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Ekstra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corporeal.</w:t>
            </w:r>
          </w:p>
          <w:p w:rsidR="00454B01" w:rsidRDefault="00EA2399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Sambungkan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lument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warna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(INLET)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blood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line,setelah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semua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masuk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sirkulasi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ekstra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corporeal,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sambil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menampung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sisa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priming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dalam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matikan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lalu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sambungkan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bloodline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biru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berwarna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biru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(OUTLET).</w:t>
            </w:r>
          </w:p>
          <w:p w:rsidR="00CF7964" w:rsidRPr="00CF7964" w:rsidRDefault="00CF7964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Lakukan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fiksasi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setelah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kedua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lumen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tersambung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bloodline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memperhatikan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estetika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kerapian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CF7964" w:rsidRPr="00CF7964" w:rsidRDefault="00CF7964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Pastikan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aliran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berjalan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lancar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proofErr w:type="gram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melihat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 monitor</w:t>
            </w:r>
            <w:proofErr w:type="gram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mesin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HD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alarm  detector yang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terpasang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mesin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HD (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arteri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pressure,</w:t>
            </w:r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vena pressure,</w:t>
            </w:r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TMP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concetrat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 detector).</w:t>
            </w:r>
          </w:p>
          <w:p w:rsidR="00CF7964" w:rsidRPr="00CF7964" w:rsidRDefault="00CF7964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Rapikan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alat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tindakan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perawat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cuci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tangan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CF7964" w:rsidRDefault="00CF7964" w:rsidP="00CF7964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Lakukan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observasi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dokumentasikan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CF7964" w:rsidRPr="00CF7964" w:rsidRDefault="00CF7964" w:rsidP="00CF7964">
            <w:pPr>
              <w:pStyle w:val="ListParagraph"/>
              <w:spacing w:line="276" w:lineRule="auto"/>
              <w:ind w:left="797"/>
              <w:jc w:val="both"/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</w:pPr>
          </w:p>
          <w:p w:rsidR="00CF7964" w:rsidRPr="00CF7964" w:rsidRDefault="00CF7964" w:rsidP="00CF7964">
            <w:pPr>
              <w:jc w:val="both"/>
              <w:rPr>
                <w:rFonts w:ascii="Arial" w:eastAsia="Times New Roman" w:hAnsi="Arial" w:cs="Arial"/>
                <w:color w:val="000000"/>
                <w:lang w:val="id-ID"/>
              </w:rPr>
            </w:pPr>
          </w:p>
        </w:tc>
      </w:tr>
      <w:tr w:rsidR="00EA2399" w:rsidRPr="00CF7964" w:rsidTr="00CF7964">
        <w:trPr>
          <w:trHeight w:val="839"/>
        </w:trPr>
        <w:tc>
          <w:tcPr>
            <w:tcW w:w="2556" w:type="dxa"/>
            <w:vMerge w:val="restart"/>
          </w:tcPr>
          <w:p w:rsidR="00EA2399" w:rsidRPr="00CF7964" w:rsidRDefault="00CF7964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lastRenderedPageBreak/>
              <w:drawing>
                <wp:inline distT="0" distB="0" distL="0" distR="0" wp14:anchorId="0804C8D8" wp14:editId="3A99C94F">
                  <wp:extent cx="1481455" cy="1901825"/>
                  <wp:effectExtent l="0" t="0" r="444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2" w:type="dxa"/>
            <w:gridSpan w:val="3"/>
            <w:vAlign w:val="center"/>
          </w:tcPr>
          <w:p w:rsidR="00EA2399" w:rsidRPr="00CF7964" w:rsidRDefault="00EA2399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F7964">
              <w:rPr>
                <w:rFonts w:ascii="Arial" w:eastAsia="Times New Roman" w:hAnsi="Arial" w:cs="Arial"/>
                <w:b/>
                <w:bCs/>
                <w:color w:val="000000"/>
              </w:rPr>
              <w:t>PERAWATAN PASIEN DENGAN DOUBLE LUMEN HEMODIALISA</w:t>
            </w:r>
          </w:p>
        </w:tc>
      </w:tr>
      <w:tr w:rsidR="00EA2399" w:rsidRPr="00CF7964" w:rsidTr="00CF7964">
        <w:tc>
          <w:tcPr>
            <w:tcW w:w="2556" w:type="dxa"/>
            <w:vMerge/>
          </w:tcPr>
          <w:p w:rsidR="00EA2399" w:rsidRPr="00CF7964" w:rsidRDefault="00EA2399" w:rsidP="00CF796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94" w:type="dxa"/>
          </w:tcPr>
          <w:p w:rsidR="00EA2399" w:rsidRDefault="00EA2399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CF7964">
              <w:rPr>
                <w:rFonts w:ascii="Arial" w:hAnsi="Arial" w:cs="Arial"/>
              </w:rPr>
              <w:t xml:space="preserve">No. </w:t>
            </w:r>
            <w:proofErr w:type="spellStart"/>
            <w:r w:rsidRPr="00CF7964">
              <w:rPr>
                <w:rFonts w:ascii="Arial" w:hAnsi="Arial" w:cs="Arial"/>
              </w:rPr>
              <w:t>Dokumen</w:t>
            </w:r>
            <w:proofErr w:type="spellEnd"/>
          </w:p>
          <w:p w:rsidR="00CF7964" w:rsidRDefault="00CF7964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CF7964" w:rsidRPr="00CF7964" w:rsidRDefault="00CF7964" w:rsidP="00CF7964">
            <w:pPr>
              <w:spacing w:line="276" w:lineRule="auto"/>
              <w:ind w:left="563" w:firstLine="567"/>
              <w:jc w:val="center"/>
              <w:rPr>
                <w:rFonts w:ascii="Arial" w:hAnsi="Arial" w:cs="Arial"/>
                <w:lang w:val="id-ID"/>
              </w:rPr>
            </w:pPr>
            <w:r w:rsidRPr="00CF7964">
              <w:rPr>
                <w:rFonts w:ascii="Arial" w:hAnsi="Arial" w:cs="Arial"/>
                <w:lang w:val="id-ID"/>
              </w:rPr>
              <w:t>/SPO/HD/P05/RSUD-DM/I/2018</w:t>
            </w:r>
          </w:p>
        </w:tc>
        <w:tc>
          <w:tcPr>
            <w:tcW w:w="1877" w:type="dxa"/>
          </w:tcPr>
          <w:p w:rsidR="00EA2399" w:rsidRPr="00CF7964" w:rsidRDefault="00EA2399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F7964">
              <w:rPr>
                <w:rFonts w:ascii="Arial" w:hAnsi="Arial" w:cs="Arial"/>
              </w:rPr>
              <w:t>No.</w:t>
            </w:r>
            <w:r w:rsidRPr="00CF7964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hAnsi="Arial" w:cs="Arial"/>
              </w:rPr>
              <w:t>Revisi</w:t>
            </w:r>
            <w:proofErr w:type="spellEnd"/>
          </w:p>
          <w:p w:rsidR="00EA2399" w:rsidRPr="00CF7964" w:rsidRDefault="00EA2399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61" w:type="dxa"/>
          </w:tcPr>
          <w:p w:rsidR="00CF7964" w:rsidRDefault="00F15D58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F7964">
              <w:rPr>
                <w:rFonts w:ascii="Arial" w:hAnsi="Arial" w:cs="Arial"/>
              </w:rPr>
              <w:t>Halaman</w:t>
            </w:r>
            <w:proofErr w:type="spellEnd"/>
            <w:r w:rsidRPr="00CF7964">
              <w:rPr>
                <w:rFonts w:ascii="Arial" w:hAnsi="Arial" w:cs="Arial"/>
              </w:rPr>
              <w:t xml:space="preserve"> :</w:t>
            </w:r>
          </w:p>
          <w:p w:rsidR="00CF7964" w:rsidRDefault="00CF7964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</w:p>
          <w:p w:rsidR="00EA2399" w:rsidRPr="00CF7964" w:rsidRDefault="00F15D58" w:rsidP="00CF7964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CF7964">
              <w:rPr>
                <w:rFonts w:ascii="Arial" w:hAnsi="Arial" w:cs="Arial"/>
              </w:rPr>
              <w:t>3</w:t>
            </w:r>
            <w:r w:rsidR="00EA2399" w:rsidRPr="00CF7964">
              <w:rPr>
                <w:rFonts w:ascii="Arial" w:hAnsi="Arial" w:cs="Arial"/>
              </w:rPr>
              <w:t>/</w:t>
            </w:r>
            <w:r w:rsidR="00CF7964">
              <w:rPr>
                <w:rFonts w:ascii="Arial" w:hAnsi="Arial" w:cs="Arial"/>
                <w:lang w:val="id-ID"/>
              </w:rPr>
              <w:t>3</w:t>
            </w:r>
          </w:p>
          <w:p w:rsidR="00EA2399" w:rsidRPr="00CF7964" w:rsidRDefault="00EA2399" w:rsidP="00CF796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F15D58" w:rsidRPr="00CF7964" w:rsidTr="00CF7964">
        <w:tc>
          <w:tcPr>
            <w:tcW w:w="2556" w:type="dxa"/>
          </w:tcPr>
          <w:p w:rsidR="00F15D58" w:rsidRPr="00CF7964" w:rsidRDefault="00F15D58" w:rsidP="00CF7964">
            <w:pPr>
              <w:spacing w:line="276" w:lineRule="auto"/>
              <w:rPr>
                <w:rFonts w:ascii="Arial" w:hAnsi="Arial" w:cs="Arial"/>
              </w:rPr>
            </w:pPr>
          </w:p>
          <w:p w:rsidR="00F15D58" w:rsidRPr="00CF7964" w:rsidRDefault="00F15D58" w:rsidP="00CF796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CF7964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732" w:type="dxa"/>
            <w:gridSpan w:val="3"/>
          </w:tcPr>
          <w:p w:rsidR="00F15D58" w:rsidRPr="00CF7964" w:rsidRDefault="00F15D58" w:rsidP="00CF7964">
            <w:pPr>
              <w:pStyle w:val="ListParagraph"/>
              <w:numPr>
                <w:ilvl w:val="0"/>
                <w:numId w:val="11"/>
              </w:numPr>
              <w:spacing w:before="120" w:line="276" w:lineRule="auto"/>
              <w:ind w:left="372"/>
              <w:rPr>
                <w:rFonts w:ascii="Arial" w:eastAsia="Times New Roman" w:hAnsi="Arial" w:cs="Arial"/>
                <w:color w:val="000000"/>
                <w:szCs w:val="22"/>
              </w:rPr>
            </w:pPr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Hal-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hal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perlu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diperhatikan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:</w:t>
            </w:r>
          </w:p>
          <w:p w:rsidR="00F15D58" w:rsidRPr="00CF7964" w:rsidRDefault="00F15D58" w:rsidP="00CF796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Balutan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diganti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setiap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kali HD,</w:t>
            </w:r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saat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ganti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balutan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olesi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bethadine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lalu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terakhir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bactroban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cream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daerah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sekitar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lument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menempel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jaringan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kulit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(exit side)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daerah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dihecting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setelah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HD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dimulai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F15D58" w:rsidRPr="00CF7964" w:rsidRDefault="00F15D58" w:rsidP="00CF796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kali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selesai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HD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masukkan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heparin injection (anti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koagulan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)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sebanyak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7500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iutanpa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diencerkan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(1</w:t>
            </w:r>
            <w:proofErr w:type="gram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,5</w:t>
            </w:r>
            <w:proofErr w:type="gram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cc)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kedalam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lument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biru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)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kata lain total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dosis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heparin (anti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koagulan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) yang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diberikan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didalam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lument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adalah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15.000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(3 cc).</w:t>
            </w:r>
          </w:p>
          <w:p w:rsidR="00F15D58" w:rsidRPr="00CF7964" w:rsidRDefault="00F15D58" w:rsidP="00CF796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Pada HD berikutnya lakukan terlebih dahulu penyedotan heparin pada kedua lument @ 1,5 cc serta mengeluarkan bila ada bekuan darah pada kedua lument, lalu bolus   kembali heparin dosis awal 50 iu - 100 iu/kg BB yang telah diencerkan dengan NaCL secukupnya (kira-kira 5 - 10 cc ) menunggu cimino/ fistula matang atau siap pakai.</w:t>
            </w:r>
          </w:p>
          <w:p w:rsidR="00CF7964" w:rsidRPr="00CF7964" w:rsidRDefault="00F15D58" w:rsidP="00CF796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double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lument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dapat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dipakai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selama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4 - 6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minggu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bila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tidak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terjadi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tanda-tanda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infeksi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.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Jika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sebelum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4 - 6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minggu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terjadi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tanda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infeksi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maka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double lumen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tersebut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harus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dilepas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diganti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chate</w:t>
            </w:r>
            <w:r w:rsid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</w:t>
            </w:r>
            <w:proofErr w:type="spellEnd"/>
            <w:r w:rsid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lokasi</w:t>
            </w:r>
            <w:proofErr w:type="spellEnd"/>
            <w:r w:rsid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yang </w:t>
            </w:r>
            <w:proofErr w:type="spellStart"/>
            <w:r w:rsid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baru</w:t>
            </w:r>
            <w:proofErr w:type="spellEnd"/>
            <w:r w:rsid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sampai</w:t>
            </w:r>
            <w:proofErr w:type="spellEnd"/>
            <w:r w:rsidR="00CF7964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</w:t>
            </w:r>
            <w:proofErr w:type="spellStart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menunggu</w:t>
            </w:r>
            <w:proofErr w:type="spellEnd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cimino</w:t>
            </w:r>
            <w:proofErr w:type="spellEnd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/ fistula </w:t>
            </w:r>
            <w:proofErr w:type="spellStart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matang</w:t>
            </w:r>
            <w:proofErr w:type="spellEnd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siap</w:t>
            </w:r>
            <w:proofErr w:type="spellEnd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pakai</w:t>
            </w:r>
            <w:proofErr w:type="spellEnd"/>
            <w:r w:rsidR="00CF7964" w:rsidRPr="00CF7964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:rsidR="00CF7964" w:rsidRPr="00CF7964" w:rsidRDefault="00CF7964" w:rsidP="00CF796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Setelah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terpasang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chateter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double lumen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dibalut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kassa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steril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lalu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difiksasi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menggunakan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hypapik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atau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opsite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.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Berikan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kondisi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senyaman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mungkin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.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Beri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tahu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bahwa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daerah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exit side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tidak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boleh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basah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bila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basah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segera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diganti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CF7964" w:rsidRPr="00CF7964" w:rsidRDefault="00CF7964" w:rsidP="00CF796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Jika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klem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tidak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diklem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dengan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baik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tidak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spuit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disambung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dapat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terjadi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emboli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udara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CF7964" w:rsidRPr="00CF7964" w:rsidRDefault="00CF7964" w:rsidP="00CF796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tidak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dapat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diaspirasi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gerakan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klem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ke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atas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bawah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mungkin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terjepit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/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kingking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karena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mungkin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lumen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menutupi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pembuluh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darah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ubah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posisi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pasien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letakkan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kain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di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belakang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skapula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CF7964" w:rsidRPr="00CF7964" w:rsidRDefault="00CF7964" w:rsidP="00CF796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797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Salah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satu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kateter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mungkin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dapat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diaspirasi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lebih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baik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dari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yang </w:t>
            </w:r>
            <w:proofErr w:type="gram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lain</w:t>
            </w:r>
            <w:proofErr w:type="gram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,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dapat</w:t>
            </w:r>
            <w:proofErr w:type="spellEnd"/>
            <w:r w:rsidRPr="00CF7964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digunakan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pada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selang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arteri</w:t>
            </w:r>
            <w:proofErr w:type="spellEnd"/>
            <w:r w:rsidRPr="00CF7964">
              <w:rPr>
                <w:rFonts w:ascii="Arial" w:eastAsia="Times New Roman" w:hAnsi="Arial" w:cs="Arial"/>
                <w:color w:val="000000"/>
                <w:szCs w:val="22"/>
              </w:rPr>
              <w:t>.</w:t>
            </w:r>
          </w:p>
          <w:p w:rsidR="00CF7964" w:rsidRPr="00CF7964" w:rsidRDefault="00CF7964" w:rsidP="00CF7964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15D58" w:rsidRPr="00CF7964" w:rsidTr="00CF7964">
        <w:tc>
          <w:tcPr>
            <w:tcW w:w="2556" w:type="dxa"/>
            <w:vAlign w:val="center"/>
          </w:tcPr>
          <w:p w:rsidR="00F15D58" w:rsidRPr="00CF7964" w:rsidRDefault="00F15D58" w:rsidP="00CF7964">
            <w:pPr>
              <w:spacing w:line="276" w:lineRule="auto"/>
              <w:rPr>
                <w:rFonts w:ascii="Arial" w:hAnsi="Arial" w:cs="Arial"/>
                <w:b/>
              </w:rPr>
            </w:pPr>
            <w:r w:rsidRPr="00CF7964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CF7964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732" w:type="dxa"/>
            <w:gridSpan w:val="3"/>
          </w:tcPr>
          <w:p w:rsidR="00F15D58" w:rsidRPr="00CF7964" w:rsidRDefault="00F15D58" w:rsidP="00CF796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59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F7964">
              <w:rPr>
                <w:rFonts w:ascii="Arial" w:hAnsi="Arial" w:cs="Arial"/>
                <w:szCs w:val="22"/>
              </w:rPr>
              <w:t>Perawat</w:t>
            </w:r>
            <w:proofErr w:type="spellEnd"/>
            <w:r w:rsidRPr="00CF796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hAnsi="Arial" w:cs="Arial"/>
                <w:szCs w:val="22"/>
              </w:rPr>
              <w:t>Hemodialisa</w:t>
            </w:r>
            <w:proofErr w:type="spellEnd"/>
          </w:p>
          <w:p w:rsidR="00F15D58" w:rsidRPr="00CF7964" w:rsidRDefault="00F15D58" w:rsidP="00CF796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59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F7964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CF796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hAnsi="Arial" w:cs="Arial"/>
                <w:szCs w:val="22"/>
              </w:rPr>
              <w:t>Anastesi</w:t>
            </w:r>
            <w:proofErr w:type="spellEnd"/>
            <w:r w:rsidRPr="00CF7964">
              <w:rPr>
                <w:rFonts w:ascii="Arial" w:hAnsi="Arial" w:cs="Arial"/>
                <w:szCs w:val="22"/>
              </w:rPr>
              <w:t xml:space="preserve">  </w:t>
            </w:r>
            <w:proofErr w:type="spellStart"/>
            <w:r w:rsidRPr="00CF7964">
              <w:rPr>
                <w:rFonts w:ascii="Arial" w:hAnsi="Arial" w:cs="Arial"/>
                <w:szCs w:val="22"/>
              </w:rPr>
              <w:t>Bedah</w:t>
            </w:r>
            <w:proofErr w:type="spellEnd"/>
            <w:r w:rsidRPr="00CF7964">
              <w:rPr>
                <w:rFonts w:ascii="Arial" w:hAnsi="Arial" w:cs="Arial"/>
                <w:szCs w:val="22"/>
              </w:rPr>
              <w:t xml:space="preserve"> </w:t>
            </w:r>
          </w:p>
          <w:p w:rsidR="00F15D58" w:rsidRPr="00CF7964" w:rsidRDefault="00F15D58" w:rsidP="00CF796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59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F7964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CF7964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F7964">
              <w:rPr>
                <w:rFonts w:ascii="Arial" w:hAnsi="Arial" w:cs="Arial"/>
                <w:szCs w:val="22"/>
              </w:rPr>
              <w:t>Penyakit</w:t>
            </w:r>
            <w:proofErr w:type="spellEnd"/>
            <w:r w:rsidRPr="00CF7964">
              <w:rPr>
                <w:rFonts w:ascii="Arial" w:hAnsi="Arial" w:cs="Arial"/>
                <w:szCs w:val="22"/>
              </w:rPr>
              <w:t xml:space="preserve">  </w:t>
            </w:r>
            <w:proofErr w:type="spellStart"/>
            <w:r w:rsidRPr="00CF7964">
              <w:rPr>
                <w:rFonts w:ascii="Arial" w:hAnsi="Arial" w:cs="Arial"/>
                <w:szCs w:val="22"/>
              </w:rPr>
              <w:t>Dalam</w:t>
            </w:r>
            <w:proofErr w:type="spellEnd"/>
          </w:p>
        </w:tc>
      </w:tr>
    </w:tbl>
    <w:p w:rsidR="00F15D58" w:rsidRPr="00CF7964" w:rsidRDefault="00F15D58" w:rsidP="00CF7964">
      <w:pPr>
        <w:rPr>
          <w:rFonts w:ascii="Arial" w:hAnsi="Arial" w:cs="Arial"/>
        </w:rPr>
      </w:pPr>
    </w:p>
    <w:sectPr w:rsidR="00F15D58" w:rsidRPr="00CF7964" w:rsidSect="00CF7964">
      <w:pgSz w:w="12191" w:h="18711" w:code="135"/>
      <w:pgMar w:top="1418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4090"/>
    <w:multiLevelType w:val="hybridMultilevel"/>
    <w:tmpl w:val="7B3C2CF2"/>
    <w:lvl w:ilvl="0" w:tplc="04090019">
      <w:start w:val="1"/>
      <w:numFmt w:val="lowerLetter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">
    <w:nsid w:val="11692687"/>
    <w:multiLevelType w:val="multilevel"/>
    <w:tmpl w:val="40AA0854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95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2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05" w:hanging="1440"/>
      </w:pPr>
      <w:rPr>
        <w:rFonts w:hint="default"/>
      </w:rPr>
    </w:lvl>
  </w:abstractNum>
  <w:abstractNum w:abstractNumId="2">
    <w:nsid w:val="13C77081"/>
    <w:multiLevelType w:val="multilevel"/>
    <w:tmpl w:val="9294A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40" w:hanging="1440"/>
      </w:pPr>
      <w:rPr>
        <w:rFonts w:hint="default"/>
      </w:rPr>
    </w:lvl>
  </w:abstractNum>
  <w:abstractNum w:abstractNumId="3">
    <w:nsid w:val="188733FF"/>
    <w:multiLevelType w:val="hybridMultilevel"/>
    <w:tmpl w:val="585AE94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101E76"/>
    <w:multiLevelType w:val="hybridMultilevel"/>
    <w:tmpl w:val="9EACC34C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5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CF0ED8"/>
    <w:multiLevelType w:val="hybridMultilevel"/>
    <w:tmpl w:val="58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711D6"/>
    <w:multiLevelType w:val="hybridMultilevel"/>
    <w:tmpl w:val="CDA4939E"/>
    <w:lvl w:ilvl="0" w:tplc="D5188EA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1171F"/>
    <w:multiLevelType w:val="hybridMultilevel"/>
    <w:tmpl w:val="8F8EA25A"/>
    <w:lvl w:ilvl="0" w:tplc="D5188EAC">
      <w:start w:val="1"/>
      <w:numFmt w:val="decimal"/>
      <w:lvlText w:val="%1."/>
      <w:lvlJc w:val="left"/>
      <w:pPr>
        <w:ind w:left="121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0E4DD0"/>
    <w:multiLevelType w:val="hybridMultilevel"/>
    <w:tmpl w:val="E2102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818C1"/>
    <w:multiLevelType w:val="hybridMultilevel"/>
    <w:tmpl w:val="B5F4D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A56A8"/>
    <w:multiLevelType w:val="hybridMultilevel"/>
    <w:tmpl w:val="5916F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0641D0"/>
    <w:multiLevelType w:val="hybridMultilevel"/>
    <w:tmpl w:val="8C4CA078"/>
    <w:lvl w:ilvl="0" w:tplc="C09E1CA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247B07"/>
    <w:multiLevelType w:val="hybridMultilevel"/>
    <w:tmpl w:val="157ED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9A2410"/>
    <w:multiLevelType w:val="hybridMultilevel"/>
    <w:tmpl w:val="60E0F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0F2C91"/>
    <w:multiLevelType w:val="hybridMultilevel"/>
    <w:tmpl w:val="D26C3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E20D2"/>
    <w:multiLevelType w:val="hybridMultilevel"/>
    <w:tmpl w:val="A802CF14"/>
    <w:lvl w:ilvl="0" w:tplc="D5188EAC">
      <w:start w:val="1"/>
      <w:numFmt w:val="decimal"/>
      <w:lvlText w:val="%1."/>
      <w:lvlJc w:val="left"/>
      <w:pPr>
        <w:ind w:left="121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6F13EC"/>
    <w:multiLevelType w:val="hybridMultilevel"/>
    <w:tmpl w:val="9EACC34C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8">
    <w:nsid w:val="6341062C"/>
    <w:multiLevelType w:val="hybridMultilevel"/>
    <w:tmpl w:val="F298789C"/>
    <w:lvl w:ilvl="0" w:tplc="D5188EA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F71FD"/>
    <w:multiLevelType w:val="hybridMultilevel"/>
    <w:tmpl w:val="934C5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17587A"/>
    <w:multiLevelType w:val="hybridMultilevel"/>
    <w:tmpl w:val="0C1CCE9C"/>
    <w:lvl w:ilvl="0" w:tplc="04090011">
      <w:start w:val="1"/>
      <w:numFmt w:val="decimal"/>
      <w:lvlText w:val="%1)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1">
    <w:nsid w:val="6F876E7E"/>
    <w:multiLevelType w:val="hybridMultilevel"/>
    <w:tmpl w:val="DAA2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806E86"/>
    <w:multiLevelType w:val="hybridMultilevel"/>
    <w:tmpl w:val="B5CE1E1C"/>
    <w:lvl w:ilvl="0" w:tplc="5A247B4A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89A6F32"/>
    <w:multiLevelType w:val="hybridMultilevel"/>
    <w:tmpl w:val="337A333C"/>
    <w:lvl w:ilvl="0" w:tplc="04090011">
      <w:start w:val="1"/>
      <w:numFmt w:val="decimal"/>
      <w:lvlText w:val="%1)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4">
    <w:nsid w:val="78FF2445"/>
    <w:multiLevelType w:val="hybridMultilevel"/>
    <w:tmpl w:val="399EADDC"/>
    <w:lvl w:ilvl="0" w:tplc="04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5"/>
  </w:num>
  <w:num w:numId="2">
    <w:abstractNumId w:val="10"/>
  </w:num>
  <w:num w:numId="3">
    <w:abstractNumId w:val="18"/>
  </w:num>
  <w:num w:numId="4">
    <w:abstractNumId w:val="16"/>
  </w:num>
  <w:num w:numId="5">
    <w:abstractNumId w:val="8"/>
  </w:num>
  <w:num w:numId="6">
    <w:abstractNumId w:val="7"/>
  </w:num>
  <w:num w:numId="7">
    <w:abstractNumId w:val="13"/>
  </w:num>
  <w:num w:numId="8">
    <w:abstractNumId w:val="6"/>
  </w:num>
  <w:num w:numId="9">
    <w:abstractNumId w:val="19"/>
  </w:num>
  <w:num w:numId="10">
    <w:abstractNumId w:val="21"/>
  </w:num>
  <w:num w:numId="11">
    <w:abstractNumId w:val="3"/>
  </w:num>
  <w:num w:numId="12">
    <w:abstractNumId w:val="24"/>
  </w:num>
  <w:num w:numId="13">
    <w:abstractNumId w:val="0"/>
  </w:num>
  <w:num w:numId="14">
    <w:abstractNumId w:val="15"/>
  </w:num>
  <w:num w:numId="15">
    <w:abstractNumId w:val="23"/>
  </w:num>
  <w:num w:numId="16">
    <w:abstractNumId w:val="20"/>
  </w:num>
  <w:num w:numId="17">
    <w:abstractNumId w:val="9"/>
  </w:num>
  <w:num w:numId="18">
    <w:abstractNumId w:val="4"/>
  </w:num>
  <w:num w:numId="19">
    <w:abstractNumId w:val="17"/>
  </w:num>
  <w:num w:numId="20">
    <w:abstractNumId w:val="12"/>
  </w:num>
  <w:num w:numId="21">
    <w:abstractNumId w:val="1"/>
  </w:num>
  <w:num w:numId="22">
    <w:abstractNumId w:val="14"/>
  </w:num>
  <w:num w:numId="23">
    <w:abstractNumId w:val="11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53"/>
    <w:rsid w:val="00013F05"/>
    <w:rsid w:val="0014441C"/>
    <w:rsid w:val="00454B01"/>
    <w:rsid w:val="00515153"/>
    <w:rsid w:val="005846E2"/>
    <w:rsid w:val="005C4E68"/>
    <w:rsid w:val="005C5933"/>
    <w:rsid w:val="0087782E"/>
    <w:rsid w:val="00B16B90"/>
    <w:rsid w:val="00CF7964"/>
    <w:rsid w:val="00EA2399"/>
    <w:rsid w:val="00EC0961"/>
    <w:rsid w:val="00F15D58"/>
    <w:rsid w:val="00FC3653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F15D58"/>
    <w:pPr>
      <w:tabs>
        <w:tab w:val="center" w:pos="4513"/>
        <w:tab w:val="right" w:pos="9026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5D58"/>
    <w:rPr>
      <w:rFonts w:cs="Angsana New"/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F15D58"/>
    <w:pPr>
      <w:tabs>
        <w:tab w:val="center" w:pos="4513"/>
        <w:tab w:val="right" w:pos="9026"/>
      </w:tabs>
      <w:spacing w:after="0" w:line="240" w:lineRule="auto"/>
    </w:pPr>
    <w:rPr>
      <w:rFonts w:cs="Angsana New"/>
      <w:color w:val="00000A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15D58"/>
    <w:rPr>
      <w:rFonts w:cs="Angsana New"/>
      <w:color w:val="00000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DB30B-AA38-430E-B1A6-C7AFC975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Gen Computer</cp:lastModifiedBy>
  <cp:revision>2</cp:revision>
  <dcterms:created xsi:type="dcterms:W3CDTF">2018-10-08T03:17:00Z</dcterms:created>
  <dcterms:modified xsi:type="dcterms:W3CDTF">2018-10-08T03:17:00Z</dcterms:modified>
</cp:coreProperties>
</file>