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CB4084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58151" wp14:editId="3A9EFADC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00A9C46" wp14:editId="3219CE72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CB4084">
        <w:rPr>
          <w:rFonts w:ascii="Arial" w:hAnsi="Arial" w:cs="Arial"/>
          <w:lang w:val="fr-FR"/>
        </w:rPr>
        <w:t>PEMERINTAH KABUPATEN KOTA WARINGIN TIMUR</w:t>
      </w:r>
    </w:p>
    <w:p w:rsidR="00EE2615" w:rsidRPr="00CB4084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CB4084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D12B1B" w:rsidRPr="00CB4084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D43EF0" w:rsidRPr="00CB4084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BAEB" wp14:editId="7A3C7FC4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CB4084" w:rsidRDefault="001129A8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>I</w:t>
      </w:r>
      <w:r w:rsidR="002021F4">
        <w:rPr>
          <w:rFonts w:ascii="Arial" w:eastAsia="Calibri" w:hAnsi="Arial" w:cs="Arial"/>
          <w:b/>
          <w:sz w:val="22"/>
          <w:szCs w:val="22"/>
          <w:lang w:val="en-ID"/>
        </w:rPr>
        <w:t>PCN PADA KOMITE PPIRS BULAN SEPTEMBER</w:t>
      </w:r>
      <w:r w:rsidR="00D43EF0"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CB4084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CB4084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CB4084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CB4084" w:rsidTr="00035867">
        <w:tc>
          <w:tcPr>
            <w:tcW w:w="51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</w:t>
            </w:r>
            <w:r w:rsidR="00AF3200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AF3200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  <w:bookmarkStart w:id="0" w:name="_GoBack"/>
            <w:bookmarkEnd w:id="0"/>
          </w:p>
        </w:tc>
        <w:tc>
          <w:tcPr>
            <w:tcW w:w="127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D45FE" w:rsidRPr="00CB4084" w:rsidRDefault="000D45F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2021F4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</w:tbl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D43EF0" w:rsidRPr="00035867" w:rsidRDefault="00035867" w:rsidP="001129A8">
      <w:pPr>
        <w:pStyle w:val="BodyText"/>
        <w:tabs>
          <w:tab w:val="left" w:pos="1440"/>
          <w:tab w:val="left" w:pos="1982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ab/>
      </w:r>
      <w:r>
        <w:rPr>
          <w:rFonts w:ascii="Arial" w:eastAsia="Calibri" w:hAnsi="Arial" w:cs="Arial"/>
          <w:sz w:val="22"/>
          <w:szCs w:val="22"/>
          <w:lang w:val="en-ID"/>
        </w:rPr>
        <w:tab/>
      </w:r>
      <w:r w:rsidR="00AF3200">
        <w:rPr>
          <w:noProof/>
        </w:rPr>
        <w:drawing>
          <wp:inline distT="0" distB="0" distL="0" distR="0" wp14:anchorId="38AC60F4" wp14:editId="332BAC2F">
            <wp:extent cx="4619501" cy="2945080"/>
            <wp:effectExtent l="0" t="0" r="10160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129A8"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D45FE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rendah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jauh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target.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Terutama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tenaga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lain (cleaning service)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r w:rsidR="00575A76"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proofErr w:type="gramEnd"/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pola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lama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memberikan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memasang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handscoon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dahulu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CB4084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CB4084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SURVILANCE HAIs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CB4084" w:rsidTr="00CC5A20">
        <w:tc>
          <w:tcPr>
            <w:tcW w:w="5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0D45FE" w:rsidRDefault="00AF3200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2468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2,03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0D45FE" w:rsidRDefault="00AF3200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320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0,00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169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2,96</w:t>
            </w:r>
            <w:r w:rsidR="0076410C"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35</w:t>
            </w:r>
          </w:p>
        </w:tc>
        <w:tc>
          <w:tcPr>
            <w:tcW w:w="2126" w:type="dxa"/>
            <w:vAlign w:val="center"/>
          </w:tcPr>
          <w:p w:rsidR="00CC5A20" w:rsidRPr="00CB4084" w:rsidRDefault="00AF320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19</w:t>
            </w:r>
          </w:p>
        </w:tc>
        <w:tc>
          <w:tcPr>
            <w:tcW w:w="1984" w:type="dxa"/>
            <w:vAlign w:val="center"/>
          </w:tcPr>
          <w:p w:rsidR="00CC5A20" w:rsidRPr="00CB4084" w:rsidRDefault="00AF3200" w:rsidP="001129A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542,86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CC5A20" w:rsidRPr="00CB4084" w:rsidRDefault="00E21B29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ab/>
      </w:r>
      <w:r w:rsidR="00C35537">
        <w:rPr>
          <w:noProof/>
        </w:rPr>
        <w:drawing>
          <wp:inline distT="0" distB="0" distL="0" distR="0" wp14:anchorId="479A2908" wp14:editId="223316E4">
            <wp:extent cx="4643251" cy="2778826"/>
            <wp:effectExtent l="0" t="0" r="24130" b="2159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15‰,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2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,27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 0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CB4084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200‰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2A7646" w:rsidRPr="002A7646" w:rsidRDefault="007878D7" w:rsidP="002A7646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</w:t>
      </w:r>
      <w:r w:rsidR="002A7646">
        <w:rPr>
          <w:rFonts w:ascii="Arial" w:eastAsia="Calibri" w:hAnsi="Arial" w:cs="Arial"/>
          <w:sz w:val="22"/>
          <w:szCs w:val="22"/>
          <w:lang w:val="en-ID"/>
        </w:rPr>
        <w:t>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setiap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teliti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7646" w:rsidRPr="00CB4084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SPO: 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chateter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chateter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Perawtana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post op.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dekubitus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ventilator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mekanik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IPCLN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35537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DF6053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C41B7E" wp14:editId="125F7BDB">
                <wp:simplePos x="0" y="0"/>
                <wp:positionH relativeFrom="column">
                  <wp:posOffset>3630930</wp:posOffset>
                </wp:positionH>
                <wp:positionV relativeFrom="paragraph">
                  <wp:posOffset>-1149985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DF6053" w:rsidRDefault="00DF6053" w:rsidP="00DF6053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5.9pt;margin-top:-90.5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Bcv4I74AAAAAwB&#10;AAAPAAAAAAAAAAAAAAAAANEEAABkcnMvZG93bnJldi54bWxQSwUGAAAAAAQABADzAAAA3gUAAAAA&#10;" fillcolor="white [3201]" stroked="f" strokeweight="2pt">
                <v:textbox>
                  <w:txbxContent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DF6053" w:rsidRDefault="00DF6053" w:rsidP="00DF6053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7757D47B" wp14:editId="7F7F661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57BB640" wp14:editId="060B9CE1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602CC5" w:rsidRPr="00CB4084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CB4084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602CC5" w:rsidRPr="00CB4084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E1F3C" wp14:editId="1550FCD1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Jam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Pr="00CB4084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SPO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terkait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Bundles HAIs.</w:t>
      </w:r>
    </w:p>
    <w:p w:rsidR="00AD77E8" w:rsidRPr="00CB4084" w:rsidRDefault="00AD77E8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IPCLN.</w:t>
      </w:r>
    </w:p>
    <w:p w:rsidR="00602CC5" w:rsidRPr="00CB4084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A45B" wp14:editId="10512D60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15466816" wp14:editId="4913CDE9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CF4D25" wp14:editId="06CF54B2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072768" w:rsidRPr="00CB4084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CB4084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072768" w:rsidRPr="00CB4084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0D261" wp14:editId="63C3C966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CB4084" w:rsidTr="00072768">
        <w:tc>
          <w:tcPr>
            <w:tcW w:w="53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CB4084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390D" wp14:editId="7B23903F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CB4084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D45FE"/>
    <w:rsid w:val="000E095B"/>
    <w:rsid w:val="000E1578"/>
    <w:rsid w:val="001071CD"/>
    <w:rsid w:val="001129A8"/>
    <w:rsid w:val="00116483"/>
    <w:rsid w:val="00194A7F"/>
    <w:rsid w:val="001A6BE8"/>
    <w:rsid w:val="001D4225"/>
    <w:rsid w:val="002021F4"/>
    <w:rsid w:val="002079DC"/>
    <w:rsid w:val="00211D06"/>
    <w:rsid w:val="00265784"/>
    <w:rsid w:val="002721D4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4F3B0A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F70"/>
    <w:rsid w:val="00A979D7"/>
    <w:rsid w:val="00AD77E8"/>
    <w:rsid w:val="00AF3200"/>
    <w:rsid w:val="00B12B29"/>
    <w:rsid w:val="00B3388B"/>
    <w:rsid w:val="00B63313"/>
    <w:rsid w:val="00B664A3"/>
    <w:rsid w:val="00BE3968"/>
    <w:rsid w:val="00BE6CB5"/>
    <w:rsid w:val="00C14416"/>
    <w:rsid w:val="00C35537"/>
    <w:rsid w:val="00C66047"/>
    <w:rsid w:val="00C73FC5"/>
    <w:rsid w:val="00CA5493"/>
    <w:rsid w:val="00CB4084"/>
    <w:rsid w:val="00CC2346"/>
    <w:rsid w:val="00CC5A20"/>
    <w:rsid w:val="00D12B1B"/>
    <w:rsid w:val="00D20536"/>
    <w:rsid w:val="00D43EF0"/>
    <w:rsid w:val="00D464C5"/>
    <w:rsid w:val="00D9454E"/>
    <w:rsid w:val="00DE6F6A"/>
    <w:rsid w:val="00DF2B42"/>
    <w:rsid w:val="00DF6053"/>
    <w:rsid w:val="00E21B29"/>
    <w:rsid w:val="00E50FBD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'Re.RSDM'!$L$92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'Re.RSDM'!$L$93:$L$97</c:f>
              <c:numCache>
                <c:formatCode>General</c:formatCode>
                <c:ptCount val="5"/>
                <c:pt idx="0">
                  <c:v>21.472017665789291</c:v>
                </c:pt>
                <c:pt idx="1">
                  <c:v>0</c:v>
                </c:pt>
                <c:pt idx="2">
                  <c:v>0</c:v>
                </c:pt>
                <c:pt idx="3">
                  <c:v>72.408963585434165</c:v>
                </c:pt>
                <c:pt idx="4">
                  <c:v>61.850164579369995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'Re.RSDM'!$M$92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'Re.RSDM'!$M$93:$M$97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886144"/>
        <c:axId val="148027584"/>
      </c:lineChart>
      <c:catAx>
        <c:axId val="16288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8027584"/>
        <c:crosses val="autoZero"/>
        <c:auto val="1"/>
        <c:lblAlgn val="ctr"/>
        <c:lblOffset val="100"/>
        <c:noMultiLvlLbl val="0"/>
      </c:catAx>
      <c:valAx>
        <c:axId val="148027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2886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1" i="0" baseline="0">
                <a:effectLst/>
              </a:rPr>
              <a:t>Angka Kejadian Infeksi Agusutus 2018</a:t>
            </a:r>
            <a:endParaRPr lang="en-US" sz="16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Murjani!$O$247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Murjani!$N$248:$N$251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Murjani!$O$248:$O$251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Murjani!$P$247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Murjani!$N$248:$N$251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Murjani!$P$248:$P$251</c:f>
              <c:numCache>
                <c:formatCode>General</c:formatCode>
                <c:ptCount val="4"/>
                <c:pt idx="0">
                  <c:v>2.0299999999999998</c:v>
                </c:pt>
                <c:pt idx="1">
                  <c:v>0</c:v>
                </c:pt>
                <c:pt idx="2">
                  <c:v>2.96</c:v>
                </c:pt>
                <c:pt idx="3">
                  <c:v>542.86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914816"/>
        <c:axId val="148029440"/>
      </c:lineChart>
      <c:catAx>
        <c:axId val="162914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48029440"/>
        <c:crosses val="autoZero"/>
        <c:auto val="1"/>
        <c:lblAlgn val="ctr"/>
        <c:lblOffset val="100"/>
        <c:noMultiLvlLbl val="0"/>
      </c:catAx>
      <c:valAx>
        <c:axId val="1480294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Prosentase </a:t>
                </a:r>
                <a:r>
                  <a:rPr lang="en-US" sz="1200" b="1" i="0" baseline="0">
                    <a:effectLst/>
                  </a:rPr>
                  <a:t>/ Permil</a:t>
                </a:r>
                <a:endParaRPr lang="en-US" sz="12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2914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2018-09-20T08:55:00Z</cp:lastPrinted>
  <dcterms:created xsi:type="dcterms:W3CDTF">2018-01-03T01:17:00Z</dcterms:created>
  <dcterms:modified xsi:type="dcterms:W3CDTF">2018-10-09T22:10:00Z</dcterms:modified>
</cp:coreProperties>
</file>