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8B34D" w14:textId="4C0803F6" w:rsidR="00B54E0E" w:rsidRDefault="00DB5D1D">
      <w:pPr>
        <w:spacing w:after="160"/>
      </w:pPr>
      <w:r>
        <w:rPr>
          <w:b/>
          <w:bCs/>
          <w:color w:val="003399"/>
          <w:sz w:val="52"/>
          <w:szCs w:val="52"/>
        </w:rPr>
        <w:t xml:space="preserve">PAGE </w:t>
      </w:r>
      <w:r w:rsidR="00C10F75">
        <w:rPr>
          <w:b/>
          <w:bCs/>
          <w:color w:val="003399"/>
          <w:sz w:val="52"/>
          <w:szCs w:val="52"/>
          <w:lang w:val="en-US"/>
        </w:rPr>
        <w:t>4</w:t>
      </w:r>
      <w:r>
        <w:rPr>
          <w:b/>
          <w:bCs/>
          <w:color w:val="003399"/>
          <w:sz w:val="52"/>
          <w:szCs w:val="52"/>
        </w:rPr>
        <w:t xml:space="preserve"> — CONSULTANT &amp; ADVISORY</w:t>
      </w:r>
    </w:p>
    <w:p w14:paraId="74B8B34E" w14:textId="77777777" w:rsidR="00B54E0E" w:rsidRDefault="00B54E0E">
      <w:pPr>
        <w:pBdr>
          <w:bottom w:val="single" w:sz="8" w:space="4" w:color="003399"/>
        </w:pBdr>
        <w:spacing w:after="120"/>
      </w:pPr>
    </w:p>
    <w:p w14:paraId="74B8B34F" w14:textId="77777777" w:rsidR="00B54E0E" w:rsidRDefault="00B54E0E">
      <w:pPr>
        <w:spacing w:before="60"/>
      </w:pPr>
    </w:p>
    <w:p w14:paraId="74B8B350" w14:textId="77777777" w:rsidR="00B54E0E" w:rsidRDefault="00DB5D1D">
      <w:pPr>
        <w:spacing w:after="200"/>
      </w:pPr>
      <w:r>
        <w:rPr>
          <w:b/>
          <w:bCs/>
          <w:i/>
          <w:iCs/>
          <w:color w:val="16A085"/>
          <w:sz w:val="28"/>
          <w:szCs w:val="28"/>
        </w:rPr>
        <w:t>Embedded expertise. Practical solutions. Measurable outcomes.</w:t>
      </w:r>
    </w:p>
    <w:p w14:paraId="74B8B351" w14:textId="77777777" w:rsidR="00B54E0E" w:rsidRDefault="00DB5D1D">
      <w:pPr>
        <w:spacing w:after="200"/>
      </w:pPr>
      <w:r>
        <w:t>Most advisors deliver a report. Ratelrock delivers a result. Our Consultant &amp; Advisory practice embeds directly in the businesses we serve — implementing change, not just recommending it. Across four practice areas, we provide the expertise, structure, and hands-on execution that Kenya's enterprises need — whether facing distress, preparing for capital, navigating a transaction, or building the governance infrastructure to scale.</w:t>
      </w:r>
    </w:p>
    <w:p w14:paraId="74B8B352" w14:textId="77777777" w:rsidR="00B54E0E" w:rsidRDefault="00B54E0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E0E" w14:paraId="74B8B354" w14:textId="77777777">
        <w:tc>
          <w:tcPr>
            <w:tcW w:w="9360" w:type="dxa"/>
            <w:tcBorders>
              <w:top w:val="none" w:sz="0" w:space="0" w:color="FFFFFF"/>
              <w:left w:val="single" w:sz="18" w:space="0" w:color="16A085"/>
              <w:bottom w:val="none" w:sz="0" w:space="0" w:color="FFFFFF"/>
              <w:right w:val="none" w:sz="0" w:space="0" w:color="FFFFFF"/>
            </w:tcBorders>
            <w:shd w:val="clear" w:color="auto" w:fill="F3F7F6"/>
            <w:tcMar>
              <w:top w:w="120" w:type="dxa"/>
              <w:left w:w="180" w:type="dxa"/>
              <w:bottom w:w="120" w:type="dxa"/>
              <w:right w:w="120" w:type="dxa"/>
            </w:tcMar>
          </w:tcPr>
          <w:p w14:paraId="74B8B353" w14:textId="77777777" w:rsidR="00B54E0E" w:rsidRDefault="00DB5D1D">
            <w:r>
              <w:rPr>
                <w:i/>
                <w:iCs/>
                <w:color w:val="1F2937"/>
              </w:rPr>
              <w:t>For businesses in distress or complexity, Ratelrock does not observe from the outside. We step in, work alongside management, and stay until the outcome is secured.</w:t>
            </w:r>
          </w:p>
        </w:tc>
      </w:tr>
    </w:tbl>
    <w:p w14:paraId="74B8B355" w14:textId="77777777" w:rsidR="00B54E0E" w:rsidRDefault="00B54E0E">
      <w:pPr>
        <w:spacing w:before="200"/>
      </w:pPr>
    </w:p>
    <w:p w14:paraId="74B8B356" w14:textId="77777777" w:rsidR="00B54E0E" w:rsidRDefault="00DB5D1D">
      <w:pPr>
        <w:spacing w:before="240" w:after="60"/>
      </w:pPr>
      <w:r>
        <w:rPr>
          <w:b/>
          <w:bCs/>
          <w:color w:val="16A085"/>
          <w:sz w:val="28"/>
          <w:szCs w:val="28"/>
        </w:rPr>
        <w:t>OUR FOUR PRACTICE AREAS</w:t>
      </w:r>
    </w:p>
    <w:p w14:paraId="74B8B357" w14:textId="77777777" w:rsidR="00B54E0E" w:rsidRDefault="00B54E0E">
      <w:pPr>
        <w:pBdr>
          <w:bottom w:val="single" w:sz="6" w:space="4" w:color="16A085"/>
        </w:pBdr>
        <w:spacing w:after="120"/>
      </w:pPr>
    </w:p>
    <w:p w14:paraId="74B8B358" w14:textId="77777777" w:rsidR="00B54E0E" w:rsidRDefault="00DB5D1D">
      <w:pPr>
        <w:spacing w:before="200" w:after="60"/>
      </w:pPr>
      <w:r>
        <w:rPr>
          <w:b/>
          <w:bCs/>
          <w:color w:val="1F2937"/>
          <w:sz w:val="26"/>
          <w:szCs w:val="26"/>
        </w:rPr>
        <w:t>1.  Turnaround &amp; Restructuring</w:t>
      </w:r>
    </w:p>
    <w:p w14:paraId="74B8B359" w14:textId="77777777" w:rsidR="00B54E0E" w:rsidRDefault="00DB5D1D">
      <w:pPr>
        <w:spacing w:after="160"/>
      </w:pPr>
      <w:r>
        <w:rPr>
          <w:i/>
          <w:iCs/>
          <w:color w:val="16A085"/>
        </w:rPr>
        <w:t>For businesses navigating acute distress, creditor pressure, or a financial crisis that requires immediate, expert intervention.</w:t>
      </w:r>
    </w:p>
    <w:p w14:paraId="74B8B35A" w14:textId="77777777" w:rsidR="00B54E0E" w:rsidRDefault="00DB5D1D">
      <w:pPr>
        <w:spacing w:after="120"/>
      </w:pPr>
      <w:r>
        <w:t>A fundamentally sound business in difficulty is not a write-off. Ratelrock embeds directly in the business — alongside management, with the board, and in dialogue with creditors — to stabilise, restructure, and rebuild. We do not deliver a report and leave. We stay until the recovery is real.</w:t>
      </w:r>
    </w:p>
    <w:p w14:paraId="74B8B35B" w14:textId="77777777" w:rsidR="00B54E0E" w:rsidRDefault="00B54E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4E0E" w14:paraId="74B8B35E"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5C" w14:textId="77777777" w:rsidR="00B54E0E" w:rsidRDefault="00DB5D1D">
            <w:r>
              <w:rPr>
                <w:b/>
                <w:bCs/>
                <w:color w:val="16A085"/>
                <w:sz w:val="22"/>
                <w:szCs w:val="22"/>
              </w:rPr>
              <w:t>What we do</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5D" w14:textId="77777777" w:rsidR="00B54E0E" w:rsidRDefault="00DB5D1D">
            <w:r>
              <w:rPr>
                <w:sz w:val="22"/>
                <w:szCs w:val="22"/>
              </w:rPr>
              <w:t>Forensic financial and operational diagnostic — identifying the actual root cause, not just the presenting problem. Immediate cash flow stabilisation. Creditor engagement and debt restructuring. Balance sheet and capital structure optimisation. Management support where capacity gaps exist. Governance and financial reporting strengthening.</w:t>
            </w:r>
          </w:p>
        </w:tc>
      </w:tr>
      <w:tr w:rsidR="00B54E0E" w14:paraId="74B8B361"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5F" w14:textId="77777777" w:rsidR="00B54E0E" w:rsidRDefault="00DB5D1D">
            <w:r>
              <w:rPr>
                <w:b/>
                <w:bCs/>
                <w:color w:val="16A085"/>
                <w:sz w:val="22"/>
                <w:szCs w:val="22"/>
              </w:rPr>
              <w:t>Capital bridge</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60" w14:textId="77777777" w:rsidR="00B54E0E" w:rsidRDefault="00DB5D1D">
            <w:r>
              <w:rPr>
                <w:sz w:val="22"/>
                <w:szCs w:val="22"/>
              </w:rPr>
              <w:t>Where bridge or restructuring capital is required as part of the solution, Ratelrock can provide it — separately evaluated and structured through our Private Credit division.</w:t>
            </w:r>
          </w:p>
        </w:tc>
      </w:tr>
      <w:tr w:rsidR="00B54E0E" w14:paraId="74B8B364"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62" w14:textId="5E334080" w:rsidR="00B54E0E" w:rsidRDefault="00B54E0E"/>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63" w14:textId="73E2C883" w:rsidR="00B54E0E" w:rsidRDefault="00B54E0E"/>
        </w:tc>
      </w:tr>
    </w:tbl>
    <w:p w14:paraId="74B8B365" w14:textId="77777777" w:rsidR="00B54E0E" w:rsidRDefault="00B54E0E">
      <w:pPr>
        <w:spacing w:before="240"/>
      </w:pPr>
    </w:p>
    <w:p w14:paraId="74B8B366" w14:textId="77777777" w:rsidR="00B54E0E" w:rsidRDefault="00DB5D1D">
      <w:pPr>
        <w:spacing w:before="200" w:after="60"/>
      </w:pPr>
      <w:r>
        <w:rPr>
          <w:b/>
          <w:bCs/>
          <w:color w:val="1F2937"/>
          <w:sz w:val="26"/>
          <w:szCs w:val="26"/>
        </w:rPr>
        <w:t>2.  Transaction Advisory</w:t>
      </w:r>
    </w:p>
    <w:p w14:paraId="74B8B367" w14:textId="77777777" w:rsidR="00B54E0E" w:rsidRDefault="00DB5D1D">
      <w:pPr>
        <w:spacing w:after="160"/>
      </w:pPr>
      <w:r>
        <w:rPr>
          <w:i/>
          <w:iCs/>
          <w:color w:val="16A085"/>
        </w:rPr>
        <w:lastRenderedPageBreak/>
        <w:t>For businesses navigating ownership transitions, acquisitions, or any deal requiring independent financial expertise and execution support.</w:t>
      </w:r>
    </w:p>
    <w:p w14:paraId="74B8B368" w14:textId="77777777" w:rsidR="00B54E0E" w:rsidRDefault="00DB5D1D">
      <w:pPr>
        <w:spacing w:after="120"/>
      </w:pPr>
      <w:r>
        <w:t>Transactions in the Kenyan mid-market require advisors who understand the complexity on the ground — not just the theory of the deal. Ratelrock provides independent transaction advisory, bringing the financial rigour and operational insight that ensures our clients enter and exit transactions with full clarity on value, structure, and risk.</w:t>
      </w:r>
    </w:p>
    <w:p w14:paraId="74B8B369" w14:textId="77777777" w:rsidR="00B54E0E" w:rsidRDefault="00B54E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4E0E" w14:paraId="74B8B36C"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6A" w14:textId="77777777" w:rsidR="00B54E0E" w:rsidRDefault="00DB5D1D">
            <w:r>
              <w:rPr>
                <w:b/>
                <w:bCs/>
                <w:color w:val="16A085"/>
                <w:sz w:val="22"/>
                <w:szCs w:val="22"/>
              </w:rPr>
              <w:t>Buy-side</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6B" w14:textId="77777777" w:rsidR="00B54E0E" w:rsidRDefault="00DB5D1D">
            <w:r>
              <w:rPr>
                <w:sz w:val="22"/>
                <w:szCs w:val="22"/>
              </w:rPr>
              <w:t>Target identification, financial due diligence, valuation, deal structuring, and negotiation support for acquiring enterprises.</w:t>
            </w:r>
          </w:p>
        </w:tc>
      </w:tr>
      <w:tr w:rsidR="00B54E0E" w14:paraId="74B8B36F"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6D" w14:textId="77777777" w:rsidR="00B54E0E" w:rsidRDefault="00DB5D1D">
            <w:r>
              <w:rPr>
                <w:b/>
                <w:bCs/>
                <w:color w:val="16A085"/>
                <w:sz w:val="22"/>
                <w:szCs w:val="22"/>
              </w:rPr>
              <w:t>Sell-side</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6E" w14:textId="77777777" w:rsidR="00B54E0E" w:rsidRDefault="00DB5D1D">
            <w:r>
              <w:rPr>
                <w:sz w:val="22"/>
                <w:szCs w:val="22"/>
              </w:rPr>
              <w:t>Business preparation, information memorandum, buyer identification, negotiation, and management of the sale process — end to end.</w:t>
            </w:r>
          </w:p>
        </w:tc>
      </w:tr>
      <w:tr w:rsidR="00B54E0E" w14:paraId="74B8B372"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70" w14:textId="77777777" w:rsidR="00B54E0E" w:rsidRDefault="00DB5D1D">
            <w:r>
              <w:rPr>
                <w:b/>
                <w:bCs/>
                <w:color w:val="16A085"/>
                <w:sz w:val="22"/>
                <w:szCs w:val="22"/>
              </w:rPr>
              <w:t>MBO / MBI</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71" w14:textId="77777777" w:rsidR="00B54E0E" w:rsidRDefault="00DB5D1D">
            <w:r>
              <w:rPr>
                <w:sz w:val="22"/>
                <w:szCs w:val="22"/>
              </w:rPr>
              <w:t>Management buyouts and buy-ins — structuring the transaction, organising finance, and managing the governance transition.</w:t>
            </w:r>
          </w:p>
        </w:tc>
      </w:tr>
      <w:tr w:rsidR="00B54E0E" w14:paraId="74B8B375"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73" w14:textId="77777777" w:rsidR="00B54E0E" w:rsidRDefault="00DB5D1D">
            <w:r>
              <w:rPr>
                <w:b/>
                <w:bCs/>
                <w:color w:val="16A085"/>
                <w:sz w:val="22"/>
                <w:szCs w:val="22"/>
              </w:rPr>
              <w:t>Succession</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74" w14:textId="77777777" w:rsidR="00B54E0E" w:rsidRDefault="00DB5D1D">
            <w:r>
              <w:rPr>
                <w:sz w:val="22"/>
                <w:szCs w:val="22"/>
              </w:rPr>
              <w:t>Ownership succession planning and execution for founder-led businesses transitioning to next-generation management or external investors.</w:t>
            </w:r>
          </w:p>
        </w:tc>
      </w:tr>
      <w:tr w:rsidR="00B54E0E" w14:paraId="74B8B378"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76" w14:textId="0160A691" w:rsidR="00B54E0E" w:rsidRDefault="00B54E0E"/>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77" w14:textId="526B81D5" w:rsidR="00B54E0E" w:rsidRDefault="00B54E0E"/>
        </w:tc>
      </w:tr>
    </w:tbl>
    <w:p w14:paraId="74B8B379" w14:textId="77777777" w:rsidR="00B54E0E" w:rsidRDefault="00B54E0E">
      <w:pPr>
        <w:spacing w:before="240"/>
      </w:pPr>
    </w:p>
    <w:p w14:paraId="74B8B37A" w14:textId="77777777" w:rsidR="00B54E0E" w:rsidRDefault="00DB5D1D">
      <w:r>
        <w:br w:type="page"/>
      </w:r>
    </w:p>
    <w:p w14:paraId="74B8B37B" w14:textId="77777777" w:rsidR="00B54E0E" w:rsidRDefault="00DB5D1D">
      <w:pPr>
        <w:spacing w:before="200" w:after="60"/>
      </w:pPr>
      <w:r>
        <w:rPr>
          <w:b/>
          <w:bCs/>
          <w:color w:val="1F2937"/>
          <w:sz w:val="26"/>
          <w:szCs w:val="26"/>
        </w:rPr>
        <w:lastRenderedPageBreak/>
        <w:t>3.  Corporate Finance Advisory</w:t>
      </w:r>
    </w:p>
    <w:p w14:paraId="74B8B37C" w14:textId="77777777" w:rsidR="00B54E0E" w:rsidRDefault="00DB5D1D">
      <w:pPr>
        <w:spacing w:after="160"/>
      </w:pPr>
      <w:r>
        <w:rPr>
          <w:i/>
          <w:iCs/>
          <w:color w:val="16A085"/>
        </w:rPr>
        <w:t>For businesses that need to optimise their capital structure, access new financing, or prepare for a commercial lender or institutional investor.</w:t>
      </w:r>
    </w:p>
    <w:p w14:paraId="74B8B37D" w14:textId="77777777" w:rsidR="00B54E0E" w:rsidRDefault="00DB5D1D">
      <w:pPr>
        <w:spacing w:after="120"/>
      </w:pPr>
      <w:r>
        <w:t>Capital structure is strategy. How a business is financed determines what it can do, how fast it can move, and what it costs to stay in business. Ratelrock's Corporate Finance Advisory practice helps enterprises design, negotiate, and execute the capital structures that match their ambition — whether that means restructuring existing debt, accessing new facilities, or building the financial infrastructure that commercial lenders require.</w:t>
      </w:r>
    </w:p>
    <w:p w14:paraId="74B8B37E" w14:textId="77777777" w:rsidR="00B54E0E" w:rsidRDefault="00B54E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4E0E" w14:paraId="74B8B381"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7F" w14:textId="77777777" w:rsidR="00B54E0E" w:rsidRDefault="00DB5D1D">
            <w:r>
              <w:rPr>
                <w:b/>
                <w:bCs/>
                <w:color w:val="16A085"/>
                <w:sz w:val="22"/>
                <w:szCs w:val="22"/>
              </w:rPr>
              <w:t>Debt advisory</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80" w14:textId="77777777" w:rsidR="00B54E0E" w:rsidRDefault="00DB5D1D">
            <w:r>
              <w:rPr>
                <w:sz w:val="22"/>
                <w:szCs w:val="22"/>
              </w:rPr>
              <w:t>Structuring and negotiating debt facilities — including senior secured, mezzanine, and specialised instruments — with existing and new lenders.</w:t>
            </w:r>
          </w:p>
        </w:tc>
      </w:tr>
      <w:tr w:rsidR="00B54E0E" w14:paraId="74B8B384"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82" w14:textId="77777777" w:rsidR="00B54E0E" w:rsidRDefault="00DB5D1D">
            <w:r>
              <w:rPr>
                <w:b/>
                <w:bCs/>
                <w:color w:val="16A085"/>
                <w:sz w:val="22"/>
                <w:szCs w:val="22"/>
              </w:rPr>
              <w:t>Capital structure</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83" w14:textId="77777777" w:rsidR="00B54E0E" w:rsidRDefault="00DB5D1D">
            <w:r>
              <w:rPr>
                <w:sz w:val="22"/>
                <w:szCs w:val="22"/>
              </w:rPr>
              <w:t>Right-sizing the financial structure for the business's operating model, growth plan, and risk profile. Identifying and resolving structural inefficiencies.</w:t>
            </w:r>
          </w:p>
        </w:tc>
      </w:tr>
      <w:tr w:rsidR="00B54E0E" w14:paraId="74B8B387"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85" w14:textId="77777777" w:rsidR="00B54E0E" w:rsidRDefault="00DB5D1D">
            <w:r>
              <w:rPr>
                <w:b/>
                <w:bCs/>
                <w:color w:val="16A085"/>
                <w:sz w:val="22"/>
                <w:szCs w:val="22"/>
              </w:rPr>
              <w:t>Lender preparation</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86" w14:textId="77777777" w:rsidR="00B54E0E" w:rsidRDefault="00DB5D1D">
            <w:r>
              <w:rPr>
                <w:sz w:val="22"/>
                <w:szCs w:val="22"/>
              </w:rPr>
              <w:t>Building the financial package — management accounts, cash flow models, financing memoranda, and covenant frameworks — that institutional lenders require before committing.</w:t>
            </w:r>
          </w:p>
        </w:tc>
      </w:tr>
      <w:tr w:rsidR="00B54E0E" w14:paraId="74B8B38A"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88" w14:textId="77777777" w:rsidR="00B54E0E" w:rsidRDefault="00DB5D1D">
            <w:r>
              <w:rPr>
                <w:b/>
                <w:bCs/>
                <w:color w:val="16A085"/>
                <w:sz w:val="22"/>
                <w:szCs w:val="22"/>
              </w:rPr>
              <w:t>Financing access</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89" w14:textId="77777777" w:rsidR="00B54E0E" w:rsidRDefault="00DB5D1D">
            <w:r>
              <w:rPr>
                <w:sz w:val="22"/>
                <w:szCs w:val="22"/>
              </w:rPr>
              <w:t>Introductions to commercial banks, DFIs, and private credit providers where appropriate, with structured support through the credit process.</w:t>
            </w:r>
          </w:p>
        </w:tc>
      </w:tr>
      <w:tr w:rsidR="00B54E0E" w14:paraId="74B8B38D"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8B" w14:textId="377202CE" w:rsidR="00B54E0E" w:rsidRDefault="00B54E0E"/>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8C" w14:textId="26FF9E8B" w:rsidR="00B54E0E" w:rsidRDefault="00B54E0E"/>
        </w:tc>
      </w:tr>
    </w:tbl>
    <w:p w14:paraId="74B8B38E" w14:textId="77777777" w:rsidR="00B54E0E" w:rsidRDefault="00B54E0E">
      <w:pPr>
        <w:spacing w:before="240"/>
      </w:pPr>
    </w:p>
    <w:p w14:paraId="74B8B38F" w14:textId="77777777" w:rsidR="00B54E0E" w:rsidRDefault="00DB5D1D">
      <w:pPr>
        <w:spacing w:before="200" w:after="60"/>
      </w:pPr>
      <w:r>
        <w:rPr>
          <w:b/>
          <w:bCs/>
          <w:color w:val="1F2937"/>
          <w:sz w:val="26"/>
          <w:szCs w:val="26"/>
        </w:rPr>
        <w:t>4.  Growth &amp; Governance Advisory</w:t>
      </w:r>
    </w:p>
    <w:p w14:paraId="74B8B390" w14:textId="77777777" w:rsidR="00B54E0E" w:rsidRDefault="00DB5D1D">
      <w:pPr>
        <w:spacing w:after="160"/>
      </w:pPr>
      <w:r>
        <w:rPr>
          <w:i/>
          <w:iCs/>
          <w:color w:val="16A085"/>
        </w:rPr>
        <w:t>For enterprises that are fundamentally strong but need the financial, governance, or operational infrastructure to unlock their next level of capital and scale.</w:t>
      </w:r>
    </w:p>
    <w:p w14:paraId="74B8B391" w14:textId="77777777" w:rsidR="00B54E0E" w:rsidRDefault="00DB5D1D">
      <w:pPr>
        <w:spacing w:after="120"/>
      </w:pPr>
      <w:r>
        <w:t>Governance gaps, incomplete financial records, and management structures that haven't kept pace with business growth are solvable problems — not permanent barriers. Ratelrock works directly with management to build the financial reporting, governance, and operational infrastructure that unlocks the next level of capital at better terms. This is not consulting at a distance. We build it with you.</w:t>
      </w:r>
    </w:p>
    <w:p w14:paraId="74B8B392" w14:textId="77777777" w:rsidR="00B54E0E" w:rsidRDefault="00B54E0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4E0E" w14:paraId="74B8B395"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93" w14:textId="77777777" w:rsidR="00B54E0E" w:rsidRDefault="00DB5D1D">
            <w:r>
              <w:rPr>
                <w:b/>
                <w:bCs/>
                <w:color w:val="16A085"/>
                <w:sz w:val="22"/>
                <w:szCs w:val="22"/>
              </w:rPr>
              <w:t>Financial reporting</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94" w14:textId="77777777" w:rsidR="00B54E0E" w:rsidRDefault="00DB5D1D">
            <w:r>
              <w:rPr>
                <w:sz w:val="22"/>
                <w:szCs w:val="22"/>
              </w:rPr>
              <w:t>Management accounts, cash flow forecasting, budgeting frameworks, and internal controls — built to institutional standards. We install systems that management can run independently after we leave.</w:t>
            </w:r>
          </w:p>
        </w:tc>
      </w:tr>
      <w:tr w:rsidR="00B54E0E" w14:paraId="74B8B398"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96" w14:textId="77777777" w:rsidR="00B54E0E" w:rsidRDefault="00DB5D1D">
            <w:r>
              <w:rPr>
                <w:b/>
                <w:bCs/>
                <w:color w:val="16A085"/>
                <w:sz w:val="22"/>
                <w:szCs w:val="22"/>
              </w:rPr>
              <w:t>Governance</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97" w14:textId="77777777" w:rsidR="00B54E0E" w:rsidRDefault="00DB5D1D">
            <w:r>
              <w:rPr>
                <w:sz w:val="22"/>
                <w:szCs w:val="22"/>
              </w:rPr>
              <w:t>Board structuring, shareholder agreements, audit readiness, compliance frameworks, and company secretarial. Governance improvement is a defined investment objective, not a secondary outcome.</w:t>
            </w:r>
          </w:p>
        </w:tc>
      </w:tr>
      <w:tr w:rsidR="00B54E0E" w14:paraId="74B8B39B"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99" w14:textId="77777777" w:rsidR="00B54E0E" w:rsidRDefault="00DB5D1D">
            <w:r>
              <w:rPr>
                <w:b/>
                <w:bCs/>
                <w:color w:val="16A085"/>
                <w:sz w:val="22"/>
                <w:szCs w:val="22"/>
              </w:rPr>
              <w:t>Operational efficiency</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9A" w14:textId="77777777" w:rsidR="00B54E0E" w:rsidRDefault="00DB5D1D">
            <w:r>
              <w:rPr>
                <w:sz w:val="22"/>
                <w:szCs w:val="22"/>
              </w:rPr>
              <w:t>Supply chain optimisation, cost structure analysis, margin improvement, and process standardisation across key operational functions.</w:t>
            </w:r>
          </w:p>
        </w:tc>
      </w:tr>
      <w:tr w:rsidR="00B54E0E" w14:paraId="74B8B39E"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9C" w14:textId="77777777" w:rsidR="00B54E0E" w:rsidRDefault="00DB5D1D">
            <w:r>
              <w:rPr>
                <w:b/>
                <w:bCs/>
                <w:color w:val="16A085"/>
                <w:sz w:val="22"/>
                <w:szCs w:val="22"/>
              </w:rPr>
              <w:lastRenderedPageBreak/>
              <w:t>Strategic advisory</w:t>
            </w:r>
          </w:p>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9D" w14:textId="77777777" w:rsidR="00B54E0E" w:rsidRDefault="00DB5D1D">
            <w:r>
              <w:rPr>
                <w:sz w:val="22"/>
                <w:szCs w:val="22"/>
              </w:rPr>
              <w:t>Market positioning, commercial strategy, partnership development, and M&amp;A preparation for enterprises planning their next significant growth move.</w:t>
            </w:r>
          </w:p>
        </w:tc>
      </w:tr>
      <w:tr w:rsidR="00B54E0E" w14:paraId="74B8B3A1" w14:textId="77777777">
        <w:tc>
          <w:tcPr>
            <w:tcW w:w="2400" w:type="dxa"/>
            <w:tcBorders>
              <w:top w:val="none" w:sz="0" w:space="0" w:color="FFFFFF"/>
              <w:left w:val="none" w:sz="0" w:space="0" w:color="FFFFFF"/>
              <w:bottom w:val="single" w:sz="2" w:space="0" w:color="D5E8E4"/>
              <w:right w:val="none" w:sz="0" w:space="0" w:color="FFFFFF"/>
            </w:tcBorders>
            <w:tcMar>
              <w:top w:w="80" w:type="dxa"/>
              <w:left w:w="0" w:type="dxa"/>
              <w:bottom w:w="80" w:type="dxa"/>
              <w:right w:w="60" w:type="dxa"/>
            </w:tcMar>
          </w:tcPr>
          <w:p w14:paraId="74B8B39F" w14:textId="253737FC" w:rsidR="00B54E0E" w:rsidRDefault="00B54E0E"/>
        </w:tc>
        <w:tc>
          <w:tcPr>
            <w:tcW w:w="6960" w:type="dxa"/>
            <w:tcBorders>
              <w:top w:val="none" w:sz="0" w:space="0" w:color="FFFFFF"/>
              <w:left w:val="none" w:sz="0" w:space="0" w:color="FFFFFF"/>
              <w:bottom w:val="single" w:sz="2" w:space="0" w:color="D5E8E4"/>
              <w:right w:val="none" w:sz="0" w:space="0" w:color="FFFFFF"/>
            </w:tcBorders>
            <w:tcMar>
              <w:top w:w="80" w:type="dxa"/>
              <w:left w:w="60" w:type="dxa"/>
              <w:bottom w:w="80" w:type="dxa"/>
              <w:right w:w="0" w:type="dxa"/>
            </w:tcMar>
          </w:tcPr>
          <w:p w14:paraId="74B8B3A0" w14:textId="2BE2572E" w:rsidR="00B54E0E" w:rsidRDefault="00B54E0E"/>
        </w:tc>
      </w:tr>
    </w:tbl>
    <w:p w14:paraId="74B8B3A2" w14:textId="77777777" w:rsidR="00B54E0E" w:rsidRDefault="00B54E0E">
      <w:pPr>
        <w:spacing w:before="240"/>
      </w:pPr>
    </w:p>
    <w:p w14:paraId="74B8B3A3" w14:textId="77777777" w:rsidR="00B54E0E" w:rsidRDefault="00DB5D1D">
      <w:pPr>
        <w:spacing w:before="240" w:after="60"/>
      </w:pPr>
      <w:r>
        <w:rPr>
          <w:b/>
          <w:bCs/>
          <w:color w:val="16A085"/>
          <w:sz w:val="28"/>
          <w:szCs w:val="28"/>
        </w:rPr>
        <w:t>THE RATELROCK ADVISORY DIFFERENCE</w:t>
      </w:r>
    </w:p>
    <w:p w14:paraId="74B8B3A4" w14:textId="77777777" w:rsidR="00B54E0E" w:rsidRDefault="00B54E0E">
      <w:pPr>
        <w:pBdr>
          <w:bottom w:val="single" w:sz="6" w:space="4" w:color="16A085"/>
        </w:pBdr>
        <w:spacing w:after="120"/>
      </w:pPr>
    </w:p>
    <w:p w14:paraId="74B8B3A5" w14:textId="77777777" w:rsidR="00B54E0E" w:rsidRDefault="00DB5D1D">
      <w:pPr>
        <w:spacing w:after="120"/>
      </w:pPr>
      <w:r>
        <w:t>Most advisory firms in this market operate at a distance — producing frameworks, reports, and slide decks that identify problems without solving them. Ratelrock is built differently. Our advisors are practitioners, not theorists. They have built and operated businesses, structured credit facilities, and led enterprise recoveries across the East African market. When they arrive, they work.</w:t>
      </w:r>
    </w:p>
    <w:p w14:paraId="74B8B3A6" w14:textId="77777777" w:rsidR="00B54E0E" w:rsidRDefault="00B54E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54E0E" w14:paraId="74B8B3AA" w14:textId="77777777">
        <w:trPr>
          <w:tblHeader/>
        </w:trPr>
        <w:tc>
          <w:tcPr>
            <w:tcW w:w="3120" w:type="dxa"/>
            <w:tcBorders>
              <w:top w:val="single" w:sz="2" w:space="0" w:color="1F2937"/>
              <w:left w:val="single" w:sz="2" w:space="0" w:color="1F2937"/>
              <w:bottom w:val="single" w:sz="2" w:space="0" w:color="1F2937"/>
              <w:right w:val="single" w:sz="2" w:space="0" w:color="1F2937"/>
            </w:tcBorders>
            <w:shd w:val="clear" w:color="auto" w:fill="1F2937"/>
            <w:tcMar>
              <w:top w:w="100" w:type="dxa"/>
              <w:left w:w="120" w:type="dxa"/>
              <w:bottom w:w="100" w:type="dxa"/>
              <w:right w:w="120" w:type="dxa"/>
            </w:tcMar>
          </w:tcPr>
          <w:p w14:paraId="74B8B3A7" w14:textId="77777777" w:rsidR="00B54E0E" w:rsidRDefault="00DB5D1D">
            <w:pPr>
              <w:jc w:val="center"/>
            </w:pPr>
            <w:r>
              <w:rPr>
                <w:b/>
                <w:bCs/>
                <w:color w:val="FFFFFF"/>
                <w:sz w:val="22"/>
                <w:szCs w:val="22"/>
              </w:rPr>
              <w:t>Standard Advisory</w:t>
            </w:r>
          </w:p>
        </w:tc>
        <w:tc>
          <w:tcPr>
            <w:tcW w:w="3120" w:type="dxa"/>
            <w:tcBorders>
              <w:top w:val="single" w:sz="2" w:space="0" w:color="1F2937"/>
              <w:left w:val="single" w:sz="2" w:space="0" w:color="1F2937"/>
              <w:bottom w:val="single" w:sz="2" w:space="0" w:color="1F2937"/>
              <w:right w:val="single" w:sz="2" w:space="0" w:color="1F2937"/>
            </w:tcBorders>
            <w:shd w:val="clear" w:color="auto" w:fill="1F2937"/>
            <w:tcMar>
              <w:top w:w="100" w:type="dxa"/>
              <w:left w:w="120" w:type="dxa"/>
              <w:bottom w:w="100" w:type="dxa"/>
              <w:right w:w="120" w:type="dxa"/>
            </w:tcMar>
          </w:tcPr>
          <w:p w14:paraId="74B8B3A8" w14:textId="77777777" w:rsidR="00B54E0E" w:rsidRDefault="00DB5D1D">
            <w:pPr>
              <w:jc w:val="center"/>
            </w:pPr>
            <w:r>
              <w:rPr>
                <w:b/>
                <w:bCs/>
                <w:color w:val="FFFFFF"/>
                <w:sz w:val="22"/>
                <w:szCs w:val="22"/>
              </w:rPr>
              <w:t>Ratelrock Advisory</w:t>
            </w:r>
          </w:p>
        </w:tc>
        <w:tc>
          <w:tcPr>
            <w:tcW w:w="3120" w:type="dxa"/>
            <w:tcBorders>
              <w:top w:val="single" w:sz="2" w:space="0" w:color="1F2937"/>
              <w:left w:val="single" w:sz="2" w:space="0" w:color="1F2937"/>
              <w:bottom w:val="single" w:sz="2" w:space="0" w:color="1F2937"/>
              <w:right w:val="single" w:sz="2" w:space="0" w:color="1F2937"/>
            </w:tcBorders>
            <w:shd w:val="clear" w:color="auto" w:fill="1F2937"/>
            <w:tcMar>
              <w:top w:w="100" w:type="dxa"/>
              <w:left w:w="120" w:type="dxa"/>
              <w:bottom w:w="100" w:type="dxa"/>
              <w:right w:w="120" w:type="dxa"/>
            </w:tcMar>
          </w:tcPr>
          <w:p w14:paraId="74B8B3A9" w14:textId="77777777" w:rsidR="00B54E0E" w:rsidRDefault="00DB5D1D">
            <w:pPr>
              <w:jc w:val="center"/>
            </w:pPr>
            <w:r>
              <w:rPr>
                <w:b/>
                <w:bCs/>
                <w:color w:val="FFFFFF"/>
                <w:sz w:val="22"/>
                <w:szCs w:val="22"/>
              </w:rPr>
              <w:t>The Difference</w:t>
            </w:r>
          </w:p>
        </w:tc>
      </w:tr>
      <w:tr w:rsidR="00B54E0E" w14:paraId="74B8B3AE" w14:textId="77777777">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AB" w14:textId="77777777" w:rsidR="00B54E0E" w:rsidRDefault="00DB5D1D">
            <w:r>
              <w:rPr>
                <w:sz w:val="20"/>
                <w:szCs w:val="20"/>
              </w:rPr>
              <w:t>Report delivered, implementation left to client</w:t>
            </w:r>
          </w:p>
        </w:tc>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AC" w14:textId="77777777" w:rsidR="00B54E0E" w:rsidRDefault="00DB5D1D">
            <w:r>
              <w:rPr>
                <w:sz w:val="20"/>
                <w:szCs w:val="20"/>
              </w:rPr>
              <w:t>Embedded team. We implement alongside you.</w:t>
            </w:r>
          </w:p>
        </w:tc>
        <w:tc>
          <w:tcPr>
            <w:tcW w:w="3120" w:type="dxa"/>
            <w:tcBorders>
              <w:top w:val="single" w:sz="2" w:space="0" w:color="D5E8E4"/>
              <w:left w:val="single" w:sz="2" w:space="0" w:color="D5E8E4"/>
              <w:bottom w:val="single" w:sz="2" w:space="0" w:color="D5E8E4"/>
              <w:right w:val="single" w:sz="2" w:space="0" w:color="D5E8E4"/>
            </w:tcBorders>
            <w:shd w:val="clear" w:color="auto" w:fill="EAF4F1"/>
            <w:tcMar>
              <w:top w:w="80" w:type="dxa"/>
              <w:left w:w="120" w:type="dxa"/>
              <w:bottom w:w="80" w:type="dxa"/>
              <w:right w:w="120" w:type="dxa"/>
            </w:tcMar>
          </w:tcPr>
          <w:p w14:paraId="74B8B3AD" w14:textId="77777777" w:rsidR="00B54E0E" w:rsidRDefault="00DB5D1D">
            <w:r>
              <w:rPr>
                <w:b/>
                <w:bCs/>
                <w:color w:val="16A085"/>
                <w:sz w:val="20"/>
                <w:szCs w:val="20"/>
              </w:rPr>
              <w:t>Execution, not observation</w:t>
            </w:r>
          </w:p>
        </w:tc>
      </w:tr>
      <w:tr w:rsidR="00B54E0E" w14:paraId="74B8B3B2" w14:textId="77777777">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AF" w14:textId="77777777" w:rsidR="00B54E0E" w:rsidRDefault="00DB5D1D">
            <w:r>
              <w:rPr>
                <w:sz w:val="20"/>
                <w:szCs w:val="20"/>
              </w:rPr>
              <w:t>Engagement ends at the recommendation</w:t>
            </w:r>
          </w:p>
        </w:tc>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0" w14:textId="77777777" w:rsidR="00B54E0E" w:rsidRDefault="00DB5D1D">
            <w:r>
              <w:rPr>
                <w:sz w:val="20"/>
                <w:szCs w:val="20"/>
              </w:rPr>
              <w:t>We stay through the outcome</w:t>
            </w:r>
          </w:p>
        </w:tc>
        <w:tc>
          <w:tcPr>
            <w:tcW w:w="3120" w:type="dxa"/>
            <w:tcBorders>
              <w:top w:val="single" w:sz="2" w:space="0" w:color="D5E8E4"/>
              <w:left w:val="single" w:sz="2" w:space="0" w:color="D5E8E4"/>
              <w:bottom w:val="single" w:sz="2" w:space="0" w:color="D5E8E4"/>
              <w:right w:val="single" w:sz="2" w:space="0" w:color="D5E8E4"/>
            </w:tcBorders>
            <w:shd w:val="clear" w:color="auto" w:fill="EAF4F1"/>
            <w:tcMar>
              <w:top w:w="80" w:type="dxa"/>
              <w:left w:w="120" w:type="dxa"/>
              <w:bottom w:w="80" w:type="dxa"/>
              <w:right w:w="120" w:type="dxa"/>
            </w:tcMar>
          </w:tcPr>
          <w:p w14:paraId="74B8B3B1" w14:textId="77777777" w:rsidR="00B54E0E" w:rsidRDefault="00DB5D1D">
            <w:r>
              <w:rPr>
                <w:b/>
                <w:bCs/>
                <w:color w:val="16A085"/>
                <w:sz w:val="20"/>
                <w:szCs w:val="20"/>
              </w:rPr>
              <w:t>Accountability built in</w:t>
            </w:r>
          </w:p>
        </w:tc>
      </w:tr>
      <w:tr w:rsidR="00B54E0E" w14:paraId="74B8B3B6" w14:textId="77777777">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3" w14:textId="77777777" w:rsidR="00B54E0E" w:rsidRDefault="00DB5D1D">
            <w:r>
              <w:rPr>
                <w:sz w:val="20"/>
                <w:szCs w:val="20"/>
              </w:rPr>
              <w:t>Generic frameworks applied to your context</w:t>
            </w:r>
          </w:p>
        </w:tc>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4" w14:textId="77777777" w:rsidR="00B54E0E" w:rsidRDefault="00DB5D1D">
            <w:r>
              <w:rPr>
                <w:sz w:val="20"/>
                <w:szCs w:val="20"/>
              </w:rPr>
              <w:t>Frameworks built around your business model</w:t>
            </w:r>
          </w:p>
        </w:tc>
        <w:tc>
          <w:tcPr>
            <w:tcW w:w="3120" w:type="dxa"/>
            <w:tcBorders>
              <w:top w:val="single" w:sz="2" w:space="0" w:color="D5E8E4"/>
              <w:left w:val="single" w:sz="2" w:space="0" w:color="D5E8E4"/>
              <w:bottom w:val="single" w:sz="2" w:space="0" w:color="D5E8E4"/>
              <w:right w:val="single" w:sz="2" w:space="0" w:color="D5E8E4"/>
            </w:tcBorders>
            <w:shd w:val="clear" w:color="auto" w:fill="EAF4F1"/>
            <w:tcMar>
              <w:top w:w="80" w:type="dxa"/>
              <w:left w:w="120" w:type="dxa"/>
              <w:bottom w:w="80" w:type="dxa"/>
              <w:right w:w="120" w:type="dxa"/>
            </w:tcMar>
          </w:tcPr>
          <w:p w14:paraId="74B8B3B5" w14:textId="77777777" w:rsidR="00B54E0E" w:rsidRDefault="00DB5D1D">
            <w:r>
              <w:rPr>
                <w:b/>
                <w:bCs/>
                <w:color w:val="16A085"/>
                <w:sz w:val="20"/>
                <w:szCs w:val="20"/>
              </w:rPr>
              <w:t>Specificity, not template</w:t>
            </w:r>
          </w:p>
        </w:tc>
      </w:tr>
      <w:tr w:rsidR="00B54E0E" w14:paraId="74B8B3BA" w14:textId="77777777">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7" w14:textId="77777777" w:rsidR="00B54E0E" w:rsidRDefault="00DB5D1D">
            <w:r>
              <w:rPr>
                <w:sz w:val="20"/>
                <w:szCs w:val="20"/>
              </w:rPr>
              <w:t>Separate advisors for finance, ops, and restructuring</w:t>
            </w:r>
          </w:p>
        </w:tc>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8" w14:textId="77777777" w:rsidR="00B54E0E" w:rsidRDefault="00DB5D1D">
            <w:r>
              <w:rPr>
                <w:sz w:val="20"/>
                <w:szCs w:val="20"/>
              </w:rPr>
              <w:t>Single integrated team across all disciplines</w:t>
            </w:r>
          </w:p>
        </w:tc>
        <w:tc>
          <w:tcPr>
            <w:tcW w:w="3120" w:type="dxa"/>
            <w:tcBorders>
              <w:top w:val="single" w:sz="2" w:space="0" w:color="D5E8E4"/>
              <w:left w:val="single" w:sz="2" w:space="0" w:color="D5E8E4"/>
              <w:bottom w:val="single" w:sz="2" w:space="0" w:color="D5E8E4"/>
              <w:right w:val="single" w:sz="2" w:space="0" w:color="D5E8E4"/>
            </w:tcBorders>
            <w:shd w:val="clear" w:color="auto" w:fill="EAF4F1"/>
            <w:tcMar>
              <w:top w:w="80" w:type="dxa"/>
              <w:left w:w="120" w:type="dxa"/>
              <w:bottom w:w="80" w:type="dxa"/>
              <w:right w:w="120" w:type="dxa"/>
            </w:tcMar>
          </w:tcPr>
          <w:p w14:paraId="74B8B3B9" w14:textId="77777777" w:rsidR="00B54E0E" w:rsidRDefault="00DB5D1D">
            <w:r>
              <w:rPr>
                <w:b/>
                <w:bCs/>
                <w:color w:val="16A085"/>
                <w:sz w:val="20"/>
                <w:szCs w:val="20"/>
              </w:rPr>
              <w:t>No handoff risk</w:t>
            </w:r>
          </w:p>
        </w:tc>
      </w:tr>
      <w:tr w:rsidR="00B54E0E" w14:paraId="74B8B3BE" w14:textId="77777777">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B" w14:textId="77777777" w:rsidR="00B54E0E" w:rsidRDefault="00DB5D1D">
            <w:r>
              <w:rPr>
                <w:sz w:val="20"/>
                <w:szCs w:val="20"/>
              </w:rPr>
              <w:t>No capital capability</w:t>
            </w:r>
          </w:p>
        </w:tc>
        <w:tc>
          <w:tcPr>
            <w:tcW w:w="3120" w:type="dxa"/>
            <w:tcBorders>
              <w:top w:val="single" w:sz="2" w:space="0" w:color="D5E8E4"/>
              <w:left w:val="single" w:sz="2" w:space="0" w:color="D5E8E4"/>
              <w:bottom w:val="single" w:sz="2" w:space="0" w:color="D5E8E4"/>
              <w:right w:val="single" w:sz="2" w:space="0" w:color="D5E8E4"/>
            </w:tcBorders>
            <w:shd w:val="clear" w:color="auto" w:fill="FFFFFF"/>
            <w:tcMar>
              <w:top w:w="80" w:type="dxa"/>
              <w:left w:w="120" w:type="dxa"/>
              <w:bottom w:w="80" w:type="dxa"/>
              <w:right w:w="120" w:type="dxa"/>
            </w:tcMar>
          </w:tcPr>
          <w:p w14:paraId="74B8B3BC" w14:textId="77777777" w:rsidR="00B54E0E" w:rsidRDefault="00DB5D1D">
            <w:r>
              <w:rPr>
                <w:sz w:val="20"/>
                <w:szCs w:val="20"/>
              </w:rPr>
              <w:t>Private Credit division provides finance where needed</w:t>
            </w:r>
          </w:p>
        </w:tc>
        <w:tc>
          <w:tcPr>
            <w:tcW w:w="3120" w:type="dxa"/>
            <w:tcBorders>
              <w:top w:val="single" w:sz="2" w:space="0" w:color="D5E8E4"/>
              <w:left w:val="single" w:sz="2" w:space="0" w:color="D5E8E4"/>
              <w:bottom w:val="single" w:sz="2" w:space="0" w:color="D5E8E4"/>
              <w:right w:val="single" w:sz="2" w:space="0" w:color="D5E8E4"/>
            </w:tcBorders>
            <w:shd w:val="clear" w:color="auto" w:fill="EAF4F1"/>
            <w:tcMar>
              <w:top w:w="80" w:type="dxa"/>
              <w:left w:w="120" w:type="dxa"/>
              <w:bottom w:w="80" w:type="dxa"/>
              <w:right w:w="120" w:type="dxa"/>
            </w:tcMar>
          </w:tcPr>
          <w:p w14:paraId="74B8B3BD" w14:textId="77777777" w:rsidR="00B54E0E" w:rsidRDefault="00DB5D1D">
            <w:r>
              <w:rPr>
                <w:b/>
                <w:bCs/>
                <w:color w:val="16A085"/>
                <w:sz w:val="20"/>
                <w:szCs w:val="20"/>
              </w:rPr>
              <w:t>Advisory + capital in one relationship</w:t>
            </w:r>
          </w:p>
        </w:tc>
      </w:tr>
    </w:tbl>
    <w:p w14:paraId="74B8B3BF" w14:textId="77777777" w:rsidR="00B54E0E" w:rsidRDefault="00B54E0E">
      <w:pPr>
        <w:spacing w:before="240"/>
      </w:pPr>
    </w:p>
    <w:p w14:paraId="74B8B3C0" w14:textId="77777777" w:rsidR="00B54E0E" w:rsidRDefault="00DB5D1D">
      <w:pPr>
        <w:spacing w:before="240" w:after="60"/>
      </w:pPr>
      <w:r>
        <w:rPr>
          <w:b/>
          <w:bCs/>
          <w:color w:val="16A085"/>
          <w:sz w:val="28"/>
          <w:szCs w:val="28"/>
        </w:rPr>
        <w:t>START A CONVERSATION</w:t>
      </w:r>
    </w:p>
    <w:p w14:paraId="74B8B3C1" w14:textId="77777777" w:rsidR="00B54E0E" w:rsidRDefault="00B54E0E">
      <w:pPr>
        <w:pBdr>
          <w:bottom w:val="single" w:sz="6" w:space="4" w:color="16A085"/>
        </w:pBdr>
        <w:spacing w:after="120"/>
      </w:pPr>
    </w:p>
    <w:p w14:paraId="74B8B3C2" w14:textId="77777777" w:rsidR="00B54E0E" w:rsidRDefault="00DB5D1D">
      <w:pPr>
        <w:spacing w:after="120"/>
      </w:pPr>
      <w:r>
        <w:t>Every engagement begins with a confidential conversation. Whether you are facing a crisis, planning a transaction, or building for the next stage of growth, our team will assess your situation honestly — and tell you whether and how we can help.</w:t>
      </w:r>
    </w:p>
    <w:p w14:paraId="74B8B3C3" w14:textId="77777777" w:rsidR="00B54E0E" w:rsidRDefault="00B54E0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4E0E" w14:paraId="74B8B3C5" w14:textId="77777777">
        <w:tc>
          <w:tcPr>
            <w:tcW w:w="9360" w:type="dxa"/>
            <w:tcBorders>
              <w:top w:val="none" w:sz="0" w:space="0" w:color="FFFFFF"/>
              <w:left w:val="single" w:sz="18" w:space="0" w:color="16A085"/>
              <w:bottom w:val="none" w:sz="0" w:space="0" w:color="FFFFFF"/>
              <w:right w:val="none" w:sz="0" w:space="0" w:color="FFFFFF"/>
            </w:tcBorders>
            <w:shd w:val="clear" w:color="auto" w:fill="F3F7F6"/>
            <w:tcMar>
              <w:top w:w="120" w:type="dxa"/>
              <w:left w:w="180" w:type="dxa"/>
              <w:bottom w:w="120" w:type="dxa"/>
              <w:right w:w="120" w:type="dxa"/>
            </w:tcMar>
          </w:tcPr>
          <w:p w14:paraId="74B8B3C4" w14:textId="77777777" w:rsidR="00B54E0E" w:rsidRDefault="00DB5D1D">
            <w:r>
              <w:rPr>
                <w:i/>
                <w:iCs/>
                <w:color w:val="1F2937"/>
              </w:rPr>
              <w:t>All advisory enquiries are treated with strict confidentiality. For distressed situations, discretion is our default and our commitment. We do not share client information with third parties without explicit consent.</w:t>
            </w:r>
          </w:p>
        </w:tc>
      </w:tr>
    </w:tbl>
    <w:p w14:paraId="74B8B3C6" w14:textId="77777777" w:rsidR="00B54E0E" w:rsidRDefault="00B54E0E">
      <w:pPr>
        <w:spacing w:before="120"/>
      </w:pPr>
    </w:p>
    <w:p w14:paraId="74B8B3C7" w14:textId="77777777" w:rsidR="00B54E0E" w:rsidRDefault="00DB5D1D">
      <w:pPr>
        <w:spacing w:after="120"/>
      </w:pPr>
      <w:r>
        <w:t>CTA: "Request an Advisory Consultation" (links to Contact page — Transformation Consultation form)</w:t>
      </w:r>
    </w:p>
    <w:p w14:paraId="74B8B3C8" w14:textId="77777777" w:rsidR="00B54E0E" w:rsidRDefault="00B54E0E">
      <w:pPr>
        <w:spacing w:before="40"/>
      </w:pPr>
    </w:p>
    <w:p w14:paraId="74B8B3C9" w14:textId="77777777" w:rsidR="00B54E0E" w:rsidRDefault="00DB5D1D">
      <w:r>
        <w:rPr>
          <w:i/>
          <w:iCs/>
          <w:color w:val="6B7280"/>
          <w:sz w:val="18"/>
          <w:szCs w:val="18"/>
        </w:rPr>
        <w:lastRenderedPageBreak/>
        <w:t>NAVIGATION NOTE: Rename nav item from "Business Transformation" → "Consultant &amp; Advisory". Contact page dropdown should update to: Distressed / Turnaround  |  Transaction Advisory  |  Corporate Finance Advisory  |  Growth &amp; Governance  |  Other.</w:t>
      </w:r>
    </w:p>
    <w:sectPr w:rsidR="00B54E0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93316" w14:textId="77777777" w:rsidR="00DB5D1D" w:rsidRDefault="00DB5D1D">
      <w:r>
        <w:separator/>
      </w:r>
    </w:p>
  </w:endnote>
  <w:endnote w:type="continuationSeparator" w:id="0">
    <w:p w14:paraId="321352DC" w14:textId="77777777" w:rsidR="00DB5D1D" w:rsidRDefault="00DB5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B3CB" w14:textId="29FA5134" w:rsidR="00B54E0E" w:rsidRDefault="00DB5D1D">
    <w:pPr>
      <w:pBdr>
        <w:top w:val="single" w:sz="4" w:space="4" w:color="16A085"/>
      </w:pBdr>
      <w:tabs>
        <w:tab w:val="right" w:pos="9360"/>
      </w:tabs>
      <w:spacing w:before="60"/>
    </w:pPr>
    <w:r>
      <w:rPr>
        <w:color w:val="4B5563"/>
        <w:sz w:val="16"/>
        <w:szCs w:val="16"/>
      </w:rPr>
      <w:t>Ratelrock Credit Fund  ·  Nairobi, Kenya</w:t>
    </w:r>
    <w:r>
      <w:rPr>
        <w:sz w:val="16"/>
        <w:szCs w:val="16"/>
      </w:rPr>
      <w:tab/>
    </w:r>
    <w:r>
      <w:rPr>
        <w:color w:val="4B5563"/>
        <w:sz w:val="16"/>
        <w:szCs w:val="16"/>
      </w:rPr>
      <w:t xml:space="preserve">Page </w:t>
    </w:r>
    <w:r>
      <w:rPr>
        <w:color w:val="4B5563"/>
        <w:sz w:val="16"/>
        <w:szCs w:val="16"/>
      </w:rPr>
      <w:fldChar w:fldCharType="begin"/>
    </w:r>
    <w:r>
      <w:rPr>
        <w:color w:val="4B5563"/>
        <w:sz w:val="16"/>
        <w:szCs w:val="16"/>
      </w:rPr>
      <w:instrText>PAGE</w:instrText>
    </w:r>
    <w:r>
      <w:rPr>
        <w:color w:val="4B5563"/>
        <w:sz w:val="16"/>
        <w:szCs w:val="16"/>
      </w:rPr>
      <w:fldChar w:fldCharType="separate"/>
    </w:r>
    <w:r w:rsidR="0017687F">
      <w:rPr>
        <w:noProof/>
        <w:color w:val="4B5563"/>
        <w:sz w:val="16"/>
        <w:szCs w:val="16"/>
      </w:rPr>
      <w:t>1</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37588" w14:textId="77777777" w:rsidR="00DB5D1D" w:rsidRDefault="00DB5D1D">
      <w:r>
        <w:separator/>
      </w:r>
    </w:p>
  </w:footnote>
  <w:footnote w:type="continuationSeparator" w:id="0">
    <w:p w14:paraId="39BAFCA9" w14:textId="77777777" w:rsidR="00DB5D1D" w:rsidRDefault="00DB5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B3CA" w14:textId="77777777" w:rsidR="00B54E0E" w:rsidRDefault="00DB5D1D">
    <w:pPr>
      <w:pBdr>
        <w:bottom w:val="single" w:sz="4" w:space="4" w:color="16A085"/>
      </w:pBdr>
      <w:spacing w:after="60"/>
    </w:pPr>
    <w:r>
      <w:rPr>
        <w:b/>
        <w:bCs/>
        <w:color w:val="003399"/>
        <w:sz w:val="18"/>
        <w:szCs w:val="18"/>
      </w:rPr>
      <w:t>RATELROCK</w:t>
    </w:r>
    <w:r>
      <w:rPr>
        <w:color w:val="4B5563"/>
        <w:sz w:val="18"/>
        <w:szCs w:val="18"/>
      </w:rPr>
      <w:t xml:space="preserve">   |   Consultant &amp; Advisory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06A76"/>
    <w:multiLevelType w:val="hybridMultilevel"/>
    <w:tmpl w:val="01CA21F4"/>
    <w:lvl w:ilvl="0" w:tplc="F49454E8">
      <w:start w:val="1"/>
      <w:numFmt w:val="bullet"/>
      <w:lvlText w:val="–"/>
      <w:lvlJc w:val="left"/>
      <w:pPr>
        <w:ind w:left="480" w:hanging="240"/>
      </w:pPr>
    </w:lvl>
    <w:lvl w:ilvl="1" w:tplc="D2FE021E">
      <w:numFmt w:val="decimal"/>
      <w:lvlText w:val=""/>
      <w:lvlJc w:val="left"/>
    </w:lvl>
    <w:lvl w:ilvl="2" w:tplc="70E8F1A8">
      <w:numFmt w:val="decimal"/>
      <w:lvlText w:val=""/>
      <w:lvlJc w:val="left"/>
    </w:lvl>
    <w:lvl w:ilvl="3" w:tplc="45CCF414">
      <w:numFmt w:val="decimal"/>
      <w:lvlText w:val=""/>
      <w:lvlJc w:val="left"/>
    </w:lvl>
    <w:lvl w:ilvl="4" w:tplc="40880518">
      <w:numFmt w:val="decimal"/>
      <w:lvlText w:val=""/>
      <w:lvlJc w:val="left"/>
    </w:lvl>
    <w:lvl w:ilvl="5" w:tplc="C1F0A37A">
      <w:numFmt w:val="decimal"/>
      <w:lvlText w:val=""/>
      <w:lvlJc w:val="left"/>
    </w:lvl>
    <w:lvl w:ilvl="6" w:tplc="19EA9412">
      <w:numFmt w:val="decimal"/>
      <w:lvlText w:val=""/>
      <w:lvlJc w:val="left"/>
    </w:lvl>
    <w:lvl w:ilvl="7" w:tplc="16369CEC">
      <w:numFmt w:val="decimal"/>
      <w:lvlText w:val=""/>
      <w:lvlJc w:val="left"/>
    </w:lvl>
    <w:lvl w:ilvl="8" w:tplc="7292E8CA">
      <w:numFmt w:val="decimal"/>
      <w:lvlText w:val=""/>
      <w:lvlJc w:val="left"/>
    </w:lvl>
  </w:abstractNum>
  <w:abstractNum w:abstractNumId="1" w15:restartNumberingAfterBreak="0">
    <w:nsid w:val="6CC22551"/>
    <w:multiLevelType w:val="hybridMultilevel"/>
    <w:tmpl w:val="A25A00D6"/>
    <w:lvl w:ilvl="0" w:tplc="885A4728">
      <w:start w:val="1"/>
      <w:numFmt w:val="bullet"/>
      <w:lvlText w:val="●"/>
      <w:lvlJc w:val="left"/>
      <w:pPr>
        <w:ind w:left="720" w:hanging="360"/>
      </w:pPr>
    </w:lvl>
    <w:lvl w:ilvl="1" w:tplc="3EAA5590">
      <w:start w:val="1"/>
      <w:numFmt w:val="bullet"/>
      <w:lvlText w:val="○"/>
      <w:lvlJc w:val="left"/>
      <w:pPr>
        <w:ind w:left="1440" w:hanging="360"/>
      </w:pPr>
    </w:lvl>
    <w:lvl w:ilvl="2" w:tplc="F3DCDFF8">
      <w:start w:val="1"/>
      <w:numFmt w:val="bullet"/>
      <w:lvlText w:val="■"/>
      <w:lvlJc w:val="left"/>
      <w:pPr>
        <w:ind w:left="2160" w:hanging="360"/>
      </w:pPr>
    </w:lvl>
    <w:lvl w:ilvl="3" w:tplc="BD84280C">
      <w:start w:val="1"/>
      <w:numFmt w:val="bullet"/>
      <w:lvlText w:val="●"/>
      <w:lvlJc w:val="left"/>
      <w:pPr>
        <w:ind w:left="2880" w:hanging="360"/>
      </w:pPr>
    </w:lvl>
    <w:lvl w:ilvl="4" w:tplc="9C10BF72">
      <w:start w:val="1"/>
      <w:numFmt w:val="bullet"/>
      <w:lvlText w:val="○"/>
      <w:lvlJc w:val="left"/>
      <w:pPr>
        <w:ind w:left="3600" w:hanging="360"/>
      </w:pPr>
    </w:lvl>
    <w:lvl w:ilvl="5" w:tplc="05504BA8">
      <w:start w:val="1"/>
      <w:numFmt w:val="bullet"/>
      <w:lvlText w:val="■"/>
      <w:lvlJc w:val="left"/>
      <w:pPr>
        <w:ind w:left="4320" w:hanging="360"/>
      </w:pPr>
    </w:lvl>
    <w:lvl w:ilvl="6" w:tplc="E1285A1C">
      <w:start w:val="1"/>
      <w:numFmt w:val="bullet"/>
      <w:lvlText w:val="●"/>
      <w:lvlJc w:val="left"/>
      <w:pPr>
        <w:ind w:left="5040" w:hanging="360"/>
      </w:pPr>
    </w:lvl>
    <w:lvl w:ilvl="7" w:tplc="70700078">
      <w:start w:val="1"/>
      <w:numFmt w:val="bullet"/>
      <w:lvlText w:val="●"/>
      <w:lvlJc w:val="left"/>
      <w:pPr>
        <w:ind w:left="5760" w:hanging="360"/>
      </w:pPr>
    </w:lvl>
    <w:lvl w:ilvl="8" w:tplc="6D00FED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E0E"/>
    <w:rsid w:val="0017687F"/>
    <w:rsid w:val="00B54E0E"/>
    <w:rsid w:val="00C10F75"/>
    <w:rsid w:val="00DB5D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8B34D"/>
  <w15:docId w15:val="{71194F09-9C05-421E-B2C2-07D34D77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74151"/>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1094</Words>
  <Characters>6236</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Khasenye</cp:lastModifiedBy>
  <cp:revision>3</cp:revision>
  <dcterms:created xsi:type="dcterms:W3CDTF">2026-06-08T11:49:00Z</dcterms:created>
  <dcterms:modified xsi:type="dcterms:W3CDTF">2026-06-08T14:34:00Z</dcterms:modified>
</cp:coreProperties>
</file>