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  <Relationship Id="rId3" Type="http://schemas.openxmlformats.org/officeDocument/2006/relationships/extended-properties" Target="docProps/app.xml"/>
</Relationships>

</file>

<file path=word/document.xml><?xml version="1.0" encoding="utf-8"?>
<w:document xmlns:w="http://schemas.openxmlformats.org/wordprocessingml/2006/main">
  <w:body>
    <w:p>
      <w:pPr>
        <w:pStyle w:val="Title"/>
      </w:pPr>
      <w:r>
        <w:t xml:space="preserve">Boardy.ai — Bounty Progress Log</w:t>
      </w:r>
    </w:p>
    <w:p>
      <w:pPr>
        <w:pStyle w:val="Subtitle"/>
      </w:pPr>
      <w:r>
        <w:t xml:space="preserve">Kuzana MiniHack 2025 — Payments on Avalanche — Built for Business Challenge</w:t>
      </w:r>
    </w:p>
    <w:p>
      <w:pPr>
        <w:pStyle w:val="Subtitle"/>
      </w:pPr>
      <w:r>
        <w:t xml:space="preserve">Builder: Okumu Joseph  |  Project: Boardy.ai  |  Week of: 2026-07-15</w:t>
      </w:r>
    </w:p>
    <w:p>
      <w:pPr>
        <w:pStyle w:val="Heading1"/>
      </w:pPr>
      <w:r>
        <w:t xml:space="preserve">1. Where we are right now in our build</w:t>
      </w:r>
    </w:p>
    <w:p>
      <w:r>
        <w:t xml:space="preserve">The full end-to-end matchmaking loop is live and working on our local Docker stack, not just designed on paper:</w:t>
      </w:r>
    </w:p>
    <w:p>
      <w:pPr>
        <w:pStyle w:val="ListParagraph"/>
        <w:numPr>
          <w:ilvl w:val="0"/>
          <w:numId w:val="1"/>
        </w:numPr>
      </w:pPr>
      <w:r>
        <w:t xml:space="preserve">Voice-AI onboarding: users complete a live, in-browser voice interview (Vapi Web SDK). The transcript is sent to Google Gemini, which extracts a clean “Offer” and “Need” for each user and generates 1536-dimensional embeddings.</w:t>
      </w:r>
    </w:p>
    <w:p>
      <w:pPr>
        <w:pStyle w:val="ListParagraph"/>
        <w:numPr>
          <w:ilvl w:val="0"/>
          <w:numId w:val="1"/>
        </w:numPr>
      </w:pPr>
      <w:r>
        <w:t xml:space="preserve">Matching engine: PostgreSQL + pgvector runs bidirectional cosine-similarity matching (a user's Need against candidates' Offers and vice versa), and Gemini then re-validates the top candidates as a judgment layer, producing a 0-100 fit score, plain-language reasoning, and transparent strengths/gaps for both sides.</w:t>
      </w:r>
    </w:p>
    <w:p>
      <w:pPr>
        <w:pStyle w:val="ListParagraph"/>
        <w:numPr>
          <w:ilvl w:val="0"/>
          <w:numId w:val="1"/>
        </w:numPr>
      </w:pPr>
      <w:r>
        <w:t xml:space="preserve">Mutual consent: both matched users see the full AI breakdown on a dedicated Match Review screen and must independently accept or decline. A decline requires a short reason, which we capture to improve future rematching.</w:t>
      </w:r>
    </w:p>
    <w:p>
      <w:pPr>
        <w:pStyle w:val="ListParagraph"/>
        <w:numPr>
          <w:ilvl w:val="0"/>
          <w:numId w:val="1"/>
        </w:numPr>
      </w:pPr>
      <w:r>
        <w:t xml:space="preserve">Real on-chain Trust-Gate: once both sides accept, our backend registers the match on our own deployed smart contract (VokaziMatchStaking.sol, Avalanche Fuji testnet) and each user stakes a small amount of real AVAX from their own wallet (via Thirdweb). Our backend independently re-reads the contract on-chain before ever unlocking anything — it never just trusts the frontend's word that a transaction succeeded.</w:t>
      </w:r>
    </w:p>
    <w:p>
      <w:pPr>
        <w:pStyle w:val="ListParagraph"/>
        <w:numPr>
          <w:ilvl w:val="0"/>
          <w:numId w:val="1"/>
        </w:numPr>
      </w:pPr>
      <w:r>
        <w:t xml:space="preserve">Real-time chat: once both stakes are verified on-chain, a live chat room unlocks between the two matched users, built on Phoenix Channels with presence tracking, message pagination, and proper authorization — designed to hold up as our user base grows, not just a demo wire-up.</w:t>
      </w:r>
    </w:p>
    <w:p>
      <w:pPr>
        <w:pStyle w:val="ListParagraph"/>
        <w:numPr>
          <w:ilvl w:val="0"/>
          <w:numId w:val="1"/>
        </w:numPr>
      </w:pPr>
      <w:r>
        <w:t xml:space="preserve">We also completed a full UI/UX and mobile-responsiveness pass this month, and shipped an engaging “processing” screen so users aren't left staring at a blank screen while the AI pipeline runs.</w:t>
      </w:r>
    </w:p>
    <w:p>
      <w:pPr>
        <w:pStyle w:val="ListParagraph"/>
        <w:numPr>
          <w:ilvl w:val="0"/>
          <w:numId w:val="1"/>
        </w:numPr>
      </w:pPr>
      <w:r>
        <w:t xml:space="preserve">Per today's session guidance, we have paused/de-scoped the monetization (Enterprise bounty) layer for now and are focused fully on hardening this core matching + Trust-Gate loop.</w:t>
      </w:r>
    </w:p>
    <w:p>
      <w:pPr>
        <w:pStyle w:val="Heading1"/>
      </w:pPr>
      <w:r>
        <w:t xml:space="preserve">2. What our current blocker is</w:t>
      </w:r>
    </w:p>
    <w:p>
      <w:r>
        <w:t xml:space="preserve">Our blocker right now is infrastructure and API credits, not product logic — the pipeline above genuinely works end-to-end locally, but we cannot yet reliably demo it to judges on the public internet:</w:t>
      </w:r>
    </w:p>
    <w:p>
      <w:pPr>
        <w:pStyle w:val="ListParagraph"/>
        <w:numPr>
          <w:ilvl w:val="0"/>
          <w:numId w:val="1"/>
        </w:numPr>
      </w:pPr>
      <w:r>
        <w:t xml:space="preserve">Hosting: we attempted to deploy to a production-style stack (Vercel for the frontend, Render for the backend, Neon for Postgres). On free tiers, cold starts and response latency were slow enough to break the live voice-call experience — a laggy backend during an active Vapi call is a bad demo, not just a bad user experience.</w:t>
      </w:r>
    </w:p>
    <w:p>
      <w:pPr>
        <w:pStyle w:val="ListParagraph"/>
        <w:numPr>
          <w:ilvl w:val="0"/>
          <w:numId w:val="1"/>
        </w:numPr>
      </w:pPr>
      <w:r>
        <w:t xml:space="preserve">API credits: our Vapi voice-minutes and Google Gemini API usage are both on free-tier limits (Gemini in particular caps out at a small number of requests per day on the models we use), which restricts how much we can test and demo live without hitting quota errors mid-session.</w:t>
      </w:r>
    </w:p>
    <w:p>
      <w:pPr>
        <w:pStyle w:val="ListParagraph"/>
        <w:numPr>
          <w:ilvl w:val="0"/>
          <w:numId w:val="1"/>
        </w:numPr>
      </w:pPr>
      <w:r>
        <w:t xml:space="preserve">Net effect: the project is functionally ahead of where we can currently show it publicly — our next real risk is a credible, always-on demo environment for judges, not further feature-building.</w:t>
      </w:r>
    </w:p>
    <w:p>
      <w:pPr>
        <w:pStyle w:val="Heading1"/>
      </w:pPr>
      <w:r>
        <w:t xml:space="preserve">3. Where we hope to be by next Wednesday</w:t>
      </w:r>
    </w:p>
    <w:p>
      <w:pPr>
        <w:pStyle w:val="ListParagraph"/>
        <w:numPr>
          <w:ilvl w:val="0"/>
          <w:numId w:val="1"/>
        </w:numPr>
      </w:pPr>
      <w:r>
        <w:t xml:space="preserve">A stable, always-on hosting setup (paid tier or sponsor-provided credits) so the full flow — voice interview → AI match → on-chain stake → chat unlock — works reliably for anyone, not just on our local machines.</w:t>
      </w:r>
    </w:p>
    <w:p>
      <w:pPr>
        <w:pStyle w:val="ListParagraph"/>
        <w:numPr>
          <w:ilvl w:val="0"/>
          <w:numId w:val="1"/>
        </w:numPr>
      </w:pPr>
      <w:r>
        <w:t xml:space="preserve">The Milestone Escrow contract (VokaziMilestoneEscrow.sol, already deployed on Fuji) wired into the actual app flow as the next Trust-Gate feature, following the same real on-chain verification pattern we just shipped for match staking.</w:t>
      </w:r>
    </w:p>
    <w:p>
      <w:pPr>
        <w:pStyle w:val="ListParagraph"/>
        <w:numPr>
          <w:ilvl w:val="0"/>
          <w:numId w:val="1"/>
        </w:numPr>
      </w:pPr>
      <w:r>
        <w:t xml:space="preserve">Our documentation (README, architecture, pitch materials) fully reconciled with the current build — in progress, some already corrected this week.</w:t>
      </w:r>
    </w:p>
    <w:p>
      <w:pPr>
        <w:pStyle w:val="Heading1"/>
      </w:pPr>
      <w:r>
        <w:t xml:space="preserve">4. Resources or support we need from the Kuzana team</w:t>
      </w:r>
    </w:p>
    <w:p>
      <w:pPr>
        <w:pStyle w:val="ListParagraph"/>
        <w:numPr>
          <w:ilvl w:val="0"/>
          <w:numId w:val="1"/>
        </w:numPr>
      </w:pPr>
      <w:r>
        <w:t xml:space="preserve">Increased or sponsor-provided API credits/rate limits for Vapi (voice minutes) and Google Gemini, so we can run live demos and let judges test the product without hitting free-tier caps mid-session.</w:t>
      </w:r>
    </w:p>
    <w:p>
      <w:pPr>
        <w:pStyle w:val="ListParagraph"/>
        <w:numPr>
          <w:ilvl w:val="0"/>
          <w:numId w:val="1"/>
        </w:numPr>
      </w:pPr>
      <w:r>
        <w:t xml:space="preserve">Guidance, credits, or an introduction to a sponsor offering reliable hosting (our free-tier attempts on Vercel/Render/Neon were too slow for a live voice-AI product) — we just need something always-on and responsive enough for a real-time demo.</w:t>
      </w:r>
    </w:p>
    <w:p>
      <w:pPr>
        <w:pStyle w:val="ListParagraph"/>
        <w:numPr>
          <w:ilvl w:val="0"/>
          <w:numId w:val="1"/>
        </w:numPr>
      </w:pPr>
      <w:r>
        <w:t xml:space="preserve">Any additional Avalanche Fuji testnet AVAX (faucet access) if judges will be staking live during evaluation, so we don't run short mid-demo.</w:t>
      </w:r>
    </w:p>
    <w:sectPr>
      <w:pgSz w:w="12240" w:h="15840"/>
      <w:pgMar w:top="1440" w:right="1440" w:bottom="1440" w:left="1440" w:header="720" w:footer="720" w:gutter="0"/>
    </w:sectPr>
  </w:body>
</w:document>
</file>

<file path=word/numbering.xml><?xml version="1.0" encoding="utf-8"?>
<w:numbering xmlns:w="http://schemas.openxmlformats.org/wordprocessingml/2006/main">
  <w:abstractNum w:abstractNumId="0">
    <w:lvl w:ilvl="0">
      <w:start w:val="1"/>
      <w:numFmt w:val="bullet"/>
      <w:lvlText w:val="•"/>
      <w:lvlJc w:val="left"/>
      <w:pPr>
        <w:ind w:left="432" w:hanging="288"/>
      </w:pPr>
      <w:rPr>
        <w:rFonts w:ascii="Symbol" w:hAnsi="Symbol" w:hint="default"/>
      </w:rPr>
    </w:lvl>
  </w:abstractNum>
  <w:num w:numId="1">
    <w:abstractNumId w:val="0"/>
  </w:num>
</w:numbering>
</file>

<file path=word/styles.xml><?xml version="1.0" encoding="utf-8"?>
<w:styles xmlns:w="http://schemas.openxmlformats.org/wordprocessingml/2006/main">
  <w:docDefaults>
    <w:rPrDefault>
      <w:rPr>
        <w:rFonts w:ascii="Calibri" w:hAnsi="Calibri"/>
        <w:sz w:val="22"/>
      </w:rPr>
    </w:rPrDefault>
  </w:docDefaults>
  <w:style w:type="paragraph" w:styleId="Title" w:default="0">
    <w:name w:val="Title"/>
    <w:pPr>
      <w:spacing w:after="240"/>
    </w:pPr>
    <w:rPr>
      <w:rFonts w:ascii="Calibri" w:hAnsi="Calibri"/>
      <w:b/>
      <w:sz w:val="40"/>
      <w:color w:val="1F1B16"/>
    </w:rPr>
  </w:style>
  <w:style w:type="paragraph" w:styleId="Subtitle" w:default="0">
    <w:name w:val="Subtitle"/>
    <w:pPr>
      <w:spacing w:after="360"/>
    </w:pPr>
    <w:rPr>
      <w:rFonts w:ascii="Calibri" w:hAnsi="Calibri"/>
      <w:i/>
      <w:sz w:val="22"/>
      <w:color w:val="5A5147"/>
    </w:rPr>
  </w:style>
  <w:style w:type="paragraph" w:styleId="Heading1" w:default="0">
    <w:name w:val="heading 1"/>
    <w:pPr>
      <w:spacing w:before="360" w:after="160"/>
      <w:keepNext/>
    </w:pPr>
    <w:rPr>
      <w:rFonts w:ascii="Calibri" w:hAnsi="Calibri"/>
      <w:b/>
      <w:sz w:val="28"/>
      <w:color w:val="8A5A2B"/>
    </w:rPr>
  </w:style>
  <w:style w:type="paragraph" w:styleId="Normal" w:default="1">
    <w:name w:val="Normal"/>
    <w:pPr>
      <w:spacing w:after="160" w:line="276" w:lineRule="auto"/>
    </w:pPr>
  </w:style>
  <w:style w:type="paragraph" w:styleId="ListParagraph">
    <w:name w:val="List Paragraph"/>
    <w:pPr>
      <w:spacing w:after="120"/>
      <w:ind w:left="432" w:hanging="288"/>
    </w:pPr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  <Relationship Id="rId2" Type="http://schemas.openxmlformats.org/officeDocument/2006/relationships/numbering" Target="numbering.xml"/>
</Relationships>

</file>

<file path=docProps/app.xml><?xml version="1.0" encoding="utf-8"?>
<Properties xmlns="http://schemas.openxmlformats.org/officeDocument/2006/extended-properties">
  <Application>Boardy.ai Progress Log Generator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Boardy.ai — Bounty Progress Log</dc:title>
  <dc:creator>Okumu Joseph</dc:creator>
  <dc:subject>Kuzana MiniHack Bounty Progress Log</dc:subject>
</cp:coreProperties>
</file>