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7DA1" w14:textId="77777777" w:rsidR="003C12F4" w:rsidRPr="003C12F4" w:rsidRDefault="003C12F4" w:rsidP="003C12F4">
      <w:pPr>
        <w:keepNext/>
        <w:keepLines/>
        <w:spacing w:before="240" w:beforeAutospacing="0" w:after="0" w:afterAutospacing="0" w:line="240" w:lineRule="auto"/>
        <w:outlineLvl w:val="0"/>
        <w:rPr>
          <w:rFonts w:ascii="Helvetica" w:eastAsia="MS Gothic" w:hAnsi="Helvetica" w:cs="Helvetica"/>
          <w:b/>
          <w:sz w:val="24"/>
          <w:szCs w:val="24"/>
          <w:lang w:val="en-GB"/>
        </w:rPr>
      </w:pPr>
      <w:r w:rsidRPr="003C12F4">
        <w:rPr>
          <w:rFonts w:ascii="Helvetica" w:eastAsia="MS Gothic" w:hAnsi="Helvetica" w:cs="Helvetica"/>
          <w:b/>
          <w:sz w:val="24"/>
          <w:szCs w:val="24"/>
          <w:lang w:val="en-GB"/>
        </w:rPr>
        <w:t>Original Manuscript</w:t>
      </w:r>
    </w:p>
    <w:p w14:paraId="5149341F" w14:textId="77777777" w:rsidR="003C12F4" w:rsidRPr="003C12F4" w:rsidRDefault="003C12F4" w:rsidP="003C12F4">
      <w:pPr>
        <w:spacing w:before="0" w:beforeAutospacing="0" w:after="0" w:afterAutospacing="0" w:line="240" w:lineRule="auto"/>
        <w:contextualSpacing/>
        <w:rPr>
          <w:rFonts w:ascii="Helvetica" w:eastAsia="MS Gothic" w:hAnsi="Helvetica" w:cs="Helvetica"/>
          <w:spacing w:val="-10"/>
          <w:kern w:val="28"/>
          <w:sz w:val="56"/>
          <w:szCs w:val="56"/>
          <w:lang w:val="en-GB"/>
        </w:rPr>
      </w:pPr>
      <w:r w:rsidRPr="003C12F4">
        <w:rPr>
          <w:rFonts w:ascii="Helvetica" w:eastAsia="MS Gothic" w:hAnsi="Helvetica" w:cs="Helvetica"/>
          <w:spacing w:val="-10"/>
          <w:kern w:val="28"/>
          <w:sz w:val="56"/>
          <w:szCs w:val="56"/>
          <w:lang w:val="en-GB"/>
        </w:rPr>
        <w:t>Trends of Socioeconomic Disparities in the Kenyan Child Malnutrition Statistics: An Analysis of the Demographic and Health Survey</w:t>
      </w:r>
    </w:p>
    <w:p w14:paraId="006170AB" w14:textId="77777777" w:rsidR="003C12F4" w:rsidRPr="003C12F4" w:rsidRDefault="003C12F4" w:rsidP="003C12F4">
      <w:pPr>
        <w:spacing w:before="0" w:beforeAutospacing="0" w:after="0" w:afterAutospacing="0" w:line="480" w:lineRule="auto"/>
        <w:rPr>
          <w:rFonts w:ascii="Helvetica" w:eastAsia="MS Mincho" w:hAnsi="Helvetica" w:cs="Helvetica"/>
          <w:bCs/>
          <w:sz w:val="24"/>
          <w:szCs w:val="24"/>
          <w:vertAlign w:val="superscript"/>
          <w:lang w:val="en-GB"/>
        </w:rPr>
      </w:pPr>
      <w:r w:rsidRPr="003C12F4">
        <w:rPr>
          <w:rFonts w:ascii="Helvetica" w:eastAsia="MS Mincho" w:hAnsi="Helvetica" w:cs="Helvetica"/>
          <w:bCs/>
          <w:sz w:val="24"/>
          <w:szCs w:val="24"/>
          <w:lang w:val="en-GB"/>
        </w:rPr>
        <w:t>Amos Ochieng Okutse</w:t>
      </w:r>
      <w:r w:rsidRPr="003C12F4">
        <w:rPr>
          <w:rFonts w:ascii="Helvetica" w:eastAsia="MS Mincho" w:hAnsi="Helvetica" w:cs="Helvetica"/>
          <w:bCs/>
          <w:sz w:val="24"/>
          <w:szCs w:val="24"/>
          <w:vertAlign w:val="superscript"/>
          <w:lang w:val="en-GB"/>
        </w:rPr>
        <w:t>1*</w:t>
      </w:r>
      <w:r w:rsidRPr="003C12F4">
        <w:rPr>
          <w:rFonts w:ascii="Helvetica" w:eastAsia="MS Mincho" w:hAnsi="Helvetica" w:cs="Helvetica"/>
          <w:bCs/>
          <w:sz w:val="24"/>
          <w:szCs w:val="24"/>
          <w:lang w:val="en-GB"/>
        </w:rPr>
        <w:t>, Henry Kissinger Athiany</w:t>
      </w:r>
      <w:r w:rsidRPr="003C12F4">
        <w:rPr>
          <w:rFonts w:ascii="Helvetica" w:eastAsia="MS Mincho" w:hAnsi="Helvetica" w:cs="Helvetica"/>
          <w:bCs/>
          <w:sz w:val="24"/>
          <w:szCs w:val="24"/>
          <w:vertAlign w:val="superscript"/>
          <w:lang w:val="en-GB"/>
        </w:rPr>
        <w:t>2</w:t>
      </w:r>
    </w:p>
    <w:p w14:paraId="352BF6B6" w14:textId="1BB2A4CC"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1, 2 School of Mathematics and Physical Science</w:t>
      </w:r>
      <w:r w:rsidR="005406E4">
        <w:rPr>
          <w:rFonts w:ascii="Helvetica" w:eastAsia="MS Mincho" w:hAnsi="Helvetica" w:cs="Helvetica"/>
          <w:sz w:val="24"/>
          <w:szCs w:val="24"/>
          <w:lang w:val="en-GB"/>
        </w:rPr>
        <w:t>s</w:t>
      </w:r>
      <w:r w:rsidRPr="003C12F4">
        <w:rPr>
          <w:rFonts w:ascii="Helvetica" w:eastAsia="MS Mincho" w:hAnsi="Helvetica" w:cs="Helvetica"/>
          <w:sz w:val="24"/>
          <w:szCs w:val="24"/>
          <w:lang w:val="en-GB"/>
        </w:rPr>
        <w:t>, Jomo Kenyatta University of Agriculture &amp; Technology, Nairobi, Kenya</w:t>
      </w:r>
    </w:p>
    <w:p w14:paraId="72A46C7F"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*amos.ochieng@students.jkuat.ac.ke</w:t>
      </w:r>
      <w:r w:rsidRPr="003C12F4">
        <w:rPr>
          <w:rFonts w:ascii="Helvetica" w:eastAsia="MS Mincho" w:hAnsi="Helvetica" w:cs="Helvetica"/>
          <w:sz w:val="24"/>
          <w:szCs w:val="24"/>
          <w:lang w:val="en-GB"/>
        </w:rPr>
        <w:br w:type="page"/>
      </w:r>
    </w:p>
    <w:p w14:paraId="28E33E3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Abstract</w:t>
      </w:r>
    </w:p>
    <w:p w14:paraId="30D5D9F5"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Introduction</w:t>
      </w:r>
      <w:r w:rsidRPr="003C12F4">
        <w:rPr>
          <w:rFonts w:ascii="Helvetica" w:eastAsia="MS Mincho" w:hAnsi="Helvetica" w:cs="Helvetica"/>
          <w:sz w:val="24"/>
          <w:szCs w:val="24"/>
          <w:lang w:val="en-GB"/>
        </w:rPr>
        <w:t>: The burden of child malnutrition remains substantially high in Kenya despite commendable efforts in reducing its prevalence. Even though the country has recorded substantial economic advancements, there appears to be a disconnect between the rate of economic growth and health-related socioeconomic disparities.</w:t>
      </w:r>
    </w:p>
    <w:p w14:paraId="17176506"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Objective</w:t>
      </w:r>
      <w:r w:rsidRPr="003C12F4">
        <w:rPr>
          <w:rFonts w:ascii="Helvetica" w:eastAsia="MS Mincho" w:hAnsi="Helvetica" w:cs="Helvetica"/>
          <w:sz w:val="24"/>
          <w:szCs w:val="24"/>
          <w:lang w:val="en-GB"/>
        </w:rPr>
        <w:t>: This investigation sought to examine the trends of socioeconomic disparities in child malnutrition, determining factors, and the change in the inequalities of malnutrition in children under five years in Kenya between 2003 and 2014.</w:t>
      </w:r>
    </w:p>
    <w:p w14:paraId="778B428F"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Methods</w:t>
      </w:r>
      <w:r w:rsidRPr="003C12F4">
        <w:rPr>
          <w:rFonts w:ascii="Helvetica" w:eastAsia="MS Mincho" w:hAnsi="Helvetica" w:cs="Helvetica"/>
          <w:sz w:val="24"/>
          <w:szCs w:val="24"/>
          <w:lang w:val="en-GB"/>
        </w:rPr>
        <w:t xml:space="preserve">: This study employed data from the Kenya Demographic and Health Survey (KDHS). Malnutrition determinants were </w:t>
      </w:r>
      <w:proofErr w:type="spellStart"/>
      <w:r w:rsidRPr="003C12F4">
        <w:rPr>
          <w:rFonts w:ascii="Helvetica" w:eastAsia="MS Mincho" w:hAnsi="Helvetica" w:cs="Helvetica"/>
          <w:sz w:val="24"/>
          <w:szCs w:val="24"/>
          <w:lang w:val="en-GB"/>
        </w:rPr>
        <w:t>analyzed</w:t>
      </w:r>
      <w:proofErr w:type="spellEnd"/>
      <w:r w:rsidRPr="003C12F4">
        <w:rPr>
          <w:rFonts w:ascii="Helvetica" w:eastAsia="MS Mincho" w:hAnsi="Helvetica" w:cs="Helvetica"/>
          <w:sz w:val="24"/>
          <w:szCs w:val="24"/>
          <w:lang w:val="en-GB"/>
        </w:rPr>
        <w:t xml:space="preserve"> using multivariable logistic regression with malnutrition indicators, stunting, underweight, and wasting used as the outcome variables. Concentration indices were used to quantify the socioeconomic inequalities in child malnutrition. Decomposition methods were used to explore the contributions of each determinant to the observed overall socioeconomic disparities in underweight and stunting. </w:t>
      </w:r>
    </w:p>
    <w:p w14:paraId="34856EAC"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Results</w:t>
      </w:r>
      <w:r w:rsidRPr="003C12F4">
        <w:rPr>
          <w:rFonts w:ascii="Helvetica" w:eastAsia="MS Mincho" w:hAnsi="Helvetica" w:cs="Helvetica"/>
          <w:sz w:val="24"/>
          <w:szCs w:val="24"/>
          <w:lang w:val="en-GB"/>
        </w:rPr>
        <w:t xml:space="preserve">: Socioeconomic inequalities in all child malnutrition indicators in Kenya worsened between 2003 and 2014. A child’s age (Adjusted Odds Ratio, AOR=1.12; 95%CI 1.11–1.13), irreligion (AOR=1.33; 1.04–1.70), primary maternal education (AOR=1.43; 1.04–1.96), birth order (AOR=1.02; 1.01–1.04), and household poverty (AOR=1.82; 1.49–2.20) were substantial determinants of stunting whereas other religions (AOR=18.68; 4.00–87.32), a child’s age (AOR=1.07; 1.05–1.08), limited maternal education (AOR=2.68; </w:t>
      </w:r>
      <w:r w:rsidRPr="003C12F4">
        <w:rPr>
          <w:rFonts w:ascii="Helvetica" w:eastAsia="MS Mincho" w:hAnsi="Helvetica" w:cs="Helvetica"/>
          <w:sz w:val="24"/>
          <w:szCs w:val="24"/>
          <w:lang w:val="en-GB"/>
        </w:rPr>
        <w:lastRenderedPageBreak/>
        <w:t xml:space="preserve">1.63–4.41), birth order (AOR=1.03; 1.01–1.05), mother’s age at first birth (AOR=1.02; 1.01–1.04), region (AOR=1.65; 1.19–2.29) and poverty (AOR=1.74; 1.33–2.27) were associated with increased risk of child underweight. Other religions (AOR=15.79; 3.44–72.53), no maternal education (AOR=5.72; 2.47–13.26) and a child being from the Rift Valley region (AOR=2.58; 1.50–4.43) were significant determiners of wasting. A household’s socioeconomic status was the largest significant contributor towards socioeconomic disparities in stunting and underweight. The contribution of a household’s socioeconomic status rose from 2.17% in 2003 to 5.07% in 2014 for stunting and from 2.59% in 2003 to 9.33% in 2014 for underweight. </w:t>
      </w:r>
    </w:p>
    <w:p w14:paraId="7DF386BC"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Conclusion</w:t>
      </w:r>
      <w:r w:rsidRPr="003C12F4">
        <w:rPr>
          <w:rFonts w:ascii="Helvetica" w:eastAsia="MS Mincho" w:hAnsi="Helvetica" w:cs="Helvetica"/>
          <w:sz w:val="24"/>
          <w:szCs w:val="24"/>
          <w:lang w:val="en-GB"/>
        </w:rPr>
        <w:t>: The nutrition status of children from poor households has substantially worsened with most of this inequality attributable to poor socioeconomic status. To tackle these inequalities the Kenyan government may be required to employ a multi-layered approach with attention to reducing the disparities in wealth distribution.</w:t>
      </w:r>
      <w:r w:rsidRPr="003C12F4">
        <w:rPr>
          <w:rFonts w:ascii="Helvetica" w:eastAsia="MS Mincho" w:hAnsi="Helvetica" w:cs="Helvetica"/>
          <w:b/>
          <w:sz w:val="24"/>
          <w:szCs w:val="24"/>
          <w:lang w:val="en-GB"/>
        </w:rPr>
        <w:br w:type="page"/>
      </w:r>
    </w:p>
    <w:p w14:paraId="0284DABA"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Introduction</w:t>
      </w:r>
    </w:p>
    <w:p w14:paraId="3DC7D1EF" w14:textId="08FD115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Child Malnutrition remains a dominant challenge in the public health sector globally, with at least one in four kindergarten-age children remaining stunted, which translates to about 150.8 million children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{"citationItems":[{"id":"ITEM-1","itemData":{"DOI":"10.1017/S1368980011001315","ISSN":"13689800","PMID":"21752311","abstract":"Objective To quantify the prevalence and trends of stunting among children using the WHO growth standards. Design Five hundred and seventy-six nationally representative surveys, including anthropometric data, were analysed. Stunting was defined as the proportion of children below -2sd from the WHO length- or height-for-age standards median. Linear mixed-effects modelling was used to estimate rates and numbers of affected children from 1990 to 2010, and projections to 2020.Setting One hundred and forty-eight developed and developing countries. Subjects Boys and girls from birth to 60 months. Results In 2010, it is estimated that 171 million children (167 million in developing countries) were stunted. Globally, childhood stunting decreased from 39.7 (95 % CI 38.1, 41.4) % in 1990 to 26.7 (95 % CI 24.8, 28.7) % in 2010. This trend is expected to reach 21.8 (95 % CI 19.8, 23.8) %, or 142 million, in 2020. While in Africa stunting has stagnated since 1990 at about 40 % and little improvement is anticipated, Asia showed a dramatic decrease from 49 % in 1990 to 28 % in 2010, nearly halving the number of stunted children from 190 million to 100 million. It is anticipated that this trend will continue and that in 2020 Asia and Africa will have similar numbers of stunted children (68 million and 64 million, respectively). Rates are much lower (14 % or 7 million in 2010) in Latin America. Conclusions Despite an overall decrease in developing countries, stunting remains a major public health problem in many of them. The data summarize progress achieved in the last two decades and help identify regions needing effective interventions. © The Authors 2011.","author":[{"dropping-particle":"","family":"Onis","given":"Mercedes","non-dropping-particle":"De","parse-names":false,"suffix":""},{"dropping-particle":"","family":"Blössner","given":"Monika","non-dropping-particle":"","parse-names":false,"suffix":""},{"dropping-particle":"","family":"Borghi","given":"Elaine","non-dropping-particle":"","parse-names":false,"suffix":""}],"container-title":"Public Health Nutrition","id":"ITEM-1","issue":"1","issued":{"date-parts":[["2012"]]},"page":"142-148","title":"Prevalence and trends of stunting among pre-school children, 1990-2020","type":"article-journal","volume":"15"},"uris":["http://www.mendeley.com/documents/?uuid=0f26612a-9093-45a8-82cf-3b82bc6f80db"]}],"mendeley":{"formattedCitation":"[1]","plainTextFormattedCitation":"[1]","previouslyFormattedCitation":"[1]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On the other hand, other dominant forms of malnutrition, including wasting and overweight, account for 50.5 and 38.3 million cases, respectively, based on the 2018 Global Nutritio</w:t>
      </w:r>
      <w:r w:rsidR="00727C69">
        <w:rPr>
          <w:rFonts w:ascii="Helvetica" w:eastAsia="MS Mincho" w:hAnsi="Helvetica" w:cs="Helvetica"/>
          <w:sz w:val="24"/>
          <w:szCs w:val="24"/>
          <w:lang w:val="en-GB"/>
        </w:rPr>
        <w:t>n</w:t>
      </w:r>
      <w:r w:rsidR="00586AFA">
        <w:rPr>
          <w:rFonts w:ascii="Helvetica" w:eastAsia="MS Mincho" w:hAnsi="Helvetica" w:cs="Helvetica"/>
          <w:sz w:val="24"/>
          <w:szCs w:val="24"/>
          <w:lang w:val="en-GB"/>
        </w:rPr>
        <w:t xml:space="preserve"> [2]</w:t>
      </w:r>
      <w:r w:rsidRPr="003C12F4">
        <w:rPr>
          <w:rFonts w:ascii="Helvetica" w:eastAsia="MS Mincho" w:hAnsi="Helvetica" w:cs="Helvetica"/>
          <w:sz w:val="24"/>
          <w:szCs w:val="24"/>
          <w:lang w:val="en-GB"/>
        </w:rPr>
        <w:t>. With the possibility of suffering more than one form of malnutrition, children remain largely susceptible to the perilous effects posed by this condition</w:t>
      </w:r>
      <w:r w:rsidR="00A741AC">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t>
      </w:r>
      <w:r w:rsidR="00125974">
        <w:rPr>
          <w:rFonts w:ascii="Helvetica" w:eastAsia="MS Mincho" w:hAnsi="Helvetica" w:cs="Helvetica"/>
          <w:sz w:val="24"/>
          <w:szCs w:val="24"/>
          <w:lang w:val="en-GB"/>
        </w:rPr>
        <w:t xml:space="preserve">According to nutrition statistics, </w:t>
      </w:r>
      <w:r w:rsidRPr="003C12F4">
        <w:rPr>
          <w:rFonts w:ascii="Helvetica" w:eastAsia="MS Mincho" w:hAnsi="Helvetica" w:cs="Helvetica"/>
          <w:sz w:val="24"/>
          <w:szCs w:val="24"/>
          <w:lang w:val="en-GB"/>
        </w:rPr>
        <w:t xml:space="preserve">3.62% of all children under the age of five years (15.95 million) </w:t>
      </w:r>
      <w:r w:rsidR="00747975">
        <w:rPr>
          <w:rFonts w:ascii="Helvetica" w:eastAsia="MS Mincho" w:hAnsi="Helvetica" w:cs="Helvetica"/>
          <w:sz w:val="24"/>
          <w:szCs w:val="24"/>
          <w:lang w:val="en-GB"/>
        </w:rPr>
        <w:t xml:space="preserve">have </w:t>
      </w:r>
      <w:r w:rsidRPr="003C12F4">
        <w:rPr>
          <w:rFonts w:ascii="Helvetica" w:eastAsia="MS Mincho" w:hAnsi="Helvetica" w:cs="Helvetica"/>
          <w:sz w:val="24"/>
          <w:szCs w:val="24"/>
          <w:lang w:val="en-GB"/>
        </w:rPr>
        <w:t>be</w:t>
      </w:r>
      <w:r w:rsidR="00A741AC">
        <w:rPr>
          <w:rFonts w:ascii="Helvetica" w:eastAsia="MS Mincho" w:hAnsi="Helvetica" w:cs="Helvetica"/>
          <w:sz w:val="24"/>
          <w:szCs w:val="24"/>
          <w:lang w:val="en-GB"/>
        </w:rPr>
        <w:t>en reported as being</w:t>
      </w:r>
      <w:r w:rsidRPr="003C12F4">
        <w:rPr>
          <w:rFonts w:ascii="Helvetica" w:eastAsia="MS Mincho" w:hAnsi="Helvetica" w:cs="Helvetica"/>
          <w:sz w:val="24"/>
          <w:szCs w:val="24"/>
          <w:lang w:val="en-GB"/>
        </w:rPr>
        <w:t xml:space="preserve"> both stunted and wasted, whereas 1.87% of all children (8.23 million) </w:t>
      </w:r>
      <w:r w:rsidR="00747975">
        <w:rPr>
          <w:rFonts w:ascii="Helvetica" w:eastAsia="MS Mincho" w:hAnsi="Helvetica" w:cs="Helvetica"/>
          <w:sz w:val="24"/>
          <w:szCs w:val="24"/>
          <w:lang w:val="en-GB"/>
        </w:rPr>
        <w:t xml:space="preserve">have been reported to be </w:t>
      </w:r>
      <w:r w:rsidRPr="003C12F4">
        <w:rPr>
          <w:rFonts w:ascii="Helvetica" w:eastAsia="MS Mincho" w:hAnsi="Helvetica" w:cs="Helvetica"/>
          <w:sz w:val="24"/>
          <w:szCs w:val="24"/>
          <w:lang w:val="en-GB"/>
        </w:rPr>
        <w:t>stunted</w:t>
      </w:r>
      <w:r w:rsidR="00747975">
        <w:rPr>
          <w:rFonts w:ascii="Helvetica" w:eastAsia="MS Mincho" w:hAnsi="Helvetica" w:cs="Helvetica"/>
          <w:sz w:val="24"/>
          <w:szCs w:val="24"/>
          <w:lang w:val="en-GB"/>
        </w:rPr>
        <w:t xml:space="preserve">, as well as, </w:t>
      </w:r>
      <w:r w:rsidRPr="003C12F4">
        <w:rPr>
          <w:rFonts w:ascii="Helvetica" w:eastAsia="MS Mincho" w:hAnsi="Helvetica" w:cs="Helvetica"/>
          <w:sz w:val="24"/>
          <w:szCs w:val="24"/>
          <w:lang w:val="en-GB"/>
        </w:rPr>
        <w:t>overweight</w:t>
      </w:r>
      <w:r w:rsidR="00125974">
        <w:rPr>
          <w:rFonts w:ascii="Helvetica" w:eastAsia="MS Mincho" w:hAnsi="Helvetica" w:cs="Helvetica"/>
          <w:sz w:val="24"/>
          <w:szCs w:val="24"/>
          <w:lang w:val="en-GB"/>
        </w:rPr>
        <w:t xml:space="preserve"> globally</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{"citationItems":[{"id":"ITEM-1","itemData":{"URL":"https://globalnutritionreport.org/resources/nutrition-profiles/asia/south-eastern-asia/indonesia/","accessed":{"date-parts":[["2021","2","12"]]},"author":[{"dropping-particle":"","family":"Global Nutrition Report","given":"","non-dropping-particle":"","parse-names":false,"suffix":""}],"container-title":"Global Nutrition Report | Country Nutrition Profiles ","id":"ITEM-1","issued":{"date-parts":[["2021"]]},"title":"The burden of malnutrition at a glance","type":"webpage"},"uris":["http://www.mendeley.com/documents/?uuid=76b08524-5226-3c00-8c27-5db9266335db"]}],"mendeley":{"formattedCitation":"[2]","plainTextFormattedCitation":"[2]","previouslyFormattedCitation":"[2]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In all children aged below five years of age who are either stunted</w:t>
      </w:r>
      <w:r w:rsidR="000654AD">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wasted or underweight, malnutrition has been implicated in at least half of their deaths in both Asia and Sub-Saharan Africa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{"citationItems":[{"id":"ITEM-1","itemData":{"URL":"https://data.unicef.org/topic/nutrition/malnutrition/","accessed":{"date-parts":[["2021","2","12"]]},"author":[{"dropping-particle":"","family":"The United Nations Children's Fund","given":"","non-dropping-particle":"","parse-names":false,"suffix":""}],"container-title":"Malnutrition","id":"ITEM-1","issued":{"date-parts":[["2020"]]},"title":"Malnutrition in Children: Current Status and Progress","type":"webpage"},"uris":["http://www.mendeley.com/documents/?uuid=448973b2-0e75-33de-97b4-6512759602dc"]},{"id":"ITEM-2","itemData":{"DOI":"10.11648/j.sjph.20130104.12","ISSN":"2328-7942","abstract":"Background: Malnutrition at the early stages of life can lower child resistance to infections, increase child\\r\\nmorbidity and mortality, and decrease mental development and cognitive achievement. Adequate nutrition is the keystone\\r\\nof survival, health and development not only of current generations but also of the ones to come. Child malnutrition is a\\r\\nmajor public health problem in Ethiopia. Objectives: To assess the magnitude and factors associated with malnutrition of\\r\\nchildren 6 to 59 months of age in Dollo Ado district, Somali region. Methods: A community based, cross-sectional study\\r\\nwas conducted on 541 mother-child pairs of 6-59 month old children in December 2012. Anthropometric measurements of\\r\\nheight and weight of 541 study children were taken with physical examination to identify the severe form of malnutrition\\r\\nand the socio-demographic characteristics of the subjects were collected using a questionnaire. Both anthropometric and\\r\\nnon anthropometric data were entered using Epi-Info version 3.5.2. The data were analyzed using SPSS Version 16.0. Both\\r\\nbivariate and multivariate analysis (logistic regression model) was used to identify the determinants of child malnutrition.\\r\\nResults: Result of the study revealed that the overall prevalence of malnutrition in the community was high with 42.3% of\\r\\nthe children being wasted, 34.4% for stunting and 47.7% for underweight. All three forms of malnutrition (wasting,\\r\\nstunting and underweight) was more prevalent among boys than girls with a statistically significant of P&lt;0.031. Prevalence\\r\\nof wasting was higher among young children while stunting and underweight were more likely to be observed in older\\r\\nchildren. Regression analysis shows that the significant determinants of malnutrition were gender and age of child, marital\\r\\nstatus, maternal education, monthly HH income, decision making, having of livestock, presence of ARI, total number of\\r\\nchildren ever born, health status during pregnancy, pre-lactation practice, mode of feeding, access to clean water and type\\r\\nof floor in the households. Conclusions: The prevalence of child malnutrition among the under five children was high,\\r\\nindicating that the nutrition situation in study area is very critical. Thus, malnutrition is a major public health problem.\\r\\nFurther in-depth studies should also be encouraged to look for improved interventions. \\r\\n","author":[{"dropping-particle":"","family":"Demissie","given":"Solomon","non-dropping-particle":"","parse-names":false,"suffix":""}],"container-title":"Science Journal of Public Health","id":"ITEM-2","issue":"4","issued":{"date-parts":[["2013"]]},"page":"175","title":"Magnitude and Factors Associated with Malnutrition in Children 6-59 Months of Age in Pastoral Community of Dollo Ado District, Somali Region, Ethiopia","type":"article-journal","volume":"1"},"uris":["http://www.mendeley.com/documents/?uuid=931a10d1-a7fa-49b4-a5ce-408b0f851aa9"]}],"mendeley":{"formattedCitation":"[3,4]","plainTextFormattedCitation":"[3,4]","previouslyFormattedCitation":"[3,4]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[3,4]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35CD98CA" w14:textId="43B29E34"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Kenya, malnutrition prevalence remains tremendous and exorbitant with 26.3% of children, based on the analysis of a sample of 1119 babies from a randomized cluster trial conducted in two slums of Nairobi, being stunted whereas 6.3% and 13.16% were wasted and underweight, respectively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De Vita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also reported a higher prevalence of wasting, particularly within the early stages of life, whereas underweight and stunting were mostly captured among the older children. Based on the Kenyan nutrition profile published by the United States Agency for International Development, USAID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mendeley":{"formattedCitation":"[6]","plainTextFormattedCitation":"[6]","previouslyFormattedCitation":"[6]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population of children under the age of five years was at 7 million, with </w:t>
      </w:r>
      <w:r w:rsidRPr="003C12F4">
        <w:rPr>
          <w:rFonts w:ascii="Helvetica" w:eastAsia="MS Mincho" w:hAnsi="Helvetica" w:cs="Helvetica"/>
          <w:sz w:val="24"/>
          <w:szCs w:val="24"/>
          <w:lang w:val="en-GB"/>
        </w:rPr>
        <w:lastRenderedPageBreak/>
        <w:t xml:space="preserve">1.82 million children from this extravagant number suffering from chronic and incessant malnutrition (stunting). While substantial developments have been made in Kenya with regards to improving the malnutrition indicators, it is estimated that the burden of undernutrition will cost the country in excess of US$38.3 billion in the Gross Domestic Product following losses in workforce </w:t>
      </w:r>
      <w:proofErr w:type="spellStart"/>
      <w:r w:rsidRPr="003C12F4">
        <w:rPr>
          <w:rFonts w:ascii="Helvetica" w:eastAsia="MS Mincho" w:hAnsi="Helvetica" w:cs="Helvetica"/>
          <w:sz w:val="24"/>
          <w:szCs w:val="24"/>
          <w:lang w:val="en-GB"/>
        </w:rPr>
        <w:t>labor</w:t>
      </w:r>
      <w:proofErr w:type="spellEnd"/>
      <w:r w:rsidRPr="003C12F4">
        <w:rPr>
          <w:rFonts w:ascii="Helvetica" w:eastAsia="MS Mincho" w:hAnsi="Helvetica" w:cs="Helvetica"/>
          <w:sz w:val="24"/>
          <w:szCs w:val="24"/>
          <w:lang w:val="en-GB"/>
        </w:rPr>
        <w:t xml:space="preserve"> and productivity for the period 2010–2030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id":"ITEM-2","itemData":{"URL":"https://www.feedthefuture.gov/country/kenya/","accessed":{"date-parts":[["2021","2","12"]]},"author":[{"dropping-particle":"","family":"USAID","given":"","non-dropping-particle":"","parse-names":false,"suffix":""}],"container-title":"USAID-Feed the Future","id":"ITEM-2","issued":{"date-parts":[["2017"]]},"title":"Country Profile Kenya | Feed the Future","type":"webpage"},"uris":["http://www.mendeley.com/documents/?uuid=03a148b9-6d95-3efd-aed3-83b096bda829"]}],"mendeley":{"formattedCitation":"[6,7]","plainTextFormattedCitation":"[6,7]","previouslyFormattedCitation":"[6,7]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[6,7]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2B6B5B7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The concept of malnutrition</w:t>
      </w:r>
    </w:p>
    <w:p w14:paraId="50A1D002" w14:textId="7B66D52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relates to “a state of nutrition in which a deficiency, or excess, of energy, protein, and micronutrient causes measurable adverse effects on tissue/ body form (body shape, size, and composition), function, and clinical outcome”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Stratton","given":"RJ","non-dropping-particle":"","parse-names":false,"suffix":""},{"dropping-particle":"","family":"Green","given":"CJ","non-dropping-particle":"","parse-names":false,"suffix":""},{"dropping-particle":"","family":"Elia","given":"M","non-dropping-particle":"","parse-names":false,"suffix":""}],"id":"ITEM-1","issued":{"date-parts":[["2003"]]},"publisher":"CABI","publisher-place":"London","title":"Disease-related malnutrition: an evidence-based approach to treatment","type":"book"},"uris":["http://www.mendeley.com/documents/?uuid=4f2f158e-1ee6-34c7-a7f0-55c40112a650"]}],"mendeley":{"formattedCitation":"[8]","plainTextFormattedCitation":"[8]","previouslyFormattedCitation":"[8]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2228E4">
        <w:rPr>
          <w:rFonts w:ascii="Helvetica" w:eastAsia="MS Mincho" w:hAnsi="Helvetica" w:cs="Helvetica"/>
          <w:sz w:val="24"/>
          <w:szCs w:val="24"/>
          <w:lang w:val="en-GB"/>
        </w:rPr>
        <w:t xml:space="preserve">This </w:t>
      </w:r>
      <w:r w:rsidRPr="003C12F4">
        <w:rPr>
          <w:rFonts w:ascii="Helvetica" w:eastAsia="MS Mincho" w:hAnsi="Helvetica" w:cs="Helvetica"/>
          <w:sz w:val="24"/>
          <w:szCs w:val="24"/>
          <w:lang w:val="en-GB"/>
        </w:rPr>
        <w:t xml:space="preserve">definition of malnutrition does not put into consideration the causes of inadvertent loss of weight, predominantly in the case of undernutrition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inadvertent loss of weight is often characterized by syndromes including cachexia, starvation, and sarcopenia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{"citationItems":[{"id":"ITEM-1","itemData":{"DOI":"10.1016/j.mcna.2011.02.004","ISSN":"00257125","PMID":"21549879","abstract":"Weight loss is common in older people. It is associated with increased morbidity and mortality, particularly when unintentional, excessive (&gt;5% body weight), or associated with low body weight (body mass index &lt;22 kg/m2). It is often unrecognized, the associated adverse effects not appreciated, and underlying causes not addressed. Intentional weight loss by overweight older people is probably appropriate only when functional problems have resulted from the excess weight. It is important to include, wherever possible, exercise in weight-loss measures to preserve skeletal muscle mass. © 2011 Elsevier Inc.","author":[{"dropping-particle":"","family":"Chapman","given":"Ian M.","non-dropping-particle":"","parse-names":false,"suffix":""}],"container-title":"Medical Clinics of North America","id":"ITEM-1","issue":"3","issued":{"date-parts":[["2011"]]},"page":"579-593","title":"Weight Loss in Older Persons","type":"article","volume":"95"},"uris":["http://www.mendeley.com/documents/?uuid=6f2dc7f5-5cf8-40e7-829a-a8b86b54d8a2"]},{"id":"ITEM-2","itemData":{"DOI":"10.1016/j.clnu.2007.03.008","ISSN":"02615614","PMID":"17499396","abstract":"A loss of body weight or skeletal muscle mass is common in older persons and is a harbinger of poor outcome. Involuntary weight loss can be categorized into three primary etiologies of starvation, sarcopenia, and cachexia. Starvation results in a loss of body fat and non-fat mass due to inadequate intake of protein and energy. Sarcopenia is associated with a reduction in muscle mass and strength occurring with normal aging, associated with a reduction in motor unit number and atrophy of muscle fibers, especially the type IIa fibers. The loss of muscle mass with aging is clinically important because it leads to diminished strength and exercise capacity. Cachexia is widely recognized as severe wasting accompanying disease states such as cancer or immunodeficiency disease, but does not have a universally accepted definition. The key clinical question is whether these changes in body composition are distinct entities or represent an interdependent continuum. The importance of defining the distinction lies in developing a targeted therapeutic approach to skeletal muscle loss and muscle strength in older persons. Failure to distinguish among these causes of skeletal muscle loss often results in frustration over the clinical response to therapeutic interventions. © 2007 Elsevier Ltd and European Society for Clinical Nutrition and Metabolism.","author":[{"dropping-particle":"","family":"Thomas","given":"David R.","non-dropping-particle":"","parse-names":false,"suffix":""}],"container-title":"Clinical Nutrition","id":"ITEM-2","issue":"4","issued":{"date-parts":[["2007"]]},"page":"389-399","title":"Loss of skeletal muscle mass in aging: Examining the relationship of starvation, sarcopenia and cachexia","type":"article","volume":"26"},"uris":["http://www.mendeley.com/documents/?uuid=a31766d1-6629-4c33-ac49-28c40b09ee63"]}],"mendeley":{"formattedCitation":"[10,11]","plainTextFormattedCitation":"[10,11]","previouslyFormattedCitation":"[10,11]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[10,11]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the classification of malnutrition, the kind of nutrients absent in one's diet, the length of time with which these nutrients are missing in the diet as well as the age at which this occurs plays a crucial role. In this line, malnutrition is classified as protein-energy malnutrition or dietary vitamins and minerals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6AB5B165" w14:textId="77777777" w:rsidR="003C12F4" w:rsidRPr="00BA62ED" w:rsidRDefault="003C12F4" w:rsidP="003C12F4">
      <w:pPr>
        <w:keepNext/>
        <w:keepLines/>
        <w:spacing w:before="40" w:beforeAutospacing="0" w:after="0" w:afterAutospacing="0" w:line="480" w:lineRule="auto"/>
        <w:outlineLvl w:val="1"/>
        <w:rPr>
          <w:rFonts w:ascii="Helvetica" w:eastAsia="MS Gothic" w:hAnsi="Helvetica" w:cs="Helvetica"/>
          <w:b/>
          <w:sz w:val="32"/>
          <w:szCs w:val="32"/>
          <w:lang w:val="en-GB"/>
        </w:rPr>
      </w:pPr>
      <w:r w:rsidRPr="00BA62ED">
        <w:rPr>
          <w:rFonts w:ascii="Helvetica" w:eastAsia="MS Gothic" w:hAnsi="Helvetica" w:cs="Helvetica"/>
          <w:b/>
          <w:sz w:val="32"/>
          <w:szCs w:val="32"/>
          <w:lang w:val="en-GB"/>
        </w:rPr>
        <w:t xml:space="preserve">Causes and risk factors of </w:t>
      </w:r>
      <w:proofErr w:type="gramStart"/>
      <w:r w:rsidRPr="00BA62ED">
        <w:rPr>
          <w:rFonts w:ascii="Helvetica" w:eastAsia="MS Gothic" w:hAnsi="Helvetica" w:cs="Helvetica"/>
          <w:b/>
          <w:sz w:val="32"/>
          <w:szCs w:val="32"/>
          <w:lang w:val="en-GB"/>
        </w:rPr>
        <w:t>malnutrition</w:t>
      </w:r>
      <w:proofErr w:type="gramEnd"/>
      <w:r w:rsidRPr="00BA62ED">
        <w:rPr>
          <w:rFonts w:ascii="Helvetica" w:eastAsia="MS Gothic" w:hAnsi="Helvetica" w:cs="Helvetica"/>
          <w:b/>
          <w:sz w:val="32"/>
          <w:szCs w:val="32"/>
          <w:lang w:val="en-GB"/>
        </w:rPr>
        <w:t xml:space="preserve"> </w:t>
      </w:r>
    </w:p>
    <w:p w14:paraId="57635345" w14:textId="5ADB5545"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Previous literature has made substantial and considerable advancements in the presentation of the risk factors for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M.","non-dropping-particle":"","parse-names":false,"suffix":""}],"container-title":"Nutrients","id":"ITEM-1","issue":"1","issued":{"date-parts":[["2017"]]},"title":"Multilevel analysis of factors associated with wasting and underweight among children under-five years in Nigeria","type":"article-journal","volume":"9"},"uris":["http://www.mendeley.com/documents/?uuid=1852bd13-bceb-491a-bee6-fee703242049"]},{"id":"ITEM-2","itemData":{"DOI":"10.1371/journal.pone.0211883","ISBN":"1111111111","ISSN":"19326203","PMID":"30730946","abstract":"Objective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ONE","id":"ITEM-2","issue":"2","issued":{"date-parts":[["2019"]]},"title":"Trends in socioeconomic inequalities in child undernutrition: Evidence from Nigeria demographic and health survey (2003 – 2013)","type":"article-journal","volume":"14"},"uris":["http://www.mendeley.com/documents/?uuid=1238d34a-9cb6-379c-b0a8-f1b4854e4346"]},{"id":"ITEM-3","itemData":{"DOI":"10.1186/s40795-020-00357-4","ISSN":"20550928","abstract":"Background: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Nutrition","id":"ITEM-3","issue":"1","issued":{"date-parts":[["2020","7","29"]]},"publisher":"BioMed Central","title":"Factors associated with malnutrition in children &lt; 5 years in western Kenya: a hospital-based unmatched case control study","type":"article-journal","volume":"6"},"uris":["http://www.mendeley.com/documents/?uuid=86fb9b75-4f60-3001-9e6f-1c9d66bdee09"]},{"id":"ITEM-4","itemData":{"DOI":"10.3402/gha.v9.29263","ISSN":"16549880","PMID":"26950558","abstract":"Background: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Action","id":"ITEM-4","issue":"1","issued":{"date-parts":[["2016"]]},"title":"Trends in socioeconomic inequalities in child malnutrition in Vietnam: Findings from the Multiple Indicator Cluster Surveys, 2000-2011","type":"article-journal","volume":"9"},"uris":["http://www.mendeley.com/documents/?uuid=baf2d477-3dbf-4fc6-a9a5-7ca2ce3a65c8"]},{"id":"ITEM-5","itemData":{"DOI":"10.1093/intqhc/mzx129","ISSN":"14643677","PMID":"29045661","abstract":"Objective: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Care","id":"ITEM-5","issue":"7","issued":{"date-parts":[["2017"]]},"page":"901-908","title":"Factors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[12–16]","plainTextFormattedCitation":"[12–16]","previouslyFormattedCitation":"[12–16]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[12–16]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a study set in Burkina Faso, West Africa, to examine the factors related to </w:t>
      </w:r>
      <w:r w:rsidRPr="003C12F4">
        <w:rPr>
          <w:rFonts w:ascii="Helvetica" w:eastAsia="MS Mincho" w:hAnsi="Helvetica" w:cs="Helvetica"/>
          <w:sz w:val="24"/>
          <w:szCs w:val="24"/>
          <w:lang w:val="en-GB"/>
        </w:rPr>
        <w:lastRenderedPageBreak/>
        <w:t xml:space="preserve">malnutrition, specifically among children aged below five years, using secondary population-based cross-sectional data from the Demographic Health Survey (2010), several factors were drawn in as major players in malnutrition. The study reported factors including the child's age, gender, size at birth, child morbidity, the mother's education level, the body mass index of the child, and the wealth index of the household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Care","id":"ITEM-1","issue":"7","issued":{"date-parts":[["2017"]]},"page":"901-908","title":"Factors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plainTextFormattedCitation":"[16]","previouslyFormattedCitation":"[16]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7CB2FCF" w14:textId="52BA375A" w:rsidR="00E2706A" w:rsidRDefault="003C12F4" w:rsidP="004D7A6F">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Kenya, </w:t>
      </w:r>
      <w:proofErr w:type="spellStart"/>
      <w:r w:rsidRPr="003C12F4">
        <w:rPr>
          <w:rFonts w:ascii="Helvetica" w:eastAsia="MS Mincho" w:hAnsi="Helvetica" w:cs="Helvetica"/>
          <w:sz w:val="24"/>
          <w:szCs w:val="24"/>
          <w:lang w:val="en-GB"/>
        </w:rPr>
        <w:t>Gudu</w:t>
      </w:r>
      <w:proofErr w:type="spellEnd"/>
      <w:r w:rsidRPr="003C12F4">
        <w:rPr>
          <w:rFonts w:ascii="Helvetica" w:eastAsia="MS Mincho" w:hAnsi="Helvetica" w:cs="Helvetica"/>
          <w:sz w:val="24"/>
          <w:szCs w:val="24"/>
          <w:lang w:val="en-GB"/>
        </w:rPr>
        <w:t xml:space="preserve">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carried out a hospital-centred</w:t>
      </w:r>
      <w:r w:rsidR="00C47262">
        <w:rPr>
          <w:rFonts w:ascii="Helvetica" w:eastAsia="MS Mincho" w:hAnsi="Helvetica" w:cs="Helvetica"/>
          <w:sz w:val="24"/>
          <w:szCs w:val="24"/>
          <w:lang w:val="en-GB"/>
        </w:rPr>
        <w:t>, unmatched</w:t>
      </w:r>
      <w:r w:rsidRPr="003C12F4">
        <w:rPr>
          <w:rFonts w:ascii="Helvetica" w:eastAsia="MS Mincho" w:hAnsi="Helvetica" w:cs="Helvetica"/>
          <w:sz w:val="24"/>
          <w:szCs w:val="24"/>
          <w:lang w:val="en-GB"/>
        </w:rPr>
        <w:t xml:space="preserve"> case-control stud</w:t>
      </w:r>
      <w:r w:rsidR="00C47262">
        <w:rPr>
          <w:rFonts w:ascii="Helvetica" w:eastAsia="MS Mincho" w:hAnsi="Helvetica" w:cs="Helvetica"/>
          <w:sz w:val="24"/>
          <w:szCs w:val="24"/>
          <w:lang w:val="en-GB"/>
        </w:rPr>
        <w:t>y in which they investigated factors associated with under-five child malnutrition</w:t>
      </w:r>
      <w:r w:rsidRPr="003C12F4">
        <w:rPr>
          <w:rFonts w:ascii="Helvetica" w:eastAsia="MS Mincho" w:hAnsi="Helvetica" w:cs="Helvetica"/>
          <w:sz w:val="24"/>
          <w:szCs w:val="24"/>
          <w:lang w:val="en-GB"/>
        </w:rPr>
        <w:t xml:space="preserve">. In their findings, the authors reported significant associations between undernutrition and mother antenatal care attendance, deworming, and pre-lacteal feeding. Additionally, lack of formal education (formal paternal education) and low birth weight were reported as being independently linked with undernutrition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444C7671"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Malnutrition indicators</w:t>
      </w:r>
    </w:p>
    <w:p w14:paraId="4468A59E" w14:textId="07655EF8"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Stunting, underweight, and wasting have been the most widely used three indicators of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Pr="0011205C">
        <w:rPr>
          <w:rFonts w:ascii="Helvetica" w:eastAsia="MS Mincho" w:hAnsi="Helvetica" w:cs="Helvetica"/>
          <w:sz w:val="24"/>
          <w:szCs w:val="24"/>
          <w:highlight w:val="yellow"/>
          <w:lang w:val="en-GB"/>
        </w:rPr>
        <w:t xml:space="preserve">Stunting refers to low </w:t>
      </w:r>
      <w:r w:rsidR="0011205C">
        <w:rPr>
          <w:rFonts w:ascii="Helvetica" w:eastAsia="MS Mincho" w:hAnsi="Helvetica" w:cs="Helvetica"/>
          <w:sz w:val="24"/>
          <w:szCs w:val="24"/>
          <w:highlight w:val="yellow"/>
          <w:lang w:val="en-GB"/>
        </w:rPr>
        <w:t>h</w:t>
      </w:r>
      <w:r w:rsidRPr="0011205C">
        <w:rPr>
          <w:rFonts w:ascii="Helvetica" w:eastAsia="MS Mincho" w:hAnsi="Helvetica" w:cs="Helvetica"/>
          <w:sz w:val="24"/>
          <w:szCs w:val="24"/>
          <w:highlight w:val="yellow"/>
          <w:lang w:val="en-GB"/>
        </w:rPr>
        <w:t xml:space="preserve">eight for age and reflects the growth in linear terms achieved at the age at which the measurements were taken, whereas underweight refers to low weight for age resulting from a short-term lack of food. On the other hand, wasting is a severe form of undernutrition resulting from inadequate food intake as well as infections </w:t>
      </w:r>
      <w:r w:rsidRPr="0011205C">
        <w:rPr>
          <w:rFonts w:ascii="Helvetica" w:eastAsia="MS Mincho" w:hAnsi="Helvetica" w:cs="Helvetica"/>
          <w:sz w:val="24"/>
          <w:szCs w:val="24"/>
          <w:highlight w:val="yellow"/>
          <w:lang w:val="en-GB"/>
        </w:rPr>
        <w:fldChar w:fldCharType="begin" w:fldLock="1"/>
      </w:r>
      <w:r w:rsidR="0083183F" w:rsidRPr="0011205C">
        <w:rPr>
          <w:rFonts w:ascii="Helvetica" w:eastAsia="MS Mincho" w:hAnsi="Helvetica" w:cs="Helvetica"/>
          <w:sz w:val="24"/>
          <w:szCs w:val="24"/>
          <w:highlight w:val="yellow"/>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11205C">
        <w:rPr>
          <w:rFonts w:ascii="Helvetica" w:eastAsia="MS Mincho" w:hAnsi="Helvetica" w:cs="Helvetica"/>
          <w:sz w:val="24"/>
          <w:szCs w:val="24"/>
          <w:highlight w:val="yellow"/>
          <w:lang w:val="en-GB"/>
        </w:rPr>
        <w:fldChar w:fldCharType="separate"/>
      </w:r>
      <w:r w:rsidR="0083183F" w:rsidRPr="0011205C">
        <w:rPr>
          <w:rFonts w:ascii="Helvetica" w:eastAsia="MS Mincho" w:hAnsi="Helvetica" w:cs="Helvetica"/>
          <w:noProof/>
          <w:sz w:val="24"/>
          <w:szCs w:val="24"/>
          <w:highlight w:val="yellow"/>
          <w:lang w:val="en-GB"/>
        </w:rPr>
        <w:t>[17]</w:t>
      </w:r>
      <w:r w:rsidRPr="0011205C">
        <w:rPr>
          <w:rFonts w:ascii="Helvetica" w:eastAsia="MS Mincho" w:hAnsi="Helvetica" w:cs="Helvetica"/>
          <w:sz w:val="24"/>
          <w:szCs w:val="24"/>
          <w:highlight w:val="yellow"/>
          <w:lang w:val="en-GB"/>
        </w:rPr>
        <w:fldChar w:fldCharType="end"/>
      </w:r>
      <w:r w:rsidRPr="0011205C">
        <w:rPr>
          <w:rFonts w:ascii="Helvetica" w:eastAsia="MS Mincho" w:hAnsi="Helvetica" w:cs="Helvetica"/>
          <w:sz w:val="24"/>
          <w:szCs w:val="24"/>
          <w:highlight w:val="yellow"/>
          <w:lang w:val="en-GB"/>
        </w:rPr>
        <w:t>.</w:t>
      </w:r>
      <w:r w:rsidRPr="003C12F4">
        <w:rPr>
          <w:rFonts w:ascii="Helvetica" w:eastAsia="MS Mincho" w:hAnsi="Helvetica" w:cs="Helvetica"/>
          <w:sz w:val="24"/>
          <w:szCs w:val="24"/>
          <w:lang w:val="en-GB"/>
        </w:rPr>
        <w:t xml:space="preserve"> Stunting in children under five years is considered the superlative overall gauge and indicator of the wellbeing and health of the children capable of highlighting salient social disparities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{"citationItems":[{"id":"ITEM-1","itemData":{"DOI":"10.1111/mcn.12231","ISSN":"17408709","PMID":"27187907","abstract":"Childhood stunting is the best overall indicator of children's well-being and an accurate reflection of social inequalities. Stunting is the most prevalent form of child malnutrition with an estimated 161 million children worldwide in 2013 falling below -2 SD from the length-for-age/height-for-age World Health Organization Child Growth Standards median. Many more millions suffer from some degree of growth faltering as the entire length-for-age/height-for-age z-score distribution is shifted to the left indicating that all children, and not only those falling below a specific cutoff, are affected. Despite global consensus on how to define and measure it, stunting often goes unrecognized in communities where short stature is the norm as linear growth is not routinely assessed in primary health care settings and it is difficult to visually recognize it. Growth faltering often begins in utero and continues for at least the first 2years of post-natal life. Linear growth failure serves as a marker of multiple pathological disorders associated with increased morbidity and mortality, loss of physical growth potential, reduced neurodevelopmental and cognitive function and an elevated risk of chronic disease in adulthood. The severe irreversible physical and neurocognitive damage that accompanies stunted growth poses a major threat to human development. Increased awareness of stunting's magnitude and devastating consequences has resulted in its being identified as a major global health priority and the focus of international attention at the highest levels with global targets set for 2025 and beyond. The challenge is to prevent linear growth failure while keeping child overweight and obesity at bay.","author":[{"dropping-particle":"","family":"Onis","given":"Mercedes","non-dropping-particle":"De","parse-names":false,"suffix":""},{"dropping-particle":"","family":"Branca","given":"Francesco","non-dropping-particle":"","parse-names":false,"suffix":""}],"container-title":"Maternal and Child Nutrition","id":"ITEM-1","issued":{"date-parts":[["2016","5","1"]]},"page":"12-26","publisher":"Blackwell Publishing Ltd","title":"Childhood stunting: A global perspective","type":"article-journal","volume":"12"},"uris":["http://www.mendeley.com/documents/?uuid=6423ad8e-6a89-38a8-af3e-b7fb735ef120"]}],"mendeley":{"formattedCitation":"[18]","plainTextFormattedCitation":"[18]","previouslyFormattedCitation":"[20]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Previously, stunting has been found to be related to a legion of both nutritional, </w:t>
      </w:r>
      <w:r w:rsidRPr="003C12F4">
        <w:rPr>
          <w:rFonts w:ascii="Helvetica" w:eastAsia="MS Mincho" w:hAnsi="Helvetica" w:cs="Helvetica"/>
          <w:sz w:val="24"/>
          <w:szCs w:val="24"/>
          <w:lang w:val="en-GB"/>
        </w:rPr>
        <w:lastRenderedPageBreak/>
        <w:t xml:space="preserve">demographic as well as socioeconomic elements, including the age of the child, gender, the status of the household's economy, dietary intake, the age of the mother, and food insecurity in the household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Lancet","id":"ITEM-1","issued":{"date-parts":[["2008"]]},"title":"Maternal and child undernutrition: global and regional exposures and health consequences","type":"article"},"uris":["http://www.mendeley.com/documents/?uuid=02686765-b81e-484a-b0ba-dbd9c759bfc6"]},{"id":"ITEM-2","itemData":{"DOI":"10.1016/S0140-6736(07)61692-4","ISSN":"01406736","PMID":"18206223","abstract":"In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Lancet","id":"ITEM-2","issued":{"date-parts":[["2008"]]},"title":"Maternal and child undernutrition: consequences for adult health and human capital","type":"article"},"uris":["http://www.mendeley.com/documents/?uuid=4ba7f34c-ea68-4b7e-a602-c8119afa47cc"]}],"mendeley":{"formattedCitation":"[19,20]","plainTextFormattedCitation":"[19,20]","previouslyFormattedCitation":"[21,22]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[19,20]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Whilst these factors exhibit associations with stunting, the most imperative predictors to this effect have been the mother's level of education, food insecurity measure, and household income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{"citationItems":[{"id":"ITEM-1","itemData":{"DOI":"10.1186/s12939-019-0944-z","ISSN":"14759276","PMID":"30836975","abstract":"Background: Although decreasing in trend, one-in-three children remain stunted in Nepal and its distribution is unequal among different socioeconomic and geographical subgroups. Thus, it is crucial to assess inequalities in stunting for designing equity focused interventions that target vulnerable groups with higher burden of stunting. This study measures trends and predictors of socioeconomic inequalities in childhood stunting in Nepal. Methods: Data from five rounds (1996-2016) of Nepal Demographic and Health Survey, nationally representative cross-sectional surveys, were used. Levels and trends of absolute and relative disparity in stunting between the poorest and the richest wealth quintiles, and among all quintiles were assessed by calculating absolute and relative difference, concentration curve and index. Average marginal effects of predictors on stunting were calculated using probit regression. The concentration index was subsequently decomposed into contributing factors. Results: Even though stunting consistently declined in all wealth quintiles between 1996 and 2016, reduction was relatively higher among the richer quintiles compared to poorer ones. The absolute difference between the poorest and the richest quintile increased from 24.7 in 1996 (64.5% in poorest - 39.8% in richest) to 32.7 percentage points in 2016 (49.2-16.5%). The relative disparity also increased; the ratio of stunting in the poorest to the richest quintile was 1.6 in 1996 and 3.0 in 2016. The concentration index increased (in absolute value) from - 0.078 in 1996 to - 0.147 in 2016 indicating that stunting was disproportionately concentrated in poorer households and socioeconomic inequalities worsened from 1996 to 2016. Decomposition analysis revealed that in 1996, wealth (61%), caste/ethnicity (12%), mother's education (12%) and birth order (9%) were the major contributors to observed socioeconomic inequalities in stunting; while in 2016, wealth (72%), mother's BMI (12%) and birth order (9%) were the major contributors. Conclusions: Despite remarkable improvements in average stunting over the last two decades, substantial socioeconomic inequalities in stunting exists and is determined not only by immediate factors but also by underlying and contextual factors which emphasize the need for coherent actions across different sectors. In addition to reducing inequalities in wealth, nutrition programming should be focused on most disadvantaged subgroups which are prone to both s…","author":[{"dropping-particle":"","family":"Angdembe","given":"Mirak Raj","non-dropping-particle":"","parse-names":false,"suffix":""},{"dropping-particle":"","family":"Dulal","given":"Bishnu Prasad","non-dropping-particle":"","parse-names":false,"suffix":""},{"dropping-particle":"","family":"Bhattarai","given":"Kreepa","non-dropping-particle":"","parse-names":false,"suffix":""},{"dropping-particle":"","family":"Karn","given":"Sumit","non-dropping-particle":"","parse-names":false,"suffix":""}],"container-title":"International Journal for Equity in Health","id":"ITEM-1","issue":"1","issued":{"date-parts":[["2019"]]},"title":"Trends and predictors of inequality in childhood stunting in Nepal from 1996 to 2016","type":"article-journal","volume":"18"},"uris":["http://www.mendeley.com/documents/?uuid=9c4ba084-ebc5-4879-a2e3-fe54f8fe1c64"]},{"id":"ITEM-2","itemData":{"DOI":"10.1016/S0140-6736(07)61690-0","ISSN":"01406736","PMID":"18207566","abstract":"Maternal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Lancet","id":"ITEM-2","issued":{"date-parts":[["2008"]]},"title":"Maternal and child undernutrition: global and regional exposures and health consequences","type":"article"},"uris":["http://www.mendeley.com/documents/?uuid=02686765-b81e-484a-b0ba-dbd9c759bfc6"]},{"id":"ITEM-3","itemData":{"DOI":"10.1111/mcn.12286","ISSN":"17408709","PMID":"27187924","author":[{"dropping-particle":"","family":"Devkota","given":"Madhu Dixit","non-dropping-particle":"","parse-names":false,"suffix":""},{"dropping-particle":"","family":"Adhikari","given":"Ramesh Kant","non-dropping-particle":"","parse-names":false,"suffix":""},{"dropping-particle":"","family":"Upreti","given":"Senendra Raj","non-dropping-particle":"","parse-names":false,"suffix":""}],"container-title":"Maternal and Child Nutrition","id":"ITEM-3","issued":{"date-parts":[["2016"]]},"page":"257-259","title":"Stunting in Nepal: Looking back, looking ahead","type":"article","volume":"12"},"uris":["http://www.mendeley.com/documents/?uuid=607a5421-460b-410c-b5b5-3c7cca97d97a"]}],"mendeley":{"formattedCitation":"[19,21,22]","plainTextFormattedCitation":"[19,21,22]","previouslyFormattedCitation":"[21,23,24]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[19,21,22]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7DA66CB2" w14:textId="5C641638"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Moreover, because stunting is a measure of linear growth in children, it is considered as a correct and accurate measure of malnutrition in the long term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{"citationItems":[{"id":"ITEM-1","itemData":{"DOI":"10.1111/mcn.12080","ISSN":"17408695","PMID":"24074319","abstract":"This paper outlines the economic rationale for investments that reduce stunting. We present a framework that illustrates the functional consequences of stunting in the 1000 days after conception throughout the life cycle: from childhood through to old age. We summarize the key empirical literature around each of the links in the life cycle, highlighting gaps in knowledge where they exist. We construct credible estimates of benefit-cost ratios for a plausible set of nutritional interventions to reduce stunting. There are considerable challenges in doing so that we document. We assume an uplift in income of 11% due to the prevention of one fifth of stunting and a 5% discount rate of future benefit streams. Our estimates of the country-specific benefit-cost ratios for investments that reduce stunting in 17 high-burden countries range from 3.6 (DRC) to 48 (Indonesia) with a median value of 18 (Bangladesh). Mindful that these results hinge on a number of assumptions, they compare favourably with other investments for which public funds compete. © 2013 John Wiley &amp; Sons Ltd.","author":[{"dropping-particle":"","family":"Hoddinott","given":"John","non-dropping-particle":"","parse-names":false,"suffix":""},{"dropping-particle":"","family":"Alderman","given":"Harold","non-dropping-particle":"","parse-names":false,"suffix":""},{"dropping-particle":"","family":"Behrman","given":"Jere R.","non-dropping-particle":"","parse-names":false,"suffix":""},{"dropping-particle":"","family":"Haddad","given":"Lawrence","non-dropping-particle":"","parse-names":false,"suffix":""},{"dropping-particle":"","family":"Horton","given":"Susan","non-dropping-particle":"","parse-names":false,"suffix":""}],"container-title":"Maternal and Child Nutrition","id":"ITEM-1","issue":"S2","issued":{"date-parts":[["2013"]]},"page":"69-82","title":"The economic rationale for investing in stunting reduction","type":"article-journal","volume":"9"},"uris":["http://www.mendeley.com/documents/?uuid=30a58d22-f37b-4bca-b87f-3103d7862d65"]},{"id":"ITEM-2","itemData":{"author":[{"dropping-particle":"","family":"World Health Organization (WHO)","given":"","non-dropping-particle":"","parse-names":false,"suffix":""}],"id":"ITEM-2","issued":{"date-parts":[["2019"]]},"publisher-place":"Geneva","title":"Nutrition Landscape Information System (‎‎NLIS)‎‎ country profile indicators: interpretation guide","type":"report"},"uris":["http://www.mendeley.com/documents/?uuid=ad42e172-14cd-3168-9d28-7eeb86ede488"]},{"id":"ITEM-3","itemData":{"DOI":"10.1186/1475-9276-2-7","ISSN":"1475-9276","PMID":"14514357","abstract":"OBJECTIVES: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Health","id":"ITEM-3","issue":"1","issued":{"date-parts":[["2003"]]},"title":"Inequities in under-five child malnutrition in South Africa","type":"article-journal","volume":"2"},"uris":["http://www.mendeley.com/documents/?uuid=ec704dcf-3488-4371-af7a-0ddbb2f6efcc"]}],"mendeley":{"formattedCitation":"[23–25]","plainTextFormattedCitation":"[23–25]","previouslyFormattedCitation":"[25–27]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[23–25]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particular, this follows from the indicator's insensitivities to temporal variations in food consumption, as do the other malnutrition indicators, including underweight and wasting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Health","id":"ITEM-1","issue":"1","issued":{"date-parts":[["2003"]]},"title":"Inequities in under-five child malnutrition in South Africa","type":"article-journal","volume":"2"},"uris":["http://www.mendeley.com/documents/?uuid=ec704dcf-3488-4371-af7a-0ddbb2f6efcc"]}],"mendeley":{"formattedCitation":"[25]","plainTextFormattedCitation":"[25]","previouslyFormattedCitation":"[27]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Snowballing investments in child health as well as nutrition, in the long run, coupled with social strategies aimed towards reducing overall poverty, are often projected to result in improvements in child growth and development, and thus, reduce the instances of stunting among children. In this way, stunting becomes a major indicator in the study or assessment of the effects of economic changes on child health as well as the wellbeing of a household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74A4E1B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The essentiality and consequences of malnutrition</w:t>
      </w:r>
    </w:p>
    <w:p w14:paraId="74754A9A" w14:textId="704E777F"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in children is classified as either micronutrient deficiencies, undernutrition, or overnutrition. Undernutrition is mostly attributed to an inadequate intake of food as well as disease which manifests in children through wasting, stunting, or else underweight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{"citationItems":[{"id":"ITEM-1","itemData":{"author":[{"dropping-particle":"","family":"United Nations Childrens Fund (UNICEF)","given":"","non-dropping-particle":"","parse-names":false,"suffix":""}],"id":"ITEM-1","issued":{"date-parts":[["1990"]]},"publisher-place":"New York","title":"Strategy for improved nutrition of children and women in developing countries.","type":"report"},"uris":["http://www.mendeley.com/documents/?uuid=218f875f-e1e0-3d2c-b353-95d613add250"]}],"mendeley":{"formattedCitation":"[26]","plainTextFormattedCitation":"[26]","previouslyFormattedCitation":"[28]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Overnutrition, on the contrary, results from both physical inactivity as well the excessive and superfluous intake of foods that are unhealthy and is manifested through </w:t>
      </w:r>
      <w:r w:rsidRPr="003C12F4">
        <w:rPr>
          <w:rFonts w:ascii="Helvetica" w:eastAsia="MS Mincho" w:hAnsi="Helvetica" w:cs="Helvetica"/>
          <w:sz w:val="24"/>
          <w:szCs w:val="24"/>
          <w:lang w:val="en-GB"/>
        </w:rPr>
        <w:lastRenderedPageBreak/>
        <w:t xml:space="preserve">obesity and being overweight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{"citationItems":[{"id":"ITEM-1","itemData":{"DOI":"10.4103/2249-4863.154628","ISSN":"2249-4863","PMID":"25949965","abstract":"Childhood obesity has reached epidemic levels in developed as well as in developing countries. Overweight and obesity in childhood are known to have significant impact on both physical and psychological health. Overweight and obese children are likely to stay obese into adulthood and more likely to develop non-communicable diseases like diabetes and cardiovascular diseases at a younger age. The mechanism of obesity development is not fully understood and it is believed to be a disorder with multiple causes. Environmental factors, lifestyle preferences, and cultural environment play pivotal roles in the rising prevalence of obesity worldwide. In general, overweight and obesity are assumed to be the results of an increase in caloric and fat intake. On the other hand, there are supporting evidence that excessive sugar intake by soft drink, increased portion size, and steady decline in physical activity have been playing major roles in the rising rates of obesity all around the world. Childhood obesity can profoundly affect children's physical health, social, and emotional well-being, and self esteem. It is also associated with poor academic performance and a lower quality of life experienced by the child. Many co-morbid conditions like metabolic, cardiovascular, orthopedic, neurological, hepatic, pulmonary, and renal disorders are also seen in association with childhood obesity.","author":[{"dropping-particle":"","family":"Bhadoria","given":"AjeetSingh","non-dropping-particle":"","parse-names":false,"suffix":""},{"dropping-particle":"","family":"Sahoo","given":"Krushnapriya","non-dropping-particle":"","parse-names":false,"suffix":""},{"dropping-particle":"","family":"Sahoo","given":"Bishnupriya","non-dropping-particle":"","parse-names":false,"suffix":""},{"dropping-particle":"","family":"Choudhury","given":"AshokKumar","non-dropping-particle":"","parse-names":false,"suffix":""},{"dropping-particle":"","family":"Sufi","given":"NighatYasin","non-dropping-particle":"","parse-names":false,"suffix":""},{"dropping-particle":"","family":"Kumar","given":"Raman","non-dropping-particle":"","parse-names":false,"suffix":""}],"container-title":"Journal of Family Medicine and Primary Care","id":"ITEM-1","issue":"2","issued":{"date-parts":[["2015"]]},"page":"187","title":"Childhood obesity: Causes and consequences","type":"article-journal","volume":"4"},"uris":["http://www.mendeley.com/documents/?uuid=65aba8be-bd7a-4b42-ae7a-677540c9ce89"]}],"mendeley":{"formattedCitation":"[27]","plainTextFormattedCitation":"[27]","previouslyFormattedCitation":"[29]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Micronutrient deficiencies often result from insufficient intake of small nutrients and include deficiencies in iron and vitamin A, among others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{"citationItems":[{"id":"ITEM-1","itemData":{"abstract":"This years Global Hunger Index (GHI) shows that global hunger has de- clined since 1990, but not dramatically, and remains at a level char- acterized as serious. Across regions and countries, GHI scores vary greatly. The highest GHI scores occur in South Asia and Sub-Saharan Africa. South Asia reduced its GHI score substantially between 1990 and 1996, but this fast progress could not be maintained. Though Sub- Saharan Africa made less progress than South Asia after 1990, it has caught up since the turn of the millennium. From the 1990 GHI to the 2011 GHI, 15 countries were able to reduce their scores by 50 percent or more. Nineteen countries moved out of the bottom two categories extremely alarming and alarm- ing. In terms of absolute progress, Angola, Bangladesh, Ethiopia, Mo- zambique, Nicaragua, Niger, and Vietnam saw the largest improve- ments between the 1990 GHI and the 2011 GHI. Twenty-six countries still have levels of hunger that are ex- tremely alarming or alarming. The countries with extremely alarming 2011 GHI scores Burundi, Chad, the Democratic Republic of Con- go, and Eritrea are in Sub-Saharan Africa. Most of the countries with alarming GHI scores are in Sub-Saharan Africa and South Asia. Among the six countries in which the hunger situation worsened, the Democratic Republic of Congo stands out. Its GHI score rose by about 63 percent owing to conflict and political instability. (Because of time lags in the availability of data, the 2011 GHI does not reflect the im- pacts of the 201011 food price crisis or the 2011 famine in the Horn of Africa.) In recent years world food markets have been characterized by rising and more volatile prices. This situation has serious implications for poor and hungry people, who have little capacity to adjust to price spikes and rapid shifts. Price increases and volatility have arisen for three main reasons: increasing use of food crops for biofuels, extreme weather events and climate change, and increased volume of trading in commodity futures markets. These factors are exacerbated by high- ly concentrated export markets that leave the worlds staple food im- porters dependent on just a few countries, a historically low level of grain reserves, and a lack of timely information about the world food system that could help prevent overreaction to moderate shifts in sup- ply and demand. Price increases and price volatility have been shown to cut into poor households spending on a range of essential goods and ser…","author":[{"dropping-particle":"","family":"Grebmer","given":"Klaus","non-dropping-particle":"von","parse-names":false,"suffix":""},{"dropping-particle":"","family":"Saltzman","given":"Amy","non-dropping-particle":"","parse-names":false,"suffix":""},{"dropping-particle":"","family":"Birol","given":"Ekin","non-dropping-particle":"","parse-names":false,"suffix":""},{"dropping-particle":"","family":"Wiesmann","given":"Doris","non-dropping-particle":"","parse-names":false,"suffix":""},{"dropping-particle":"","family":"Prasai","given":"Nilam","non-dropping-particle":"","parse-names":false,"suffix":""},{"dropping-particle":"","family":"Yin","given":"Sandra","non-dropping-particle":"","parse-names":false,"suffix":""},{"dropping-particle":"","family":"Yohannes","given":"Yisehac","non-dropping-particle":"","parse-names":false,"suffix":""},{"dropping-particle":"","family":"Menon","given":"Purnima","non-dropping-particle":"","parse-names":false,"suffix":""},{"dropping-particle":"","family":"Thompson","given":"Jennifer","non-dropping-particle":"","parse-names":false,"suffix":""},{"dropping-particle":"","family":"Sonntag","given":"Andrea","non-dropping-particle":"","parse-names":false,"suffix":""}],"container-title":"Issue briefs","id":"ITEM-1","issued":{"date-parts":[["2014"]]},"title":"Synopsis of 2014 Global hunger index: The challenge of hidden hunger:","type":"article-journal"},"uris":["http://www.mendeley.com/documents/?uuid=0793ba7b-bd0c-467b-aebd-24d9a1eba575"]}],"mendeley":{"formattedCitation":"[28]","plainTextFormattedCitation":"[28]","previouslyFormattedCitation":"[30]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52BBFDA4" w14:textId="4CEE02E1"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Nutritional deficiencies of any form are often detrimental to the health of a child in their early years of life, their growth as well as their development. For children, their development in their first two years of life bears a lot of significance for their overall wellbeing later in life and is crucial in their brain development and physiology. In this regard, these years of their lives are the most crucial for motor and cognitive growth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previous studies in which the relationship between stunted growth and cognitive development in later life were assessed, evidence of an effect of stunting on child test scores was reported, with stunted children reporting significantly lower scores compared to non-stunted children. Malnourished children in these studies were argued to have smaller amounts of energy to distribute towards their intellectual growth, physical and emotional development, thus poor learning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malnutrition","type":"article-journal","volume":"4"},"uris":["http://www.mendeley.com/documents/?uuid=965497aa-a6b5-47dd-a30a-7a805e305907"]},{"id":"ITEM-2","itemData":{"DOI":"10.1093/jn/129.8.1555","ISSN":"00223166","PMID":"10419990","abstract":"Undernutrition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Nutrition","id":"ITEM-2","issue":"8","issued":{"date-parts":[["1999"]]},"page":"1555-1562","title":"Severity and timing of stunting in the first two years of life affect performance on cognitive tests in late childhood","type":"article-journal","volume":"129"},"uris":["http://www.mendeley.com/documents/?uuid=c68cf023-f693-496c-a872-9a6b189a662d"]}],"mendeley":{"formattedCitation":"[29,30]","plainTextFormattedCitation":"[29,30]","previouslyFormattedCitation":"[31,32]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[29,30]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adverse effects of malnutrition on the development of a child's cognitive and intellectual capacity are also examined in depth elsewhere.</w:t>
      </w:r>
    </w:p>
    <w:p w14:paraId="10FE549F" w14:textId="1D44A4AA"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Besides the noted effects of malnutrition on the cognitive development of a child, malnourishment has also been linked to reduced school attendance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America","id":"ITEM-1","issue":"33","issued":{"date-parts":[["2007"]]},"page":"13250-13255","title":"The economics, technology, and neuroscience of human capability formation","type":"article-journal","volume":"104"},"uris":["http://www.mendeley.com/documents/?uuid=f1c0f5cb-7548-44d6-b1ed-a97cade412a2"]},{"id":"ITEM-2","itemData":{"DOI":"10.1016/S0140-6736(08)60205-6","ISSN":"01406736","PMID":"18242415","abstract":"Background: Substantial, but indirect, evidence suggests that improving nutrition in early childhood in developing countries is a long-term economic investment. We investigated the direct effect of a nutrition intervention in early childhood on adult economic productivity. Methods: We obtained economic data from 1424 Guatemalan individuals (aged 25-42 years) between 2002 and 2004. They accounted for 60% of the 2392 children (aged 0-7 years) who had been enrolled in a nutrition intervention study during 1969-77. In this initial study, two villages were randomly assigned a nutritious supplement (atole) for all children and two villages a less nutritious one (fresco). We estimated annual income, hours worked, and average hourly wages from all economic activities. We used linear regression models, adjusting for potentially confounding factors, to assess the relation between economic variables and exposure to atole or fresco at specific ages between birth and 7 years. Findings: Exposure to atole before, but not after, age 3 years was associated with higher hourly wages, but only for men. For exposure to atole from 0 to 2 years, the increase was US$0·67 per hour (95% CI 0·16-1·17), which meant a 46% increase in average wages. There was a non-significant tendency for hours worked to be reduced and for annual incomes to be greater for those exposed to atole from 0 to 2 years. Interpretation: Improving nutrition in early childhood led to substantial increases in wage rates for men, which suggests that investments in early childhood nutrition can be long-term drivers of economic growth. © 2008 Elsevier Ltd. All rights reserved.","author":[{"dropping-particle":"","family":"Hoddinott","given":"John","non-dropping-particle":"","parse-names":false,"suffix":""},{"dropping-particle":"","family":"Maluccio","given":"John A.","non-dropping-particle":"","parse-names":false,"suffix":""},{"dropping-particle":"","family":"Behrman","given":"Jere R.","non-dropping-particle":"","parse-names":false,"suffix":""},{"dropping-particle":"","family":"Flores","given":"Rafael","non-dropping-particle":"","parse-names":false,"suffix":""},{"dropping-particle":"","family":"Martorell","given":"Reynaldo","non-dropping-particle":"","parse-names":false,"suffix":""}],"container-title":"The Lancet","id":"ITEM-2","issue":"9610","issued":{"date-parts":[["2008"]]},"page":"411-416","title":"Effect of a nutrition intervention during early childhood on economic productivity in Guatemalan adults","type":"article-journal","volume":"371"},"uris":["http://www.mendeley.com/documents/?uuid=88ba6456-1df9-4cf9-b5ca-0f6c78f5b3ba"]}],"mendeley":{"formattedCitation":"[31,32]","plainTextFormattedCitation":"[31,32]","previouslyFormattedCitation":"[33,34]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[31,32]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school drop-out, and the repetition of grades or classes or school years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Nutrition","id":"ITEM-1","issue":"8","issued":{"date-parts":[["1999"]]},"page":"1555-1562","title":"Severity and timing of stunting in the first two years of life affect performance on cognitive tests in late childhood","type":"article-journal","volume":"129"},"uris":["http://www.mendeley.com/documents/?uuid=c68cf023-f693-496c-a872-9a6b189a662d"]},{"id":"ITEM-2","itemData":{"DOI":"10.1371/journal.pone.0112605","ISSN":"19326203","PMID":"25405764","abstract":"Background: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ONE","id":"ITEM-2","issue":"11","issued":{"date-parts":[["2014"]]},"title":"Stunting, poor iron status and parasite infection are significant risk factors for lower cognitive performance in Cambodian school-aged children","type":"article-journal","volume":"9"},"uris":["http://www.mendeley.com/documents/?uuid=47cdfc06-cfc5-4bf3-9b55-f1433299bcf2"]},{"id":"ITEM-3","itemData":{"DOI":"10.3945/jn.114.200261","ISSN":"15416100","PMID":"25833785","abstract":"Background: Linear growth retardation (stunting) is associated with lower adult cognition, educational attainment, and income. These effects, together with possible effects of stunting on birth weight and subsequent growth of offspring, suggest that stunting could be associated with poor development in the next generation of children. Objective: The objective was to compare developmental levels in children born to parents who were stunted or nonstunted in early childhood. Methods: This is a prospective cohort study of the children of participants in the Jamaica supplementation and stimulation study. The analysis compared children born to a parent who was stunted at age 9-24 mo, and did not receive the stimulation intervention, with children born to a parent in the nonstunted group. Developmental levels were measured with the Griffiths mental development scales between ages 12 and 72 mo. Mixed model regression analyses were conducted to allow for clustering of children within families and child (repeat assessments). The analyses included 89 children with a total of 156 assessments. Caregiver and home characteristics associated with the developmental quotient (DQ) or any of the subscales were included in the regressions. Results: Children born to a stunted parent had lower DQs (-5.29 points; 95% CI: -9.06, -1.52 points; P = 0.01) and lower scores on the cognitive subscale (-5.77 points; 95% CI: -10.68, -0.87 points; P = 0.022). The offspring of stunted parents had lower height-for-age (-0.61 z scores; 95% CI: -1.13, -0.10 z scores; P = 0.021). In analyses, adjusting for child height-for-age or birth weight, the developmental differences remained significant. Conclusions: To our knowledge, this is the first report comparing the development of offspring of persons stunted in early childhood to the development of offspring of nonstunted parents. The findings suggest that the impact of stunting on development continues in the next generation of children. If replicated, these findings have important implications for estimation of the cost of stunting to social and economic development.","author":[{"dropping-particle":"","family":"Walker","given":"Susan P.","non-dropping-particle":"","parse-names":false,"suffix":""},{"dropping-particle":"","family":"Chang","given":"Susan M.","non-dropping-particle":"","parse-names":false,"suffix":""},{"dropping-particle":"","family":"Wright","given":"Amika","non-dropping-particle":"","parse-names":false,"suffix":""},{"dropping-particle":"","family":"Osmond","given":"Clive","non-dropping-particle":"","parse-names":false,"suffix":""},{"dropping-particle":"","family":"Grantham-McGregor","given":"Sally M.","non-dropping-particle":"","parse-names":false,"suffix":""}],"container-title":"Journal of Nutrition","id":"ITEM-3","issue":"4","issued":{"date-parts":[["2015"]]},"page":"823-828","title":"Early childhood stunting is associated with lower developmental levels in the subsequent generation of children","type":"article-journal","volume":"145"},"uris":["http://www.mendeley.com/documents/?uuid=ba7f214a-db72-4c1a-b064-26b3657d355a"]}],"mendeley":{"formattedCitation":"[30,33,34]","plainTextFormattedCitation":"[30,33,34]","previouslyFormattedCitation":"[32,35,36]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[30,33,34]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Stunting has also been identified and reported as a significant risk factor for chronic infections that are nutrition-related, non-optimal child development and growth, poor health as well as reduced productivity throughout life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{"citationItems":[{"id":"ITEM-1","itemData":{"DOI":"10.1093/jn/137.11.2464","ISSN":"15416100","PMID":"17951486","abstract":"Stunting is associated with deficits in cognition and school achievement from early childhood to late adolescence; however, there has been little investigation of emotional and behavioral outcomes. The objective of this study was to determine whether linear growth retardation (stunting) in early childhood is associated with poorer psychological functioning in late adolescence. The study was a prospective cohort study of stunted and nonstunted children. Participants were identified at age 9-24 mo by a survey of poor neighborhoods in Kingston, Jamaica, and a 2-y intervention trial of supplementation and stimulation was conducted in the stunted children. Psychological functioning was assessed at age 17 y in 103 of 129 stunted children enrolled and 64 of 84 nonstunted participants. Anxiety, depressive symptoms, self-esteem, and antisocial behavior were reported by participants using interviewer-administered questionnaires and attention deficit, hyperactivity, and oppositional behavior were reported by parent interviews. The stunted participants reported significantly more anxiety (regression coefficient = 3.03; 95% CI = 0.99, 5.08) and depressive symptoms (0.37; 95% CI = 0.01, 0.72) and lower self-esteem (-1.67; 95% CI = -0.38, -2.97) than nonstunted participants and were reported by their parents to be more hyperactive (1.29; 95% CI = 0.12, 2.46). Effect sizes were 0.4-0.5 SD. Participants who received stimulation in early childhood differed from the nonstunted group in hyperactivity only. Children stunted before age 2 y thus have poorer emotional and behavioral outcomes in late adolescence. The findings expand the range of disadvantages associated with early stunting, which affects 151 million children &lt;5 y old in developing countries. © 2007 American Society for Nutrition.","author":[{"dropping-particle":"","family":"Walker","given":"Susan P.","non-dropping-particle":"","parse-names":false,"suffix":""},{"dropping-particle":"","family":"Chang","given":"Susan M.","non-dropping-particle":"","parse-names":false,"suffix":""},{"dropping-particle":"","family":"Powell","given":"Christine A.","non-dropping-particle":"","parse-names":false,"suffix":""},{"dropping-particle":"","family":"Simonoff","given":"Emily","non-dropping-particle":"","parse-names":false,"suffix":""},{"dropping-particle":"","family":"Grantham-McGregor","given":"Sally M.","non-dropping-particle":"","parse-names":false,"suffix":""}],"container-title":"Journal of Nutrition","id":"ITEM-1","issue":"11","issued":{"date-parts":[["2007"]]},"page":"2464-2469","title":"Early childhood stunting is associated with poor psychological functioning in late adolescence and effects are reduced by psychosocial stimulation","type":"article-journal","volume":"137"},"uris":["http://www.mendeley.com/documents/?uuid=cdd23e9b-3235-4d96-9ee9-2e88bc2fa760"]},{"id":"ITEM-2","itemData":{"DOI":"10.1186/s12939-016-0477-7","ISSN":"14759276","PMID":"27852266","abstract":"Background: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mendeley":{"formattedCitation":"[35,36]","plainTextFormattedCitation":"[35,36]","previouslyFormattedCitation":"[37,38]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[35,36]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De Vita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also reported the </w:t>
      </w:r>
      <w:r w:rsidRPr="003C12F4">
        <w:rPr>
          <w:rFonts w:ascii="Helvetica" w:eastAsia="MS Mincho" w:hAnsi="Helvetica" w:cs="Helvetica"/>
          <w:sz w:val="24"/>
          <w:szCs w:val="24"/>
          <w:lang w:val="en-GB"/>
        </w:rPr>
        <w:lastRenderedPageBreak/>
        <w:t xml:space="preserve">significant contribution of wasting to childhood illnesses, including cough and diarrhoea. In understanding the socioeconomic disparities that exist in the Kenyan child malnutrition burden, the knowledge of the Kenyan </w:t>
      </w:r>
      <w:proofErr w:type="gramStart"/>
      <w:r w:rsidRPr="003C12F4">
        <w:rPr>
          <w:rFonts w:ascii="Helvetica" w:eastAsia="MS Mincho" w:hAnsi="Helvetica" w:cs="Helvetica"/>
          <w:sz w:val="24"/>
          <w:szCs w:val="24"/>
          <w:lang w:val="en-GB"/>
        </w:rPr>
        <w:t>socio-economics</w:t>
      </w:r>
      <w:proofErr w:type="gramEnd"/>
      <w:r w:rsidRPr="003C12F4">
        <w:rPr>
          <w:rFonts w:ascii="Helvetica" w:eastAsia="MS Mincho" w:hAnsi="Helvetica" w:cs="Helvetica"/>
          <w:sz w:val="24"/>
          <w:szCs w:val="24"/>
          <w:lang w:val="en-GB"/>
        </w:rPr>
        <w:t xml:space="preserve"> and their relationship with stunting as an indicator of child malnutrition suffices.</w:t>
      </w:r>
    </w:p>
    <w:p w14:paraId="08011BA7"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Socioeconomic disparities in child malnutrition</w:t>
      </w:r>
    </w:p>
    <w:p w14:paraId="2D8E7883" w14:textId="3EB01D9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falls under middle-income countries based on the global classification using the Gross National Income (GNI) per capita, in which countries are classified into three categories based on their incomes as either low, middle, or high-income countries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attainment of the middle-income classification status by a country is often seen as an indication of</w:t>
      </w:r>
      <w:r w:rsidR="00CC2EFC">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progress resulting from such activities</w:t>
      </w:r>
      <w:r w:rsidR="007145E9">
        <w:rPr>
          <w:rFonts w:ascii="Helvetica" w:eastAsia="MS Mincho" w:hAnsi="Helvetica" w:cs="Helvetica"/>
          <w:sz w:val="24"/>
          <w:szCs w:val="24"/>
          <w:lang w:val="en-GB"/>
        </w:rPr>
        <w:t xml:space="preserve"> as </w:t>
      </w:r>
      <w:r w:rsidRPr="003C12F4">
        <w:rPr>
          <w:rFonts w:ascii="Helvetica" w:eastAsia="MS Mincho" w:hAnsi="Helvetica" w:cs="Helvetica"/>
          <w:sz w:val="24"/>
          <w:szCs w:val="24"/>
          <w:lang w:val="en-GB"/>
        </w:rPr>
        <w:t xml:space="preserve">heightened investments across all government sectors and improved productivity. Shifts in a country's classification from low to middle, then to high-income classification are thus regarded as an indication of economic advancement. As expected of </w:t>
      </w:r>
      <w:proofErr w:type="gramStart"/>
      <w:r w:rsidRPr="003C12F4">
        <w:rPr>
          <w:rFonts w:ascii="Helvetica" w:eastAsia="MS Mincho" w:hAnsi="Helvetica" w:cs="Helvetica"/>
          <w:sz w:val="24"/>
          <w:szCs w:val="24"/>
          <w:lang w:val="en-GB"/>
        </w:rPr>
        <w:t>positive growth</w:t>
      </w:r>
      <w:proofErr w:type="gramEnd"/>
      <w:r w:rsidRPr="003C12F4">
        <w:rPr>
          <w:rFonts w:ascii="Helvetica" w:eastAsia="MS Mincho" w:hAnsi="Helvetica" w:cs="Helvetica"/>
          <w:sz w:val="24"/>
          <w:szCs w:val="24"/>
          <w:lang w:val="en-GB"/>
        </w:rPr>
        <w:t xml:space="preserve">, such advancements in the country's classification are expected to positively impact the wellbeing of a country's population. For instance, economic advancements are expected to create employment opportunities, which translate into increases in the amount of disposable income, improved health, and education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{"citationItems":[{"id":"ITEM-1","itemData":{"DOI":"10.1016/j.worlddev.2003.07.002","ISSN":"0305750X","abstract":"We estimate a production function model of aggregate economic growth including two variables that microeconomists have identified as fundamental components of human capital: work experience and health. Our main result is that good health has a positive, sizable, and statistically significant effect on aggregate output even when we control for experience of the workforce. We argue that the life expectancy effect in growth regressions appears to be a real labor productivity effect, and is not the result of life expectancy acting as a proxy for worker experience. © 2003 Elsevier Ltd. All rights reserved.","author":[{"dropping-particle":"","family":"Bloom","given":"David E.","non-dropping-particle":"","parse-names":false,"suffix":""},{"dropping-particle":"","family":"Canning","given":"David","non-dropping-particle":"","parse-names":false,"suffix":""},{"dropping-particle":"","family":"Sevilla","given":"Jaypee","non-dropping-particle":"","parse-names":false,"suffix":""}],"container-title":"World Development","id":"ITEM-1","issue":"1","issued":{"date-parts":[["2004"]]},"page":"1-13","title":"The effect of health on economic growth: A production function approach","type":"article-journal","volume":"32"},"uris":["http://www.mendeley.com/documents/?uuid=ca8bbaf5-225a-4f8c-98bd-7dd34ad94925"]},{"id":"ITEM-2","itemData":{"DOI":"10.1016/S0305-750X(99)00131-X","ISSN":"0305750X","abstract":"The connections between economic growth (EG) and human development (HD) form two chains. Crosscountry regressions show a significant relationship in both directions, with public expenditures on health and education, notably female, especially important in the chain from EG to HD; and the investment rate and income distribution significant in the HD to EG chain. This gives rise to virtuous or vicious cycles, with good or bad performance on HD and EG reinforcing each other. Evidence over time has strong sequencing implications: countries initially favoring economic growth lapse into the vicious category, while those with good HD and poor EG sometimes move into the virtuous category. Where choice is necessary human development should be given sequencing priority. (C) 2000 Elsevier Science Ltd. All rights reserved.","author":[{"dropping-particle":"","family":"Ranis","given":"Gustav","non-dropping-particle":"","parse-names":false,"suffix":""},{"dropping-particle":"","family":"Stewart","given":"Frances","non-dropping-particle":"","parse-names":false,"suffix":""},{"dropping-particle":"","family":"Ramirez","given":"Alejandro","non-dropping-particle":"","parse-names":false,"suffix":""}],"container-title":"World Development","id":"ITEM-2","issue":"2","issued":{"date-parts":[["2000"]]},"page":"197-219","title":"Economic growth and human development","type":"article-journal","volume":"28"},"uris":["http://www.mendeley.com/documents/?uuid=1d6b653c-22ac-4250-bffb-5fab15a67537"]}],"mendeley":{"formattedCitation":"[37,38]","plainTextFormattedCitation":"[37,38]","previouslyFormattedCitation":"[39,40]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[37,38]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Improvements in the standards of living following economic advancements are expected to translate into exceptional and improved nutritional consequences for both children as well as adults. Even so, whilst economic growth—the upward shift of a country from low to middle and high-income status—has been regarded as an indicator of a </w:t>
      </w:r>
      <w:r w:rsidRPr="003C12F4">
        <w:rPr>
          <w:rFonts w:ascii="Helvetica" w:eastAsia="MS Mincho" w:hAnsi="Helvetica" w:cs="Helvetica"/>
          <w:sz w:val="24"/>
          <w:szCs w:val="24"/>
          <w:lang w:val="en-GB"/>
        </w:rPr>
        <w:lastRenderedPageBreak/>
        <w:t xml:space="preserve">country's overall wellbeing, with 70% of the world's most impoverished individuals living in middle-income countries, the reality could not be further from the truth, which points to a lack of equity in the distribution of the prospects of economic growth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{"citationItems":[{"id":"ITEM-1","itemData":{"DOI":"10.1002/jid.2861","ISSN":"09541748","abstract":"Two decades ago, most of the world's poor lived in countries officially classified as low income. Now, most of the world's poor live in middle-income countries. The shift has been brought about by fast growth in a number of countries with large populations. This 'new geography of global poverty'-with the mass of the poor not living in the world's poorest countries-raises questions for the current model of development assistance, where national per capita income is a key determinant of the volume and composition of aid flows. This paper reprises the changes in global poverty and discusses the case for continued development assistance to middle-income countries. © 2012 John Wiley &amp; Sons, Ltd.","author":[{"dropping-particle":"","family":"Kanbur","given":"Ravi","non-dropping-particle":"","parse-names":false,"suffix":""},{"dropping-particle":"","family":"Sumner","given":"Andy","non-dropping-particle":"","parse-names":false,"suffix":""}],"container-title":"Journal of International Development","id":"ITEM-1","issue":"6","issued":{"date-parts":[["2012"]]},"page":"686-695","title":"Poor countries or poor people? Development assistance and the new geography of global poverty","type":"article-journal","volume":"24"},"uris":["http://www.mendeley.com/documents/?uuid=3b4b0a09-feee-4a48-9c47-8a9adb641ae0"]}],"mendeley":{"formattedCitation":"[39]","plainTextFormattedCitation":"[39]","previouslyFormattedCitation":"[41]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DB1FED3" w14:textId="31B4AA04"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Even though the economic status associated with a country has been shown in previous studies to result in the improved health status of a population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{"citationItems":[{"id":"ITEM-1","itemData":{"DOI":"10.1016/0167-6296(95)00032-1","ISSN":"01676296","PMID":"10157429","abstract":"Using data from the National Survey of Families and Households, the Survey of Income and Program Participation, and the National Health Interview Survey, I estimate the structural impact of income on the following measures of health: self-assessed health status, work and functional limitations, bed days, average daily consumption of alcohol, and scales of depressive symptoms and alcoholic behavior. Both ordinary and IV estimates indicate that increases in income significantly improve mental and physical health but increase the prevalence of alcohol consumption. Cost-benefit analyses of government policies that may reduce disposable income should take into account potential effects on morbidity.","author":[{"dropping-particle":"","family":"Ettner","given":"Susan L.","non-dropping-particle":"","parse-names":false,"suffix":""}],"container-title":"Journal of Health Economics","id":"ITEM-1","issue":"1","issued":{"date-parts":[["1996"]]},"page":"67-85","title":"New evidence on the relationship between income and health","type":"article-journal","volume":"15"},"uris":["http://www.mendeley.com/documents/?uuid=fd800b1e-3fd8-4d20-8541-959383b3515e"]},{"id":"ITEM-2","itemData":{"DOI":"10.1377/hlthaff.21.2.31","ISSN":"02782715","PMID":"11900185","abstract":"Income is related to health in three ways: through the gross national product of countries, the income of individuals, and the income inequalities among rich nations and among geographic areas. A central question is the degree to which these associations reflect a causal association. If so, redistribution of income would improve health. This paper discusses two ways in which income could be causally related to health: through a direct effect on the material conditions necessary for biological survival, and through an effect on social participation and opportunity to control life circumstances. The fewer goods and services are provided publicly by the community, the more important individual income is for health. Under present U.S. circumstances, a policy of counteracting growing income inequalities through the tax and benefit system and of public provision appears justified.","author":[{"dropping-particle":"","family":"Marmot","given":"Michael","non-dropping-particle":"","parse-names":false,"suffix":""}],"container-title":"Health Affairs","id":"ITEM-2","issue":"2","issued":{"date-parts":[["2002"]]},"page":"31-46","title":"The influence of income on health: Views of an epidemiologist","type":"article-journal","volume":"21"},"uris":["http://www.mendeley.com/documents/?uuid=6a91caab-e12b-43ab-94bb-bb17c8f0318a"]}],"mendeley":{"formattedCitation":"[40,41]","plainTextFormattedCitation":"[40,41]","previouslyFormattedCitation":"[42,43]"},"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[40,41]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being economically advanced does not translate to equitable distribution of the positive prospects, which more often than not tend to be skewed where some parts or groups of people tend to benefit over and above others. Evidence suggests that the incidence of socioeconomic disparities in the context of developing countries has become increasingly persistent for countries including Nigeria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Lancet","id":"ITEM-1","issued":{"date-parts":[["2008"]]},"title":"Maternal and child undernutrition: consequences for adult health and human capital","type":"article"},"uris":["http://www.mendeley.com/documents/?uuid=4ba7f34c-ea68-4b7e-a602-c8119afa47cc"]}],"mendeley":{"formattedCitation":"[20]","plainTextFormattedCitation":"[20]","previouslyFormattedCitation":"[22]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and Kenya, where stunting prevalence remains considerably high in comparison to other malnutrition indicators, (underweight and wasting) despite notable advancements aimed at improving the status quo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mendeley":{"formattedCitation":"[42]","plainTextFormattedCitation":"[42]","previouslyFormattedCitation":"[44]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089B833" w14:textId="64122424"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has made some recommendable efforts in reducing the burden of malnutrition as part of the Standard Development Goals (SDGs), which have considerably reduced the rate of stunting, even so, the overall prevalence of the condition remains larger than those observed for other forms of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[17,42]","plainTextFormattedCitation":"[17,42]","previouslyFormattedCitation":"[19,44]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[17,42]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With about 25% of the child population of Kenya suffering from acute malnutrition as of 2015, coupled with the danger posed on child growth and survival as well as wellbeing, the consequences of malnutrition should be of substantial interest to the government, public health professionals as well as policymakers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feedthefuture.gov/country/kenya/","accessed":{"date-parts":[["2021","2","12"]]},"author":[{"dropping-particle":"","family":"USAID","given":"","non-dropping-particle":"","parse-names":false,"suffix":""}],"container-title":"USAID-Feed the Future","id":"ITEM-1","issued":{"date-parts":[["2017"]]},"title":"Country Profile Kenya | Feed the Future","type":"webpage"},"uris":["http://www.mendeley.com/documents/?uuid=03a148b9-6d95-3efd-aed3-83b096bda829"]}],"mendeley":{"formattedCitation":"[7]","plainTextFormattedCitation":"[7]","previouslyFormattedCitation":"[7]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Moreover, even though there is a </w:t>
      </w:r>
      <w:r w:rsidRPr="003C12F4">
        <w:rPr>
          <w:rFonts w:ascii="Helvetica" w:eastAsia="MS Mincho" w:hAnsi="Helvetica" w:cs="Helvetica"/>
          <w:sz w:val="24"/>
          <w:szCs w:val="24"/>
          <w:lang w:val="en-GB"/>
        </w:rPr>
        <w:lastRenderedPageBreak/>
        <w:t xml:space="preserve">substantial fund of knowledge with regards to the socioeconomic disparities in child malnutrition, papers that pay significant attention to the status of Kenya as a country are deficient. Most of the available literature examines the area through the employment of a comparative approach, which makes the findings relatively obscured or did not use updated data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{"citationItems":[{"id":"ITEM-1","itemData":{"DOI":"10.3390/nu12010253","ISSN":"20726643","PMID":"31963768","abstract":"Stunting in children less than five years of age is widespread in Sub-Saharan Africa. We aimed to: (i) evaluate how the prevalence of stunting has changed by socio-economic status and rural/urban residence, and (ii) assess inequalities in children’s diet quality and access to maternal and child health care. We used data from nationally representative demographic and health- and multiple indicator cluster-surveys (DHS and MICS) to disaggregate the stunting prevalence by wealth quintile and rural/urban residence. The composite coverage index (CCI) reflecting weighed coverage of eight preventive and curative Reproductive, Maternal, Neonatal, and Child Health (RMNCH) interventions was used as a proxy for access to health care, and Minimum Dietary Diversity Score (MDDS) was used as a proxy for child diet quality. Stunting significantly decreased over the past decade, and reductions were faster for the most disadvantaged groups (rural and poorest wealth quintile), but in only 50% of the countries studied. Progress in reducing stunting has not been accompanied by improved equity as inequalities in MDDS (p &lt; 0.01) and CCI (p &lt; 0.001) persist by wealth quintile and rural-urban residence. Aligning food- and health-systems’ interventions is needed to accelerate stunting reduction more equitably.","author":[{"dropping-particle":"","family":"Baye","given":"Kaleab","non-dropping-particle":"","parse-names":false,"suffix":""},{"dropping-particle":"","family":"Laillou","given":"Arnaud","non-dropping-particle":"","parse-names":false,"suffix":""},{"dropping-particle":"","family":"Chitweke","given":"Stanley","non-dropping-particle":"","parse-names":false,"suffix":""}],"container-title":"Nutrients","id":"ITEM-1","issue":"1","issued":{"date-parts":[["2020"]]},"title":"Socio-economic inequalities in child stunting reduction in sub-Saharan Africa","type":"article-journal","volume":"12"},"uris":["http://www.mendeley.com/documents/?uuid=a3245c95-abd9-4729-bdc1-443235a323b9"]},{"id":"ITEM-2","itemData":{"abstract":"Over the past two decades Sub-Saharan African countries have experienced accelerated economic growth. This positive trend represents a huge opportunity to improve the living standards of millions of Africans and foster inclusive and sustainable development. At the regional level however, such improvements do not seem to have translated into higher human development. Child malnutrition indicators in particular have registered some relatively limited advances. This paper contributes to the literature by providing a more accurate and nuanced view on the progress made with regards to child malnutrition and inequalities across Sub-Saharan Africa. Focusing on a sample of seven countries – Burkina, Kenya, Malawi, Rwanda, Cameroon, Ghana and Nigeria this studies analyzes the evolution of three anthropometric indicators: underweight, stunting and wasting, and elaborates a classification of countries based on how inequalities in child malnutrition have changed over the past two decades. Three main types of trajectories can be identified: first, the case of countries where improvements in aggregate malnutrition have been offset by large increases in inequality (Cameroon, Rwanda and Nigeria); second, the case of countries where progress in malnutrition has translated into modest reductions in inequality (Kenya); third, the case of countries that have been successful in reducing both aggregate malnutrition and inequality (Burkina Faso, Malawi and Ghana).One strong finding of the analysis is that the countries that have registered the highest improvements in overall malnutrition rates are not the countries that have experienced the highest growth rates, indicating that changes in malnutrition are not proportionate to the pace of economic growth. Furthermore, the countries that managed to reduce inequalities the mostwere not systematically the ones with the highest growth rates either, indicating that policies need to address the constraints of the most vulnerable households for growth to be both nutrition-sensitive and inclusive.","author":[{"dropping-particle":"","family":"Garcia","given":"Viridiana","non-dropping-particle":"","parse-names":false,"suffix":""}],"container-title":"undp.org","id":"ITEM-2","issue":"March","issued":{"date-parts":[["2012"]]},"number-of-pages":"1-42","title":"Children Malnutrition and Horizontal Inequalities in Sub-Saharan Africa : A Focus on Contrasting Domestic Trajectories","type":"report"},"uris":["http://www.mendeley.com/documents/?uuid=3aa5e9d7-5352-3c57-9416-3e30a828c17d"]},{"id":"ITEM-3","itemData":{"DOI":"10.1186/s13690-018-0320-2","ISSN":"20493258","abstract":"Background: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Health","id":"ITEM-3","issue":"1","issued":{"date-parts":[["2018"]]},"title":"A comparative analysis of socioeconomic inequities in stunting: A case of three middle-income African countries","type":"article-journal","volume":"76"},"uris":["http://www.mendeley.com/documents/?uuid=2a673f33-fc67-4faa-9ff9-279c8b129d36"]},{"id":"ITEM-4","itemData":{"DOI":"10.1111/j.1728-4457.2011.00453.x","ISSN":"00987921","PMID":"22319770","abstract":"Consistent with the increasing focus on issues of equity in developing countries, I extend the literature analyzing the relationship between economic inequality and individual health to the developing world. Using survey data from Bangladesh and Kenya with economic status measured by a wealth index and with three different geographic definitions of community, I analyze six competing hypotheses for how economic inequality may be related to stunting among children younger than 5 years old. I find little support for the predominant hypothesis that economic inequality as measured by a Gini index is an important predictor of individual health. Instead, I find that the difference between a household's wealth and the mean household wealth in the community is the measure of economic inequality that is most closely related to stunting in these countries. In particular, a 1 standard deviation increase in household wealth relative to the community mean is associated with a 30-32 percent decrease in the odds of stunting in Bangladesh and a 16-21 percent decrease in the odds of stunting in Kenya. © 2011 The Population Council, Inc.","author":[{"dropping-particle":"","family":"Reinbold","given":"Gary W.","non-dropping-particle":"","parse-names":false,"suffix":""}],"container-title":"Population and Development Review","id":"ITEM-4","issue":"4","issued":{"date-parts":[["2011"]]},"page":"691-719","title":"Economic inequality and child stunting in Bangladesh and Kenya: An investigation of six hypotheses","type":"article-journal","volume":"37"},"uris":["http://www.mendeley.com/documents/?uuid=209aaf0f-3ce7-4d6f-9477-4926b7829215"]}],"mendeley":{"formattedCitation":"[17,43–45]","plainTextFormattedCitation":"[17,43–45]","previouslyFormattedCitation":"[19,45–47]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[17,43–45]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On the other hand, even though literature examines the crucial determinants of stunting among children, including poverty, gender, household wealth index, sanitation access, and infections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{"citationItems":[{"id":"ITEM-1","itemData":{"DOI":"10.1016/j.worlddev.2014.09.022","ISSN":"0305750X","abstract":"Although South Asia has long been synonymous with persistent and unusually high rates of child undernutrition - the so called Asian Enigma - Bangladesh has managed to sustain a surprisingly rapid reduction in the rate of child undernutrition for at least two decades. We investigate this unheralded success through a regression and decomposition analysis of changes in child growth outcomes across five rounds of DHS surveys from 1997 to 2011. We find that rapid wealth accumulation and large gains in parental education are the two largest drivers of change, though health, sanitation, and demographic factors have played significant secondary roles.","author":[{"dropping-particle":"","family":"Headey","given":"Derek","non-dropping-particle":"","parse-names":false,"suffix":""},{"dropping-particle":"","family":"Hoddinott","given":"John","non-dropping-particle":"","parse-names":false,"suffix":""},{"dropping-particle":"","family":"Ali","given":"Disha","non-dropping-particle":"","parse-names":false,"suffix":""},{"dropping-particle":"","family":"Tesfaye","given":"Roman","non-dropping-particle":"","parse-names":false,"suffix":""},{"dropping-particle":"","family":"Dereje","given":"Mekdim","non-dropping-particle":"","parse-names":false,"suffix":""}],"container-title":"World Development","id":"ITEM-1","issued":{"date-parts":[["2015"]]},"page":"749-761","title":"The Other Asian Enigma: Explaining the Rapid Reduction of Undernutrition in Bangladesh","type":"article-journal","volume":"66"},"uris":["http://www.mendeley.com/documents/?uuid=c8244def-cd57-47bf-a80d-07d1c24e3db7"]},{"id":"ITEM-2","itemData":{"DOI":"10.1002/hec.1462","ISSN":"10579230","PMID":"19294635","abstract":"This paper argues that indicators of anthropometric shortfall - especially low height and low weight-for-age - are uniquely suited for assessing absolute deprivation in developing countries. Anthropometric indicators are relatively precise, readily available for most countries, reflect the preferences and concerns of many poor people, consistent with reckoning the phenomenon directly in the space of functionings, intuitive, easy to use for advocacy, and consistent over time and across subgroups. Anthropometric indicators can therefore complement (but not replace) standard indicators of income/consumption poverty, especially for comparisons across subgroups, within households, across countries, and in the long run. In addition, the paper analyses spells of change in malnutrition over time, finding that the association between economic growth and chronic child malnutrition is very small (but statistically significant) and much lower than the elasticity of growth on poverty. The policy implication of this finding is that direct interventions aimed at reducing infant malnutrition are required. Copyright © 2009 John Wiley &amp; Sons, Ltd.","author":[{"dropping-particle":"","family":"Heltberg","given":"Rasmus","non-dropping-particle":"","parse-names":false,"suffix":""}],"container-title":"Health Economics","id":"ITEM-2","issue":"SUPPL. 1","issued":{"date-parts":[["2009"]]},"title":"Malnutrition, poverty, and economic growth","type":"article-journal","volume":"18"},"uris":["http://www.mendeley.com/documents/?uuid=dd6c9c3c-abdc-4aa1-8799-419086249a22"]},{"id":"ITEM-3","itemData":{"DOI":"10.1016/S0140-6736(11)60555-2","ISSN":"1474547X","PMID":"21944375","abstract":"Inequality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Lancet","id":"ITEM-3","issue":"9799","issued":{"date-parts":[["2011"]]},"page":"1325-1338","title":"Inequality in early childhood: Risk and protective factors for early child development","type":"article","volume":"378"},"uris":["http://www.mendeley.com/documents/?uuid=e124cab9-39ad-4a34-b6fc-dc162d7cb15e"]}],"mendeley":{"formattedCitation":"[46–48]","plainTextFormattedCitation":"[46–48]","previouslyFormattedCitation":"[48–50]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[46–48]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it is not apparent whether the determinants hold, specifically for Kenya as an independent country.</w:t>
      </w:r>
    </w:p>
    <w:p w14:paraId="7E6C444E" w14:textId="6F933270" w:rsidR="003C12F4" w:rsidRPr="003C12F4" w:rsidRDefault="002832FF"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This study makes </w:t>
      </w:r>
      <w:r w:rsidR="003C12F4" w:rsidRPr="003C12F4">
        <w:rPr>
          <w:rFonts w:ascii="Helvetica" w:eastAsia="MS Mincho" w:hAnsi="Helvetica" w:cs="Helvetica"/>
          <w:sz w:val="24"/>
          <w:szCs w:val="24"/>
          <w:lang w:val="en-GB"/>
        </w:rPr>
        <w:t xml:space="preserve">a significant contribution to the available fund of knowledge on the trends of socioeconomic disproportions in the Kenyan malnutrition burden, with a bias in examining trends in stunting across socioeconomic groups and geographical locations. </w:t>
      </w:r>
      <w:r w:rsidR="00B2018F">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 xml:space="preserve">also examine the determinants of stunting disparities in Kenya and how these changes vary through time. </w:t>
      </w:r>
      <w:r w:rsidR="00E230AC">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 xml:space="preserve">employ standard procedures of inequality to quantify the trends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Health","id":"ITEM-1","issue":"1","issued":{"date-parts":[["2016"]]},"title":"Trends and determinants of inequities in childhood stunting in Bangladesh from 1996/7 to 2014","type":"article-journal","volume":"15"},"uris":["http://www.mendeley.com/documents/?uuid=3ed90e00-b359-4091-a1ee-39f5eb69b81d"]}],"mendeley":{"formattedCitation":"[36]","plainTextFormattedCitation":"[36]","previouslyFormattedCitation":"[38]"},"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[36]</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and decompose vicissitudes in the concentration index to determine the factors that explain the detected subtleties exhaustively, that is, the factors that drive the socioeconomic disparities in stunting in Kenya. The study</w:t>
      </w:r>
      <w:r w:rsidR="00B2018F">
        <w:rPr>
          <w:rFonts w:ascii="Helvetica" w:eastAsia="MS Mincho" w:hAnsi="Helvetica" w:cs="Helvetica"/>
          <w:sz w:val="24"/>
          <w:szCs w:val="24"/>
          <w:lang w:val="en-GB"/>
        </w:rPr>
        <w:t xml:space="preserve"> utilizes</w:t>
      </w:r>
      <w:r w:rsidR="003C12F4" w:rsidRPr="003C12F4">
        <w:rPr>
          <w:rFonts w:ascii="Helvetica" w:eastAsia="MS Mincho" w:hAnsi="Helvetica" w:cs="Helvetica"/>
          <w:sz w:val="24"/>
          <w:szCs w:val="24"/>
          <w:lang w:val="en-GB"/>
        </w:rPr>
        <w:t xml:space="preserve"> data from the Kenya Demographic Health Survey (DHS) spanning twelve years (2003 to 2015) to </w:t>
      </w:r>
      <w:proofErr w:type="spellStart"/>
      <w:r w:rsidR="003C12F4" w:rsidRPr="003C12F4">
        <w:rPr>
          <w:rFonts w:ascii="Helvetica" w:eastAsia="MS Mincho" w:hAnsi="Helvetica" w:cs="Helvetica"/>
          <w:sz w:val="24"/>
          <w:szCs w:val="24"/>
          <w:lang w:val="en-GB"/>
        </w:rPr>
        <w:t>analyze</w:t>
      </w:r>
      <w:proofErr w:type="spellEnd"/>
      <w:r w:rsidR="003C12F4" w:rsidRPr="003C12F4">
        <w:rPr>
          <w:rFonts w:ascii="Helvetica" w:eastAsia="MS Mincho" w:hAnsi="Helvetica" w:cs="Helvetica"/>
          <w:sz w:val="24"/>
          <w:szCs w:val="24"/>
          <w:lang w:val="en-GB"/>
        </w:rPr>
        <w:t xml:space="preserve"> the scope of the problem comprehensively, specifically focusing on children below the age of five years. </w:t>
      </w:r>
    </w:p>
    <w:p w14:paraId="527F4EA3" w14:textId="77777777" w:rsidR="00C02101" w:rsidRPr="003C12F4" w:rsidRDefault="00C02101" w:rsidP="00C02101">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Measurement of socioeconomic status</w:t>
      </w:r>
    </w:p>
    <w:p w14:paraId="78F891E3" w14:textId="77803117" w:rsidR="00C02101" w:rsidRPr="003C12F4" w:rsidRDefault="00C02101" w:rsidP="00C02101">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Since the Demographic Health Surveys do not collect data related to income as well as expenditure, </w:t>
      </w:r>
      <w:r>
        <w:rPr>
          <w:rFonts w:ascii="Helvetica" w:eastAsia="MS Mincho" w:hAnsi="Helvetica" w:cs="Helvetica"/>
          <w:sz w:val="24"/>
          <w:szCs w:val="24"/>
          <w:lang w:val="en-GB"/>
        </w:rPr>
        <w:t xml:space="preserve">we </w:t>
      </w:r>
      <w:r w:rsidRPr="003C12F4">
        <w:rPr>
          <w:rFonts w:ascii="Helvetica" w:eastAsia="MS Mincho" w:hAnsi="Helvetica" w:cs="Helvetica"/>
          <w:sz w:val="24"/>
          <w:szCs w:val="24"/>
          <w:lang w:val="en-GB"/>
        </w:rPr>
        <w:t xml:space="preserve">employed a wealth index as a proxy for </w:t>
      </w:r>
      <w:r w:rsidRPr="003C12F4">
        <w:rPr>
          <w:rFonts w:ascii="Helvetica" w:eastAsia="MS Mincho" w:hAnsi="Helvetica" w:cs="Helvetica"/>
          <w:sz w:val="24"/>
          <w:szCs w:val="24"/>
          <w:lang w:val="en-GB"/>
        </w:rPr>
        <w:lastRenderedPageBreak/>
        <w:t xml:space="preserve">socioeconomic status. The wealth index was calculated through the employment of principal component analysis (PCA) applied to collective wealth variables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{"citationItems":[{"id":"ITEM-1","itemData":{"DOI":"10.1353/dem.2001.0003","ISSN":"0070-3370","PMID":"11227840","abstract":"Using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Bihar.","author":[{"dropping-particle":"","family":"Filmer","given":"Deon","non-dropping-particle":"","parse-names":false,"suffix":""},{"dropping-particle":"","family":"Pritchett","given":"Lant H.","non-dropping-particle":"","parse-names":false,"suffix":""}],"container-title":"Demography","id":"ITEM-1","issue":"1","issued":{"date-parts":[["2001"]]},"page":"115-132","title":"Estimating wealth effects without expenditure data—or tears: An application to educational enrollments in states of India","type":"article-journal","volume":"38"},"uris":["http://www.mendeley.com/documents/?uuid=f3fe75ec-8b36-44e3-9276-4c211e7a4890"]}],"mendeley":{"formattedCitation":"[49]","plainTextFormattedCitation":"[49]","previouslyFormattedCitation":"[59]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This estimation methodology relies on the postulation of the existence of a latent variable (or an unobserved variable) which is largely correlated with the measured variables which in this case imply the asset variables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{"citationItems":[{"id":"ITEM-1","itemData":{"DOI":"10.2307/1270093","ISBN":"0387954422","ISSN":"00401706","PMID":"21435900","abstract":"Principal component analysis is central to the study of multivariate data. Although one of the earliest multivariate techniques it continues to be the subject of much research, ranging from new model- based approaches to algorithmic ideas from neural networks. It is extremely versatile with applications in many disciplines. The first edition of this book was the first comprehensive text written solely on principal component analysis. The second edition updates and substantially expands the original version, and is once again the definitive text on the subject. It includes core material, current research and a wide range of applications. Its length is nearly double that of the first edition. Researchers in statistics, or in other fields that use principal component analysis, will find that the book gives an authoritative yet accessible account of the subject. It is also a valuable resource for graduate courses in multivariate analysis. The book requires some knowledge of matrix algebra. Ian Jolliffe is Professor of Statistics at the University of Aberdeen. He is author or co-author of over 60 research papers and three other books. His research interests are broad, but aspects of principal component analysis have fascinated him and kept him busy for over 30 years.","author":[{"dropping-particle":"","family":"Jolliffe","given":"I T","non-dropping-particle":"","parse-names":false,"suffix":""}],"container-title":"Encyclopedia of Statistics in Behavioral Science","id":"ITEM-1","issue":"3","issued":{"date-parts":[["2002"]]},"page":"487","title":"Principal Component Analysis, Second Edition","type":"article-journal","volume":"30"},"uris":["http://www.mendeley.com/documents/?uuid=335411c3-8190-49a8-8410-b00e3303d7fe"]}],"mendeley":{"formattedCitation":"[50]","plainTextFormattedCitation":"[50]","previouslyFormattedCitation":"[60]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asset variables employed in this study can be broadly 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Hjelm","given":"Lisa","non-dropping-particle":"","parse-names":false,"suffix":""},{"dropping-particle":"","family":"Mathiassen","given":"Astrid","non-dropping-particle":"","parse-names":false,"suffix":""},{"dropping-particle":"","family":"Miller","given":"Darryl","non-dropping-particle":"","parse-names":false,"suffix":""},{"dropping-particle":"","family":"Wadhwa","given":"Amit","non-dropping-particle":"","parse-names":false,"suffix":""}],"id":"ITEM-1","issued":{"date-parts":[["2017"]]},"number-of-pages":"1-26","title":"Fighting Hunger Worldwide : Creation of a Wealth Index","type":"report"},"uris":["http://www.mendeley.com/documents/?uuid=219ed30e-f10e-378a-b1be-a5311b47589c"]},{"id":"ITEM-2","itemData":{"URL":"https://www.dhsprogram.com/topics/wealth-index/Wealth-Index-Construction.cfm","accessed":{"date-parts":[["2021","5","17"]]},"author":[{"dropping-particle":"","family":"The DHS Program","given":"","non-dropping-particle":"","parse-names":false,"suffix":""}],"container-title":"Wealth Index Construction","id":"ITEM-2","issued":{"date-parts":[["2016"]]},"title":"Wealth-Index-Construction","type":"webpage"},"uris":["http://www.mendeley.com/documents/?uuid=c94f9064-d224-369a-8698-bdf5b31094a2"]}],"mendeley":{"formattedCitation":"[51,52]","plainTextFormattedCitation":"[51,52]","previouslyFormattedCitation":"[61,62]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[51,52]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Even though both income and expenditure have traditionally been used as measures of a household’s economic status, using the wealth index provides a viable alternative which is crucial and pivotal particularly in the case of absence of data related to income and expenditure as is often the case with DHS related data. </w:t>
      </w:r>
    </w:p>
    <w:p w14:paraId="0A80131B"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Methodology</w:t>
      </w:r>
    </w:p>
    <w:p w14:paraId="6E69BA70"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Study region</w:t>
      </w:r>
    </w:p>
    <w:p w14:paraId="69224D67" w14:textId="2E363AF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has a total population of 51.39 million based on the recent (2018) national census and data reported in the World Development Indicators Database. The country has a population density of 90.3 people per km2 of land area. With a steady population growth rate of 2.3% per annum and about 36.1% of the total population headcount living below the poverty line, poverty and social deprivation remain one of the major bottlenecks the country is tackling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640045DA"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Data source</w:t>
      </w:r>
    </w:p>
    <w:p w14:paraId="1C0D2D87" w14:textId="3A8BD63F" w:rsidR="00E56085" w:rsidRDefault="00E56085" w:rsidP="00E56085">
      <w:pPr>
        <w:spacing w:after="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This study employed data from the Kenya Demographic and Health Surveys (KDHS) carried out in 2003 and 2014 (standard DHS). DHS was carried out by the national Kenyan statistical agency with technical and procedural support from ICF International via the DHS program and was used in analyses with permission from ICF-DHS. The KDHS is a population-based household survey that provides representative data for all the Kenyan regions. The surveys employ stratified cluster sampling design in two stages with clusters employed at the first sampling stage and households selected at the second stage. In the 2003 survey, the response rate was 96.3% from 8, 889 households. In 2014, the realized response rate was 99% from a sample of 39, 679 households </w:t>
      </w:r>
      <w:r>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{"citationItems":[{"id":"ITEM-1","itemData":{"author":[{"dropping-particle":"","family":"National Bureau of Statistics Nairobi","given":"Kenya","non-dropping-particle":"","parse-names":false,"suffix":""}],"id":"ITEM-1","issued":{"date-parts":[["2015"]]},"title":"Republic of Kenya Kenya Demographic and Health Survey 2014","type":"report"},"uris":["http://www.mendeley.com/documents/?uuid=236092ad-7295-34ac-bfe6-fc2ca772c08e"]}],"mendeley":{"formattedCitation":"[53]","plainTextFormattedCitation":"[53]","previouslyFormattedCitation":"[53]"},"properties":{"noteIndex":0},"schema":"https://github.com/citation-style-language/schema/raw/master/csl-citation.json"}</w:instrText>
      </w:r>
      <w:r>
        <w:rPr>
          <w:rFonts w:ascii="Helvetica" w:eastAsia="MS Mincho" w:hAnsi="Helvetica" w:cs="Helvetica"/>
          <w:sz w:val="24"/>
          <w:szCs w:val="24"/>
          <w:lang w:val="en-GB"/>
        </w:rPr>
        <w:fldChar w:fldCharType="separate"/>
      </w:r>
      <w:r>
        <w:rPr>
          <w:rFonts w:ascii="Helvetica" w:eastAsia="MS Mincho" w:hAnsi="Helvetica" w:cs="Helvetica"/>
          <w:noProof/>
          <w:sz w:val="24"/>
          <w:szCs w:val="24"/>
          <w:lang w:val="en-GB"/>
        </w:rPr>
        <w:t>[53]</w:t>
      </w:r>
      <w:r>
        <w:rPr>
          <w:rFonts w:ascii="Helvetica" w:eastAsia="MS Mincho" w:hAnsi="Helvetica" w:cs="Helvetica"/>
          <w:sz w:val="24"/>
          <w:szCs w:val="24"/>
          <w:lang w:val="en-GB"/>
        </w:rPr>
        <w:fldChar w:fldCharType="end"/>
      </w:r>
      <w:r>
        <w:rPr>
          <w:rFonts w:ascii="Helvetica" w:eastAsia="MS Mincho" w:hAnsi="Helvetica" w:cs="Helvetica"/>
          <w:sz w:val="24"/>
          <w:szCs w:val="24"/>
          <w:lang w:val="en-GB"/>
        </w:rPr>
        <w:t xml:space="preserve">. We considered all live children </w:t>
      </w:r>
      <w:r w:rsidR="003E1A95">
        <w:rPr>
          <w:rFonts w:ascii="Helvetica" w:eastAsia="MS Mincho" w:hAnsi="Helvetica" w:cs="Helvetica"/>
          <w:sz w:val="24"/>
          <w:szCs w:val="24"/>
          <w:lang w:val="en-GB"/>
        </w:rPr>
        <w:t xml:space="preserve">of interviewed mothers of ages </w:t>
      </w:r>
      <w:r>
        <w:rPr>
          <w:rFonts w:ascii="Helvetica" w:eastAsia="MS Mincho" w:hAnsi="Helvetica" w:cs="Helvetica"/>
          <w:sz w:val="24"/>
          <w:szCs w:val="24"/>
          <w:lang w:val="en-GB"/>
        </w:rPr>
        <w:t xml:space="preserve">between 0 and 59 months in all analytic procedures and all </w:t>
      </w:r>
      <w:r>
        <w:rPr>
          <w:rFonts w:ascii="Helvetica" w:eastAsia="MS Mincho" w:hAnsi="Helvetica" w:cs="Helvetica"/>
          <w:sz w:val="24"/>
          <w:szCs w:val="24"/>
          <w:lang w:val="en-GB"/>
        </w:rPr>
        <w:lastRenderedPageBreak/>
        <w:t xml:space="preserve">children with missing anthropometrical data were excluded from analyses. </w:t>
      </w:r>
      <w:r w:rsidR="00F73FFA">
        <w:rPr>
          <w:rFonts w:ascii="Helvetica" w:eastAsia="MS Mincho" w:hAnsi="Helvetica" w:cs="Helvetica"/>
          <w:sz w:val="24"/>
          <w:szCs w:val="24"/>
          <w:lang w:val="en-GB"/>
        </w:rPr>
        <w:t xml:space="preserve">All data </w:t>
      </w:r>
      <w:r w:rsidR="00350595">
        <w:rPr>
          <w:rFonts w:ascii="Helvetica" w:eastAsia="MS Mincho" w:hAnsi="Helvetica" w:cs="Helvetica"/>
          <w:sz w:val="24"/>
          <w:szCs w:val="24"/>
          <w:lang w:val="en-GB"/>
        </w:rPr>
        <w:t>were</w:t>
      </w:r>
      <w:r w:rsidR="00F73FFA">
        <w:rPr>
          <w:rFonts w:ascii="Helvetica" w:eastAsia="MS Mincho" w:hAnsi="Helvetica" w:cs="Helvetica"/>
          <w:sz w:val="24"/>
          <w:szCs w:val="24"/>
          <w:lang w:val="en-GB"/>
        </w:rPr>
        <w:t xml:space="preserve"> weighted to account for </w:t>
      </w:r>
      <w:r w:rsidR="00CA4856">
        <w:rPr>
          <w:rFonts w:ascii="Helvetica" w:eastAsia="MS Mincho" w:hAnsi="Helvetica" w:cs="Helvetica"/>
          <w:sz w:val="24"/>
          <w:szCs w:val="24"/>
          <w:lang w:val="en-GB"/>
        </w:rPr>
        <w:t>variations in sample proportions.</w:t>
      </w:r>
    </w:p>
    <w:p w14:paraId="71652771"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 xml:space="preserve">Variables and statistical </w:t>
      </w:r>
      <w:proofErr w:type="spellStart"/>
      <w:r w:rsidRPr="003C12F4">
        <w:rPr>
          <w:rFonts w:ascii="Helvetica" w:eastAsia="MS Gothic" w:hAnsi="Helvetica" w:cs="Times New Roman"/>
          <w:b/>
          <w:sz w:val="32"/>
          <w:szCs w:val="26"/>
          <w:lang w:val="en-GB"/>
        </w:rPr>
        <w:t>modeling</w:t>
      </w:r>
      <w:proofErr w:type="spellEnd"/>
    </w:p>
    <w:p w14:paraId="50A720B2" w14:textId="4C67E170" w:rsidR="003C12F4" w:rsidRPr="003C12F4" w:rsidRDefault="002012F1"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T</w:t>
      </w:r>
      <w:r w:rsidR="003C12F4" w:rsidRPr="003C12F4">
        <w:rPr>
          <w:rFonts w:ascii="Helvetica" w:eastAsia="MS Mincho" w:hAnsi="Helvetica" w:cs="Helvetica"/>
          <w:sz w:val="24"/>
          <w:szCs w:val="24"/>
          <w:lang w:val="en-GB"/>
        </w:rPr>
        <w:t xml:space="preserve">he response variable </w:t>
      </w:r>
      <w:r>
        <w:rPr>
          <w:rFonts w:ascii="Helvetica" w:eastAsia="MS Mincho" w:hAnsi="Helvetica" w:cs="Helvetica"/>
          <w:sz w:val="24"/>
          <w:szCs w:val="24"/>
          <w:lang w:val="en-GB"/>
        </w:rPr>
        <w:t xml:space="preserve">used in this study was </w:t>
      </w:r>
      <w:r w:rsidR="003C12F4" w:rsidRPr="003C12F4">
        <w:rPr>
          <w:rFonts w:ascii="Helvetica" w:eastAsia="MS Mincho" w:hAnsi="Helvetica" w:cs="Helvetica"/>
          <w:sz w:val="24"/>
          <w:szCs w:val="24"/>
          <w:lang w:val="en-GB"/>
        </w:rPr>
        <w:t xml:space="preserve">malnutrition in children under the age of five years. Malnutrition was classified into stunting, underweight, and wasting using height for age z scores, weight for age z scores, and height for weight z scores. Stunting refers to a low height for age and reflects linear growth that has been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age) occurs as a result of insufficient food intake as well as infections with the same WHO classifications as seen above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{"citationItems":[{"id":"ITEM-1","itemData":{"DOI":"10.1590/S0042-96862000001000008","ISSN":"00429686","PMID":"11100617","abstract":"Nutritional status is the best global indicator of well-being in children. Although many surveys of children have been conducted since the 1970s, lack of comparability between them has made it difficult to monitor trends in child malnutrition. Cross-sectional data from 241 nationally representative surveys were analysed in a standard way to produce comparable results of low height-for-age (stunting). Multilevel modelling was applied to estimate regional and global trends from 1980 to 2005. The prevalence of stunting has fallen in developing countries from 47% in 1980 to 33% in 2000 (i.e. by 40 million), although progress has been uneven according to regions. Stunting has increased in Eastern Africa, but decreased in South-eastern Asia, South-central Asia and South America; Northern Africa and the Caribbean show modest improvement; and Western Africa and Central America present very little progress. Despite an overall decrease of stunting in developing countries, child malnutrition still remains a major public health problem in these countries. In some countries rates of stunting are rising, while in many others they remain disturbingly high. The data we have presented provide a baseline for assessing progress and help identify countries and regions in need of populationwide interventions. Approaches to lower child malnutrition should be based on successful nutrition programmes and policies.","author":[{"dropping-particle":"","family":"Onis","given":"Mercedes","non-dropping-particle":"De","parse-names":false,"suffix":""},{"dropping-particle":"","family":"Frongillo","given":"Edward A.","non-dropping-particle":"","parse-names":false,"suffix":""},{"dropping-particle":"","family":"Blössner","given":"Monika","non-dropping-particle":"","parse-names":false,"suffix":""}],"container-title":"Bulletin of the World Health Organization","id":"ITEM-1","issue":"10","issued":{"date-parts":[["2000"]]},"page":"1222-1233","title":"Is malnutrition declining? An analysis of changes in levels of child malnutrition since 1980","type":"article-journal","volume":"78"},"uris":["http://www.mendeley.com/documents/?uuid=caf16b2f-03ba-4b93-a9de-1805b2f07080"]},{"id":"ITEM-2","itemData":{"DOI":"10.1186/s13690-018-0320-2","ISSN":"20493258","abstract":"Background: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[17,54]","plainTextFormattedCitation":"[17,54]","previouslyFormattedCitation":"[19,54]"},"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[17,54]</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w:t>
      </w:r>
    </w:p>
    <w:p w14:paraId="369E363D" w14:textId="22F15DAC" w:rsidR="003C12F4" w:rsidRPr="003C12F4" w:rsidRDefault="002012F1"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We</w:t>
      </w:r>
      <w:r w:rsidR="003C12F4" w:rsidRPr="003C12F4">
        <w:rPr>
          <w:rFonts w:ascii="Helvetica" w:eastAsia="MS Mincho" w:hAnsi="Helvetica" w:cs="Helvetica"/>
          <w:sz w:val="24"/>
          <w:szCs w:val="24"/>
          <w:lang w:val="en-GB"/>
        </w:rPr>
        <w:t xml:space="preserv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{"citationItems":[{"id":"ITEM-1","itemData":{"ISSN":"00429686","PMID":"3493862","abstract":"Studies carried out during the last decade have led to a better understanding of the value of anthropometric indicators of nutritional status. The present report concentrates on data concerning 0-5-year-old children and examines the indices of weightt and height and the biological significance of 'wasting' and 'stunting'. The need for a reference population as well as for a standard or target is recognized and the advantages and disadvantages of local versus international reference populations are discussed. In the analysis of data, preference is given to the use of standard deviation (SD) scores and to the presentation of whole distributions. Cut-offs, for example -2SD, are needed for comparison of prevalences and for screening of populations. Sequential or serial measurements and the increasing use of growth velocities are discussed and their uses and difficulties are outlined.","author":[{"dropping-particle":"","family":"Group","given":"W H O Working","non-dropping-particle":"","parse-names":false,"suffix":""}],"container-title":"Bulletin of the World Health Organization","id":"ITEM-1","issue":"6","issued":{"date-parts":[["1986"]]},"page":"929-941","publisher":"World Health Organization","title":"Use and interpretation of anthropometric indicators of nutritional status","type":"article-journal","volume":"64"},"uris":["http://www.mendeley.com/documents/?uuid=6d069767-1e4a-4d33-98c3-904a3cd62f3a"]}],"mendeley":{"formattedCitation":"[55]","plainTextFormattedCitation":"[55]","previouslyFormattedCitation":"[55]"},"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[55]</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This paper also employed the child’s age (in months), the child’s gender, place of residence (urban or rural), the </w:t>
      </w:r>
      <w:r w:rsidR="003C12F4" w:rsidRPr="003C12F4">
        <w:rPr>
          <w:rFonts w:ascii="Helvetica" w:eastAsia="MS Mincho" w:hAnsi="Helvetica" w:cs="Helvetica"/>
          <w:sz w:val="24"/>
          <w:szCs w:val="24"/>
          <w:lang w:val="en-GB"/>
        </w:rPr>
        <w:lastRenderedPageBreak/>
        <w:t xml:space="preserve">religion of the household, the education level of the mother, and the household’s socioeconomic status as explanatory variables which have been shown to be significant determinants of malnutrition in children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{"citationItems":[{"id":"ITEM-1","itemData":{"DOI":"10.6133/apjcn.2007.16.2.11","ISBN":"0964-7058","ISSN":"09647058","PMID":"17468083","abstract":"Reduction in childhood malnutrition in Vietnam between 1990 and 2004 was assessed using data from 5 national surveys. The prevalence of malnutrition, including stunting, declined significantly for underweight from 45% in 1990 to 26.6% in 2004. While the average reduction was 1.3% per year in the period from 1990 to 2000, it was 1.8% per year in the period from 2000 to 2004. The prevalence of stunting declined from 56.5% in 1990 to 30.7% in 2004, with an average reduction of 2% per year in the period from 1990 to 2000 and 1.5% per year in the period from 2000 to 2004. There were clear differences in the decrease in malnutrition prevalence between urban, rural and mountainous areas, the reduction being highest in the urban regions and lowest in the mountainous areas. Regression analysis showed that the nutrition status of the child is positively related to better household living conditions and to the educational level of the father, but not the mother. Stunting is higher in children whose parents are farmers and higher in households with more children. Stunting prevalence is lower in households with safe water access and hygienic toilets. In future , the dramatic reduction is childhood malnutrition as seen in the period 1990 to 2004 might not continue. More comprehensive apptoaches will be needed to lower childhood malnutrition in Vietnam further.","author":[{"dropping-particle":"","family":"Nguyen","given":"Cong Khan","non-dropping-particle":"","parse-names":false,"suffix":""},{"dropping-particle":"","family":"Le","given":"Danh Tuyen","non-dropping-particle":"","parse-names":false,"suffix":""},{"dropping-particle":"","family":"Tran","given":"Xuan Ngoc","non-dropping-particle":"","parse-names":false,"suffix":""},{"dropping-particle":"","family":"Phan","given":"Hoai Duong","non-dropping-particle":"","parse-names":false,"suffix":""},{"dropping-particle":"","family":"Ha","given":"Huy Khoi","non-dropping-particle":"","parse-names":false,"suffix":""}],"container-title":"Asia Pacific Journal of Clinical Nutrition","id":"ITEM-1","issue":"2","issued":{"date-parts":[["2007"]]},"page":"274-278","title":"Reduction in childhood malnutrition in Vietnam from 1990 to 2004","type":"article-journal","volume":"16"},"uris":["http://www.mendeley.com/documents/?uuid=0c5f0b16-738f-44df-9265-043de1383560"]},{"id":"ITEM-2","itemData":{"ISSN":"09647058","PMID":"14672863","abstract":"In the past decade of economic growth, Vietnam has achieved an impressive rate of socioeconomic development. However, the rate of improvement in child malnutrition lags far behind that of most other health indicators. This study examines factors other than income that might affect this inability to reduce rapidly child malnutrition by exploring the socioeconomic factors that explain the high rates of stunting and underweight status of many Vietnamese children. A nationally representative survey of Vietnamese households, the 1997-98 Vietnam Living Standards Survey (VLSS) is used. Multivariate logit is used for regression analysis. The key parameters are household poverty status, total expenditure level, rural residence, and minority status with controls for many key socio-demographic measures. Children from rural households, poor households, and ethnic minority backgrounds are significantly more likely to be malnourished (with a 17.6%, 10.9%, and 14.1%, respectively, greater prevalence of malnutrition) than are urban residents, non-poor households, and the majority Kinh population. These results suggest that economic improvements in Vietnam have, for the most part, bypassed the rural poor and minorities and that targeting economic resources towards these groups will be most critical for reducing undernutrition in Vietnam.","author":[{"dropping-particle":"","family":"Nguyen","given":"Minh Thang","non-dropping-particle":"","parse-names":false,"suffix":""},{"dropping-particle":"","family":"Popkin","given":"Barry M.","non-dropping-particle":"","parse-names":false,"suffix":""}],"container-title":"Asia Pacific Journal of Clinical Nutrition","id":"ITEM-2","issue":"4","issued":{"date-parts":[["2003"]]},"page":"405-410","title":"In an era of economic growth, is inequity holding back reductions in child malnutrition in Vietnam?","type":"article","volume":"12"},"uris":["http://www.mendeley.com/documents/?uuid=2b4fd861-da10-4c2d-ae1d-b9caedc0184b"]},{"id":"ITEM-3","itemData":{"DOI":"10.1046/j.1365-277X.2003.00449.x","ISSN":"09523871","PMID":"12859705","abstract":"Objective. In the past decade, Vietnam has achieved an impressive rate of socioeconomic development paralleled by broad improvements in the health sector - but child malnutrition still lags far behind that of most other health indicators. The purpose of this study is to discover inequality in the near-present situation (1997-98; hereafter referred to as the present situation), changes of child malnutrition over the period from 1992-93 to 1997-98, and factors that might affect the inability to rapidly reduce child malnutrition among the poor, rural, and minority populations. Design. Data from two nationally representative surveys - the 1992-93 and 1997-98 Vietnam Living Standards Measurement Surveys (LSMS) - of Vietnamese households were utilized in this study. Descriptive and logistic procedures were used for the analyses. The focus was on the variables related to household poverty status, total expenditure levels, rural residence, and minority status with controls, for other key economic and demographic measures. Subjects. A cross-sectional analysis was conducted on data using 4305 households and 4367 children (2-11 years of age in 1992-93) that were included in both surveys of the Vietnam Living Standard Survey (VLSS) in 1992-93 and 1997-98, conducted under the framework of the LSMS. Results. Children of rural households, poor households, and ethnic minority backgrounds are significantly more likely to be malnourished than urban residents, children of nonpoor households, and the majority Kinh population. Additionally, avenues to escape malnourishment are limited in the former categories. These results suggest that economic improvements in Vietnam have, for the most part, bypassed the rural poor and minorities, and targeting economic resources towards these groups will be most critical to reduce malnutrition in Vietnam.","author":[{"dropping-particle":"","family":"Thang","given":"Nguyen Minh","non-dropping-particle":"","parse-names":false,"suffix":""},{"dropping-particle":"","family":"Popkin","given":"B.","non-dropping-particle":"","parse-names":false,"suffix":""}],"container-title":"Journal of Human Nutrition and Dietetics","id":"ITEM-3","issue":"4","issued":{"date-parts":[["2003"]]},"page":"233-244","title":"Child malnutrition in Vietnam and its transition in an era of economic growth","type":"article-journal","volume":"16"},"uris":["http://www.mendeley.com/documents/?uuid=409829b5-8dcc-479b-a8cb-7409d01b4aa3"]}],"mendeley":{"formattedCitation":"[56–58]","plainTextFormattedCitation":"[56–58]","previouslyFormattedCitation":"[56–58]"},"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[56–58]</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We also investigated other variables including birth order number, region, place of delivery, birth interval and the mother’s age at first birth. </w:t>
      </w:r>
      <w:r w:rsidR="00AA37C5">
        <w:rPr>
          <w:rFonts w:ascii="Helvetica" w:eastAsia="MS Mincho" w:hAnsi="Helvetica" w:cs="Helvetica"/>
          <w:sz w:val="24"/>
          <w:szCs w:val="24"/>
          <w:lang w:val="en-GB"/>
        </w:rPr>
        <w:t xml:space="preserve">Descriptive statistics </w:t>
      </w:r>
      <w:r w:rsidR="00F83A25">
        <w:rPr>
          <w:rFonts w:ascii="Helvetica" w:eastAsia="MS Mincho" w:hAnsi="Helvetica" w:cs="Helvetica"/>
          <w:sz w:val="24"/>
          <w:szCs w:val="24"/>
          <w:lang w:val="en-GB"/>
        </w:rPr>
        <w:t xml:space="preserve">for selected categorical variables </w:t>
      </w:r>
      <w:r w:rsidR="00AA37C5">
        <w:rPr>
          <w:rFonts w:ascii="Helvetica" w:eastAsia="MS Mincho" w:hAnsi="Helvetica" w:cs="Helvetica"/>
          <w:sz w:val="24"/>
          <w:szCs w:val="24"/>
          <w:lang w:val="en-GB"/>
        </w:rPr>
        <w:t>were calculated as frequencies and percentages</w:t>
      </w:r>
      <w:r w:rsidR="001A6377">
        <w:rPr>
          <w:rFonts w:ascii="Helvetica" w:eastAsia="MS Mincho" w:hAnsi="Helvetica" w:cs="Helvetica"/>
          <w:sz w:val="24"/>
          <w:szCs w:val="24"/>
          <w:lang w:val="en-GB"/>
        </w:rPr>
        <w:t xml:space="preserve"> to explore the proportions of children that were malnourished by gender and residence.</w:t>
      </w:r>
    </w:p>
    <w:p w14:paraId="72458EC6"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 xml:space="preserve">Analysis of socioeconomic disparities in child malnutrition </w:t>
      </w:r>
    </w:p>
    <w:p w14:paraId="7183305F" w14:textId="60325E6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extent and trends of socioeconomic disparities in stunting, underweight, and wasting were quantified using concentration indices (CIs)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inference","type":"article-journal","volume":"77"},"uris":["http://www.mendeley.com/documents/?uuid=44dcc758-0ef9-4a0a-8543-824a728aec3a"]},{"id":"ITEM-2","itemData":{"DOI":"10.1016/0277-9536(91)90212-U","ISSN":"02779536","PMID":"1962226","abstract":"This paper offers a critical appraisal of the various methods employed to date to measure inequalities in health. It suggests that only two of these-the slope index of inequality and the concentration index-are likely to present an accurate picture of socioeconomic inequalities in health. The paper also presents several empirical examples to illustrate of the dangers of using other measures such as the range, the Lorenz curve and the index of dissimilarity. © 1991.","author":[{"dropping-particle":"","family":"Wagstaff","given":"Adam","non-dropping-particle":"","parse-names":false,"suffix":""},{"dropping-particle":"","family":"Paci","given":"Pierella","non-dropping-particle":"","parse-names":false,"suffix":""},{"dropping-particle":"","family":"Doorslaer","given":"Eddy","non-dropping-particle":"van","parse-names":false,"suffix":""}],"container-title":"Social Science and Medicine","id":"ITEM-2","issue":"5","issued":{"date-parts":[["1991"]]},"page":"545-557","title":"On the measurement of inequalities in health","type":"article-journal","volume":"33"},"uris":["http://www.mendeley.com/documents/?uuid=e9f4e6d7-bb70-44f2-b4f3-dfe607fb87d0"]},{"id":"ITEM-3","itemData":{"abstract":"O'Donnell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[59–61]","plainTextFormattedCitation":"[59–61]","previouslyFormattedCitation":"[63–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[59–61]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We used the z</w:t>
      </w:r>
      <w:r w:rsidR="005D58FD">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scores described earlier in the estimation of the concentration index as well as in plotting concentration curves. Concentration indices quantify the socioeconomic disparities in a health variable (malnutrition in this case) and thus allow for the assessment of the extent and levels of disproportions and discrepancies in the health variable of interest. CIs </w:t>
      </w:r>
      <w:r w:rsidR="005D58FD">
        <w:rPr>
          <w:rFonts w:ascii="Helvetica" w:eastAsia="MS Mincho" w:hAnsi="Helvetica" w:cs="Helvetica"/>
          <w:sz w:val="24"/>
          <w:szCs w:val="24"/>
          <w:lang w:val="en-GB"/>
        </w:rPr>
        <w:t>were</w:t>
      </w:r>
      <w:r w:rsidRPr="003C12F4">
        <w:rPr>
          <w:rFonts w:ascii="Helvetica" w:eastAsia="MS Mincho" w:hAnsi="Helvetica" w:cs="Helvetica"/>
          <w:sz w:val="24"/>
          <w:szCs w:val="24"/>
          <w:lang w:val="en-GB"/>
        </w:rPr>
        <w:t xml:space="preserve"> calculated as double the area between the concentration curve and the line of equality, that is, the 45° line. According to definitions presented by O’Donnell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[61]","plainTextFormattedCitation":"[61]","previouslyFormattedCitation":"[65]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formula for CI follows as:</w:t>
      </w:r>
    </w:p>
    <w:p w14:paraId="50E3A2D3"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C=</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2</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 xml:space="preserve"> cov</m:t>
          </m:r>
          <m:d>
            <m:dPr>
              <m:ctrlPr>
                <w:rPr>
                  <w:rFonts w:ascii="Cambria Math" w:eastAsia="MS Mincho" w:hAnsi="Cambria Math" w:cs="Helvetica"/>
                  <w:i/>
                  <w:sz w:val="24"/>
                  <w:szCs w:val="24"/>
                  <w:lang w:val="en-GB"/>
                </w:rPr>
              </m:ctrlPr>
            </m:dPr>
            <m:e>
              <m:r>
                <w:rPr>
                  <w:rFonts w:ascii="Cambria Math" w:eastAsia="MS Mincho" w:hAnsi="Cambria Math" w:cs="Helvetica"/>
                  <w:sz w:val="24"/>
                  <w:szCs w:val="24"/>
                  <w:lang w:val="en-GB"/>
                </w:rPr>
                <m:t>h, r</m:t>
              </m:r>
            </m:e>
          </m:d>
          <m:r>
            <w:rPr>
              <w:rFonts w:ascii="Cambria Math" w:eastAsia="MS Mincho" w:hAnsi="Cambria Math" w:cs="Helvetica"/>
              <w:sz w:val="24"/>
              <w:szCs w:val="24"/>
              <w:lang w:val="en-GB"/>
            </w:rPr>
            <m:t xml:space="preserve">                   </m:t>
          </m:r>
          <m:d>
            <m:dPr>
              <m:ctrlPr>
                <w:rPr>
                  <w:rFonts w:ascii="Cambria Math" w:eastAsia="MS Mincho" w:hAnsi="Cambria Math" w:cs="Helvetica"/>
                  <w:i/>
                  <w:sz w:val="24"/>
                  <w:szCs w:val="24"/>
                  <w:lang w:val="en-GB"/>
                </w:rPr>
              </m:ctrlPr>
            </m:dPr>
            <m:e>
              <m:r>
                <w:rPr>
                  <w:rFonts w:ascii="Cambria Math" w:eastAsia="MS Mincho" w:hAnsi="Cambria Math" w:cs="Helvetica"/>
                  <w:sz w:val="24"/>
                  <w:szCs w:val="24"/>
                  <w:lang w:val="en-GB"/>
                </w:rPr>
                <m:t>1</m:t>
              </m:r>
            </m:e>
          </m:d>
        </m:oMath>
      </m:oMathPara>
    </w:p>
    <w:p w14:paraId="47EA4B4C" w14:textId="44CB038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1, </w:t>
      </w:r>
      <w:r w:rsidRPr="003C12F4">
        <w:rPr>
          <w:rFonts w:ascii="Helvetica" w:eastAsia="MS Mincho" w:hAnsi="Helvetica" w:cs="Helvetica"/>
          <w:i/>
          <w:iCs/>
          <w:sz w:val="24"/>
          <w:szCs w:val="24"/>
          <w:lang w:val="en-GB"/>
        </w:rPr>
        <w:t xml:space="preserve">µ </w:t>
      </w:r>
      <w:r w:rsidRPr="003C12F4">
        <w:rPr>
          <w:rFonts w:ascii="Helvetica" w:eastAsia="MS Mincho" w:hAnsi="Helvetica" w:cs="Helvetica"/>
          <w:sz w:val="24"/>
          <w:szCs w:val="24"/>
          <w:lang w:val="en-GB"/>
        </w:rPr>
        <w:t xml:space="preserve">is the average of malnutrition in under-five children (stunting, underweight as well as wasting) whereas </w:t>
      </w:r>
      <w:r w:rsidRPr="003C12F4">
        <w:rPr>
          <w:rFonts w:ascii="Helvetica" w:eastAsia="MS Mincho" w:hAnsi="Helvetica" w:cs="Helvetica"/>
          <w:i/>
          <w:iCs/>
          <w:sz w:val="24"/>
          <w:szCs w:val="24"/>
          <w:lang w:val="en-GB"/>
        </w:rPr>
        <w:t>h</w:t>
      </w:r>
      <w:r w:rsidRPr="003C12F4">
        <w:rPr>
          <w:rFonts w:ascii="Helvetica" w:eastAsia="MS Mincho" w:hAnsi="Helvetica" w:cs="Helvetica"/>
          <w:sz w:val="24"/>
          <w:szCs w:val="24"/>
          <w:lang w:val="en-GB"/>
        </w:rPr>
        <w:t xml:space="preserve"> denotes observation-specific child malnutrition, and </w:t>
      </w:r>
      <w:r w:rsidRPr="003C12F4">
        <w:rPr>
          <w:rFonts w:ascii="Helvetica" w:eastAsia="MS Mincho" w:hAnsi="Helvetica" w:cs="Helvetica"/>
          <w:i/>
          <w:iCs/>
          <w:sz w:val="24"/>
          <w:szCs w:val="24"/>
          <w:lang w:val="en-GB"/>
        </w:rPr>
        <w:t>r</w:t>
      </w:r>
      <w:r w:rsidRPr="003C12F4">
        <w:rPr>
          <w:rFonts w:ascii="Helvetica" w:eastAsia="MS Mincho" w:hAnsi="Helvetica" w:cs="Helvetica"/>
          <w:sz w:val="24"/>
          <w:szCs w:val="24"/>
          <w:lang w:val="en-GB"/>
        </w:rPr>
        <w:t xml:space="preserve"> is the rank of the socioeconomic status of a </w:t>
      </w:r>
      <w:r w:rsidRPr="003C12F4">
        <w:rPr>
          <w:rFonts w:ascii="Helvetica" w:eastAsia="MS Mincho" w:hAnsi="Helvetica" w:cs="Helvetica"/>
          <w:sz w:val="24"/>
          <w:szCs w:val="24"/>
          <w:lang w:val="en-GB"/>
        </w:rPr>
        <w:lastRenderedPageBreak/>
        <w:t xml:space="preserve">household. The CI of a given health variable most usually takes values between -1 and +1 with 0 suggesting perfect equity of the health variable between the poorest and the richest socioeconomic groups, whereas negative values suggest a higher concentration of malnutrition among the poorest group, and positive values suggest a higher concentration of inequity amongst the richest socioeconomic groups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2000-2011","type":"article-journal","volume":"9"},"uris":["http://www.mendeley.com/documents/?uuid=baf2d477-3dbf-4fc6-a9a5-7ca2ce3a65c8"]},{"id":"ITEM-4","itemData":{"abstract":"O'Donnell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DC.","id":"ITEM-4","issued":{"date-parts":[["2008"]]},"title":"Measurement of Living Standards. Analyzing Health Equity Using Household Survey Data: A Guide to Techniques and Their Implementation","type":"article-journal"},"uris":["http://www.mendeley.com/documents/?uuid=b824a5ba-04f1-3769-a90d-006baa9eda18"]}],"mendeley":{"formattedCitation":"[13,15,17,61]","plainTextFormattedCitation":"[13,15,17,61]","previouslyFormattedCitation":"[13,15,19,65]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[13,15,17,61]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As in </w:t>
      </w:r>
      <w:proofErr w:type="spellStart"/>
      <w:r w:rsidRPr="003C12F4">
        <w:rPr>
          <w:rFonts w:ascii="Helvetica" w:eastAsia="MS Mincho" w:hAnsi="Helvetica" w:cs="Helvetica"/>
          <w:sz w:val="24"/>
          <w:szCs w:val="24"/>
          <w:lang w:val="en-GB"/>
        </w:rPr>
        <w:t>Kien</w:t>
      </w:r>
      <w:proofErr w:type="spellEnd"/>
      <w:r w:rsidRPr="003C12F4">
        <w:rPr>
          <w:rFonts w:ascii="Helvetica" w:eastAsia="MS Mincho" w:hAnsi="Helvetica" w:cs="Helvetica"/>
          <w:sz w:val="24"/>
          <w:szCs w:val="24"/>
          <w:lang w:val="en-GB"/>
        </w:rPr>
        <w:t xml:space="preserve">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continuous forms of the variables for stunting, underweight, and wasting were employed to enhance precision. 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inference","type":"article-journal","volume":"77"},"uris":["http://www.mendeley.com/documents/?uuid=44dcc758-0ef9-4a0a-8543-824a728aec3a"]},{"id":"ITEM-2","itemData":{"DOI":"10.1016/S1574-0064(00)80047-5","ISSN":"15740064","abstract":"The paper surveys the economics literature on equity in health care financing and delivery. The focus is, for the most part, on empirical work, especially that involving international and temporal comparisons. There is, however, some discussion of the concept and definition of equity. The empirical sections cover the literature on equity in health care financing (progressivity and horizontal equity of health care financing arrangements), equity in health care delivery (horizontal equity in the sense of treating persons in equal need similarly), and equality of health. © 2000 Elsevier Science B.V. All rights reserved.","author":[{"dropping-particle":"","family":"Wagstaff","given":"Adam","non-dropping-particle":"","parse-names":false,"suffix":""},{"dropping-particle":"","family":"Doorslaer","given":"Eddy","non-dropping-particle":"van","parse-names":false,"suffix":""}],"container-title":"Handbook of Health Economics","id":"ITEM-2","issue":"PART B","issued":{"date-parts":[["2000"]]},"page":"1803-1862","title":"Chapter 34 Equity in health care finance and delivery","type":"article","volume":"1"},"uris":["http://www.mendeley.com/documents/?uuid=1835f46f-c4bc-465b-9fe1-24e79275eac5"]},{"id":"ITEM-3","itemData":{"abstract":"O'Donnell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[59,61,62]","plainTextFormattedCitation":"[59,61,62]","previouslyFormattedCitation":"[63,65,66]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[59,61,62]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25789DD"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Determinants of malnutrition</w:t>
      </w:r>
    </w:p>
    <w:p w14:paraId="7350A24C"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viable determinants of child malnutrition were determined in this study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w:t>
      </w:r>
      <w:proofErr w:type="spellStart"/>
      <w:r w:rsidRPr="003C12F4">
        <w:rPr>
          <w:rFonts w:ascii="Helvetica" w:eastAsia="MS Mincho" w:hAnsi="Helvetica" w:cs="Helvetica"/>
          <w:sz w:val="24"/>
          <w:szCs w:val="24"/>
          <w:lang w:val="en-GB"/>
        </w:rPr>
        <w:t>analyzed</w:t>
      </w:r>
      <w:proofErr w:type="spellEnd"/>
      <w:r w:rsidRPr="003C12F4">
        <w:rPr>
          <w:rFonts w:ascii="Helvetica" w:eastAsia="MS Mincho" w:hAnsi="Helvetica" w:cs="Helvetica"/>
          <w:sz w:val="24"/>
          <w:szCs w:val="24"/>
          <w:lang w:val="en-GB"/>
        </w:rPr>
        <w:t xml:space="preserve"> in the logit model were the child’s age, gender, area of residence, religion, mother’s highest level of education as well as the household’s socioeconomic status all of which have been shown to be substantial in determining child malnutrition in previous studies. Asset variables used in the construction of the wealth index were not used as variables in the model for that reason. The </w:t>
      </w:r>
      <w:r w:rsidRPr="003C12F4">
        <w:rPr>
          <w:rFonts w:ascii="Helvetica" w:eastAsia="MS Mincho" w:hAnsi="Helvetica" w:cs="Helvetica"/>
          <w:sz w:val="24"/>
          <w:szCs w:val="24"/>
          <w:lang w:val="en-GB"/>
        </w:rPr>
        <w:lastRenderedPageBreak/>
        <w:t xml:space="preserve">study also examined the role of birth order, region of </w:t>
      </w:r>
      <w:proofErr w:type="gramStart"/>
      <w:r w:rsidRPr="003C12F4">
        <w:rPr>
          <w:rFonts w:ascii="Helvetica" w:eastAsia="MS Mincho" w:hAnsi="Helvetica" w:cs="Helvetica"/>
          <w:sz w:val="24"/>
          <w:szCs w:val="24"/>
          <w:lang w:val="en-GB"/>
        </w:rPr>
        <w:t>child birth</w:t>
      </w:r>
      <w:proofErr w:type="gramEnd"/>
      <w:r w:rsidRPr="003C12F4">
        <w:rPr>
          <w:rFonts w:ascii="Helvetica" w:eastAsia="MS Mincho" w:hAnsi="Helvetica" w:cs="Helvetica"/>
          <w:sz w:val="24"/>
          <w:szCs w:val="24"/>
          <w:lang w:val="en-GB"/>
        </w:rPr>
        <w:t>, a child’s place of delivery, birth interval, and the mother’s age at first birth in contributing towards stunting, underweight, and wasting among children aged below five in Kenya.</w:t>
      </w:r>
    </w:p>
    <w:p w14:paraId="776F3498"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Decomposition of socioeconomic disparities and their change</w:t>
      </w:r>
    </w:p>
    <w:p w14:paraId="0041AD39" w14:textId="14E50B52" w:rsidR="003C12F4" w:rsidRPr="003C12F4" w:rsidRDefault="00D10FB2"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We</w:t>
      </w:r>
      <w:r w:rsidR="003C12F4" w:rsidRPr="003C12F4">
        <w:rPr>
          <w:rFonts w:ascii="Helvetica" w:eastAsia="MS Mincho" w:hAnsi="Helvetica" w:cs="Helvetica"/>
          <w:sz w:val="24"/>
          <w:szCs w:val="24"/>
          <w:lang w:val="en-GB"/>
        </w:rPr>
        <w:t xml:space="preserve"> aimed to explore the contribution of the variables determining malnutrition in children to the observed socioeconomic disparities in the outcome variables (height for age, weight for age, and height for weight in continuous form)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mendeley":{"formattedCitation":"[63]","plainTextFormattedCitation":"[63]","previouslyFormattedCitation":"[67]"},"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[63]</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Decompositions were restricted to stunting and underweight in both 2003 and 2014. </w:t>
      </w:r>
      <w:r>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employed the continuous forms of our response variables, and thus for the decompositions</w:t>
      </w:r>
      <w:r w:rsidR="00474A89">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 we considered a linear regression model in which the response variable (</w:t>
      </w:r>
      <w:r w:rsidR="003C12F4" w:rsidRPr="003C12F4">
        <w:rPr>
          <w:rFonts w:ascii="Helvetica" w:eastAsia="MS Mincho" w:hAnsi="Helvetica" w:cs="Helvetica"/>
          <w:i/>
          <w:iCs/>
          <w:sz w:val="24"/>
          <w:szCs w:val="24"/>
          <w:lang w:val="en-GB"/>
        </w:rPr>
        <w:t>y</w:t>
      </w:r>
      <w:r w:rsidR="003C12F4" w:rsidRPr="003C12F4">
        <w:rPr>
          <w:rFonts w:ascii="Helvetica" w:eastAsia="MS Mincho" w:hAnsi="Helvetica" w:cs="Helvetica"/>
          <w:sz w:val="24"/>
          <w:szCs w:val="24"/>
          <w:lang w:val="en-GB"/>
        </w:rPr>
        <w:t xml:space="preserve">) is expressed as a linear combination of the </w:t>
      </w:r>
      <w:r w:rsidR="003C12F4" w:rsidRPr="003C12F4">
        <w:rPr>
          <w:rFonts w:ascii="Helvetica" w:eastAsia="MS Mincho" w:hAnsi="Helvetica" w:cs="Helvetica"/>
          <w:i/>
          <w:iCs/>
          <w:sz w:val="24"/>
          <w:szCs w:val="24"/>
          <w:lang w:val="en-GB"/>
        </w:rPr>
        <w:t>k</w:t>
      </w:r>
      <w:r w:rsidR="003C12F4" w:rsidRPr="003C12F4">
        <w:rPr>
          <w:rFonts w:ascii="Helvetica" w:eastAsia="MS Mincho" w:hAnsi="Helvetica" w:cs="Helvetica"/>
          <w:sz w:val="24"/>
          <w:szCs w:val="24"/>
          <w:lang w:val="en-GB"/>
        </w:rPr>
        <w:t xml:space="preserve"> determinants (</w:t>
      </w:r>
      <w:proofErr w:type="spellStart"/>
      <w:r w:rsidR="003C12F4" w:rsidRPr="003C12F4">
        <w:rPr>
          <w:rFonts w:ascii="Helvetica" w:eastAsia="MS Mincho" w:hAnsi="Helvetica" w:cs="Helvetica"/>
          <w:i/>
          <w:iCs/>
          <w:sz w:val="24"/>
          <w:szCs w:val="24"/>
          <w:lang w:val="en-GB"/>
        </w:rPr>
        <w:t>X</w:t>
      </w:r>
      <w:r w:rsidR="003C12F4" w:rsidRPr="003C12F4">
        <w:rPr>
          <w:rFonts w:ascii="Helvetica" w:eastAsia="MS Mincho" w:hAnsi="Helvetica" w:cs="Helvetica"/>
          <w:i/>
          <w:iCs/>
          <w:sz w:val="24"/>
          <w:szCs w:val="24"/>
          <w:vertAlign w:val="subscript"/>
          <w:lang w:val="en-GB"/>
        </w:rPr>
        <w:t>k</w:t>
      </w:r>
      <w:proofErr w:type="spellEnd"/>
      <w:r w:rsidR="003C12F4" w:rsidRPr="003C12F4">
        <w:rPr>
          <w:rFonts w:ascii="Helvetica" w:eastAsia="MS Mincho" w:hAnsi="Helvetica" w:cs="Helvetica"/>
          <w:sz w:val="24"/>
          <w:szCs w:val="24"/>
          <w:lang w:val="en-GB"/>
        </w:rPr>
        <w:t>) expressed as:</w:t>
      </w:r>
    </w:p>
    <w:p w14:paraId="729F1CE0"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y=α+</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x</m:t>
                  </m:r>
                </m:e>
                <m:sub>
                  <m:r>
                    <w:rPr>
                      <w:rFonts w:ascii="Cambria Math" w:eastAsia="MS Mincho" w:hAnsi="Cambria Math" w:cs="Helvetica"/>
                      <w:sz w:val="24"/>
                      <w:szCs w:val="24"/>
                      <w:lang w:val="en-GB"/>
                    </w:rPr>
                    <m:t>k</m:t>
                  </m:r>
                </m:sub>
              </m:sSub>
            </m:e>
          </m:nary>
          <m:r>
            <w:rPr>
              <w:rFonts w:ascii="Cambria Math" w:eastAsia="MS Mincho" w:hAnsi="Cambria Math" w:cs="Helvetica"/>
              <w:sz w:val="24"/>
              <w:szCs w:val="24"/>
              <w:lang w:val="en-GB"/>
            </w:rPr>
            <m:t>+ε          (2)</m:t>
          </m:r>
        </m:oMath>
      </m:oMathPara>
    </w:p>
    <w:p w14:paraId="5D23ADEB"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2,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coefficient of </w:t>
      </w:r>
      <w:proofErr w:type="spellStart"/>
      <w:r w:rsidRPr="003C12F4">
        <w:rPr>
          <w:rFonts w:ascii="Helvetica" w:eastAsia="MS Mincho" w:hAnsi="Helvetica" w:cs="Helvetica"/>
          <w:i/>
          <w:iCs/>
          <w:sz w:val="24"/>
          <w:szCs w:val="24"/>
          <w:lang w:val="en-GB"/>
        </w:rPr>
        <w:t>x</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lang w:val="en-GB"/>
        </w:rPr>
        <w:t xml:space="preserve"> (the set of explanatory variables) whereas ε denotes the error term of the linear model. Equation 2 can be re-written as an expression of the concentration index (CI) for the response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which takes the form:</w:t>
      </w:r>
    </w:p>
    <w:p w14:paraId="3CD3F1DA"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m:oMathPara>
        <m:oMath>
          <m:r>
            <w:rPr>
              <w:rFonts w:ascii="Cambria Math" w:eastAsia="MS Mincho" w:hAnsi="Cambria Math" w:cs="Helvetica"/>
              <w:sz w:val="24"/>
              <w:szCs w:val="24"/>
              <w:lang w:val="en-GB"/>
            </w:rPr>
            <m:t>CI=</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d>
                <m:dPr>
                  <m:ctrlPr>
                    <w:rPr>
                      <w:rFonts w:ascii="Cambria Math" w:eastAsia="MS Mincho" w:hAnsi="Cambria Math" w:cs="Helvetica"/>
                      <w:i/>
                      <w:sz w:val="24"/>
                      <w:szCs w:val="24"/>
                      <w:lang w:val="en-GB"/>
                    </w:rPr>
                  </m:ctrlPr>
                </m:dPr>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acc>
                        <m:accPr>
                          <m:chr m:val="̅"/>
                          <m:ctrlPr>
                            <w:rPr>
                              <w:rFonts w:ascii="Cambria Math" w:eastAsia="MS Mincho" w:hAnsi="Cambria Math" w:cs="Helvetica"/>
                              <w:i/>
                              <w:sz w:val="24"/>
                              <w:szCs w:val="24"/>
                              <w:lang w:val="en-GB"/>
                            </w:rPr>
                          </m:ctrlPr>
                        </m:acc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x</m:t>
                              </m:r>
                            </m:e>
                            <m:sub>
                              <m:r>
                                <w:rPr>
                                  <w:rFonts w:ascii="Cambria Math" w:eastAsia="MS Mincho" w:hAnsi="Cambria Math" w:cs="Helvetica"/>
                                  <w:sz w:val="24"/>
                                  <w:szCs w:val="24"/>
                                  <w:lang w:val="en-GB"/>
                                </w:rPr>
                                <m:t>k</m:t>
                              </m:r>
                            </m:sub>
                          </m:sSub>
                        </m:e>
                      </m:acc>
                    </m:num>
                    <m:den>
                      <m:r>
                        <w:rPr>
                          <w:rFonts w:ascii="Cambria Math" w:eastAsia="MS Mincho" w:hAnsi="Cambria Math" w:cs="Helvetica"/>
                          <w:sz w:val="24"/>
                          <w:szCs w:val="24"/>
                          <w:lang w:val="en-GB"/>
                        </w:rPr>
                        <m:t>μ</m:t>
                      </m:r>
                    </m:den>
                  </m:f>
                </m:e>
              </m:d>
            </m:e>
          </m:nary>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GCI</m:t>
                  </m:r>
                </m:e>
                <m:sub>
                  <m:r>
                    <w:rPr>
                      <w:rFonts w:ascii="Cambria Math" w:eastAsia="MS Mincho" w:hAnsi="Cambria Math" w:cs="Helvetica"/>
                      <w:sz w:val="24"/>
                      <w:szCs w:val="24"/>
                      <w:lang w:val="en-GB"/>
                    </w:rPr>
                    <m:t>ϵ</m:t>
                  </m:r>
                </m:sub>
              </m:sSub>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 xml:space="preserve">          (3)</m:t>
          </m:r>
        </m:oMath>
      </m:oMathPara>
    </w:p>
    <w:p w14:paraId="29F21E19" w14:textId="05CE4FB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3, μ denotes the average of the response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whereas </w:t>
      </w:r>
      <w:proofErr w:type="spellStart"/>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lang w:val="en-GB"/>
        </w:rPr>
        <w:t xml:space="preserve"> denotes the mean of the kth determinant variable,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coefficient of each determinant of child malnutrition, </w:t>
      </w:r>
      <w:proofErr w:type="spellStart"/>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lang w:val="en-GB"/>
        </w:rPr>
        <w:t xml:space="preserve"> denotes the </w:t>
      </w:r>
      <w:r w:rsidRPr="003C12F4">
        <w:rPr>
          <w:rFonts w:ascii="Helvetica" w:eastAsia="MS Mincho" w:hAnsi="Helvetica" w:cs="Helvetica"/>
          <w:sz w:val="24"/>
          <w:szCs w:val="24"/>
          <w:lang w:val="en-GB"/>
        </w:rPr>
        <w:lastRenderedPageBreak/>
        <w:t xml:space="preserve">concentration index of each of the regressors in the linear model, and the term </w:t>
      </w:r>
      <w:r w:rsidRPr="003C12F4">
        <w:rPr>
          <w:rFonts w:ascii="Helvetica" w:eastAsia="MS Mincho" w:hAnsi="Helvetica" w:cs="Helvetica"/>
          <w:i/>
          <w:iCs/>
          <w:sz w:val="24"/>
          <w:szCs w:val="24"/>
          <w:lang w:val="en-GB"/>
        </w:rPr>
        <w:t>GCI</w:t>
      </w:r>
      <w:r w:rsidRPr="003C12F4">
        <w:rPr>
          <w:rFonts w:ascii="Helvetica" w:eastAsia="MS Mincho" w:hAnsi="Helvetica" w:cs="Helvetica"/>
          <w:i/>
          <w:iCs/>
          <w:sz w:val="24"/>
          <w:szCs w:val="24"/>
          <w:vertAlign w:val="subscript"/>
          <w:lang w:val="en-GB"/>
        </w:rPr>
        <w:t>ϵ</w:t>
      </w:r>
      <w:r w:rsidRPr="003C12F4">
        <w:rPr>
          <w:rFonts w:ascii="Helvetica" w:eastAsia="MS Mincho" w:hAnsi="Helvetica" w:cs="Helvetica"/>
          <w:sz w:val="24"/>
          <w:szCs w:val="24"/>
          <w:lang w:val="en-GB"/>
        </w:rPr>
        <w:t xml:space="preserve">  denotes the generalized concentration index for the error term, </w:t>
      </w:r>
      <w:r w:rsidRPr="003C12F4">
        <w:rPr>
          <w:rFonts w:ascii="Helvetica" w:eastAsia="MS Mincho" w:hAnsi="Helvetica" w:cs="Helvetica"/>
          <w:i/>
          <w:iCs/>
          <w:sz w:val="24"/>
          <w:szCs w:val="24"/>
          <w:lang w:val="en-GB"/>
        </w:rPr>
        <w:t>ϵ</w:t>
      </w:r>
      <w:r w:rsidRPr="003C12F4">
        <w:rPr>
          <w:rFonts w:ascii="Helvetica" w:eastAsia="MS Mincho" w:hAnsi="Helvetica" w:cs="Helvetica"/>
          <w:sz w:val="24"/>
          <w:szCs w:val="24"/>
          <w:lang w:val="en-GB"/>
        </w:rPr>
        <w:t xml:space="preserve">. Equation 3 has two components to it, the explained component </w:t>
      </w:r>
      <w:r w:rsidRPr="003C12F4">
        <w:rPr>
          <w:rFonts w:ascii="Helvetica" w:eastAsia="MS Mincho" w:hAnsi="Helvetica" w:cs="Helvetica"/>
          <w:i/>
          <w:iCs/>
          <w:sz w:val="24"/>
          <w:szCs w:val="24"/>
          <w:lang w:val="en-GB"/>
        </w:rPr>
        <w:t>((β</w:t>
      </w:r>
      <w:proofErr w:type="spellStart"/>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i/>
          <w:iCs/>
          <w:sz w:val="24"/>
          <w:szCs w:val="24"/>
          <w:lang w:val="en-GB"/>
        </w:rPr>
        <w:t>)/μ)</w:t>
      </w:r>
      <w:proofErr w:type="spellStart"/>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lang w:val="en-GB"/>
        </w:rPr>
        <w:t xml:space="preserve"> as well as the unexplained component, </w:t>
      </w:r>
      <w:r w:rsidRPr="003C12F4">
        <w:rPr>
          <w:rFonts w:ascii="Helvetica" w:eastAsia="MS Mincho" w:hAnsi="Helvetica" w:cs="Helvetica"/>
          <w:i/>
          <w:iCs/>
          <w:sz w:val="24"/>
          <w:szCs w:val="24"/>
          <w:lang w:val="en-GB"/>
        </w:rPr>
        <w:t>GCI</w:t>
      </w:r>
      <w:r w:rsidRPr="003C12F4">
        <w:rPr>
          <w:rFonts w:ascii="Cambria Math" w:eastAsia="MS Mincho" w:hAnsi="Cambria Math" w:cs="Cambria Math"/>
          <w:i/>
          <w:iCs/>
          <w:sz w:val="24"/>
          <w:szCs w:val="24"/>
          <w:vertAlign w:val="subscript"/>
          <w:lang w:val="en-GB"/>
        </w:rPr>
        <w:t>∈</w:t>
      </w:r>
      <w:r w:rsidRPr="003C12F4">
        <w:rPr>
          <w:rFonts w:ascii="Cambria Math" w:eastAsia="MS Mincho" w:hAnsi="Cambria Math" w:cs="Cambria Math"/>
          <w:i/>
          <w:iCs/>
          <w:sz w:val="24"/>
          <w:szCs w:val="24"/>
          <w:lang w:val="en-GB"/>
        </w:rPr>
        <w:t>/</w:t>
      </w:r>
      <w:r w:rsidRPr="003C12F4">
        <w:rPr>
          <w:rFonts w:ascii="Helvetica" w:eastAsia="MS Mincho" w:hAnsi="Helvetica" w:cs="Helvetica"/>
          <w:i/>
          <w:iCs/>
          <w:sz w:val="24"/>
          <w:szCs w:val="24"/>
          <w:lang w:val="en-GB"/>
        </w:rPr>
        <w:t xml:space="preserve"> μ</w:t>
      </w:r>
      <w:r w:rsidRPr="003C12F4">
        <w:rPr>
          <w:rFonts w:ascii="Helvetica" w:eastAsia="MS Mincho" w:hAnsi="Helvetica" w:cs="Helvetica"/>
          <w:sz w:val="24"/>
          <w:szCs w:val="24"/>
          <w:lang w:val="en-GB"/>
        </w:rPr>
        <w:t xml:space="preserve">. The term </w:t>
      </w:r>
      <w:r w:rsidRPr="003C12F4">
        <w:rPr>
          <w:rFonts w:ascii="Helvetica" w:eastAsia="MS Mincho" w:hAnsi="Helvetica" w:cs="Helvetica"/>
          <w:i/>
          <w:iCs/>
          <w:sz w:val="24"/>
          <w:szCs w:val="24"/>
          <w:lang w:val="en-GB"/>
        </w:rPr>
        <w:t>β</w:t>
      </w:r>
      <w:proofErr w:type="spellStart"/>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i/>
          <w:iCs/>
          <w:sz w:val="24"/>
          <w:szCs w:val="24"/>
          <w:lang w:val="en-GB"/>
        </w:rPr>
        <w:t>)/μ</w:t>
      </w:r>
      <w:r w:rsidRPr="003C12F4">
        <w:rPr>
          <w:rFonts w:ascii="Helvetica" w:eastAsia="MS Mincho" w:hAnsi="Helvetica" w:cs="Helvetica"/>
          <w:sz w:val="24"/>
          <w:szCs w:val="24"/>
          <w:lang w:val="en-GB"/>
        </w:rPr>
        <w:t xml:space="preserve"> denotes elasticity which brings out the effect of each </w:t>
      </w:r>
      <w:proofErr w:type="spellStart"/>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lang w:val="en-GB"/>
        </w:rPr>
        <w:t xml:space="preserve"> on the overall CI of the outcome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Vietnam","type":"article-journal","volume":"112"},"uris":["http://www.mendeley.com/documents/?uuid=26c7351d-70c4-4e66-8bbd-f4426ea3bf07"]},{"id":"ITEM-2","itemData":{"abstract":"O'Donnell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DC.","id":"ITEM-2","issued":{"date-parts":[["2008"]]},"title":"Measurement of Living Standards. Analyzing Health Equity Using Household Survey Data: A Guide to Techniques and Their Implementation","type":"article-journal"},"uris":["http://www.mendeley.com/documents/?uuid=b824a5ba-04f1-3769-a90d-006baa9eda18"]}],"mendeley":{"formattedCitation":"[61,63]","plainTextFormattedCitation":"[61,63]","previouslyFormattedCitation":"[65,67]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[61,63]</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879801F" w14:textId="64946D3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Total differential decomposition was employed to decompose the changes in the CIs as well as elucidate the contributions of the determinants to the observed variations in the CIs. The decomposition applied to the CIs here follows from that suggested by Wagstaff et al. [65</w:t>
      </w:r>
      <w:proofErr w:type="gramStart"/>
      <w:r w:rsidRPr="003C12F4">
        <w:rPr>
          <w:rFonts w:ascii="Helvetica" w:eastAsia="MS Mincho" w:hAnsi="Helvetica" w:cs="Helvetica"/>
          <w:sz w:val="24"/>
          <w:szCs w:val="24"/>
          <w:lang w:val="en-GB"/>
        </w:rPr>
        <w:t>]  and</w:t>
      </w:r>
      <w:proofErr w:type="gramEnd"/>
      <w:r w:rsidRPr="003C12F4">
        <w:rPr>
          <w:rFonts w:ascii="Helvetica" w:eastAsia="MS Mincho" w:hAnsi="Helvetica" w:cs="Helvetica"/>
          <w:sz w:val="24"/>
          <w:szCs w:val="24"/>
          <w:lang w:val="en-GB"/>
        </w:rPr>
        <w:t xml:space="preserve">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t>
      </w:r>
      <w:r w:rsidR="00835012">
        <w:rPr>
          <w:rFonts w:ascii="Helvetica" w:eastAsia="MS Mincho" w:hAnsi="Helvetica" w:cs="Helvetica"/>
          <w:sz w:val="24"/>
          <w:szCs w:val="24"/>
          <w:lang w:val="en-GB"/>
        </w:rPr>
        <w:t>was</w:t>
      </w:r>
      <w:r w:rsidRPr="003C12F4">
        <w:rPr>
          <w:rFonts w:ascii="Helvetica" w:eastAsia="MS Mincho" w:hAnsi="Helvetica" w:cs="Helvetica"/>
          <w:sz w:val="24"/>
          <w:szCs w:val="24"/>
          <w:lang w:val="en-GB"/>
        </w:rPr>
        <w:t>:</w:t>
      </w:r>
    </w:p>
    <w:p w14:paraId="7834F355"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dC=-</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c</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dα+</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d>
            <m:dPr>
              <m:ctrlPr>
                <w:rPr>
                  <w:rFonts w:ascii="Cambria Math" w:eastAsia="MS Mincho" w:hAnsi="Cambria Math" w:cs="Helvetica"/>
                  <w:i/>
                  <w:sz w:val="24"/>
                  <w:szCs w:val="24"/>
                  <w:lang w:val="en-GB"/>
                </w:rPr>
              </m:ctrlPr>
            </m:d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-CI</m:t>
              </m:r>
            </m:e>
          </m:d>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d>
            <m:dPr>
              <m:ctrlPr>
                <w:rPr>
                  <w:rFonts w:ascii="Cambria Math" w:eastAsia="MS Mincho" w:hAnsi="Cambria Math" w:cs="Helvetica"/>
                  <w:i/>
                  <w:sz w:val="24"/>
                  <w:szCs w:val="24"/>
                  <w:lang w:val="en-GB"/>
                </w:rPr>
              </m:ctrlPr>
            </m:d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-CI</m:t>
              </m:r>
            </m:e>
          </m:d>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+d</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GCI</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ε          (4)</m:t>
          </m:r>
        </m:oMath>
      </m:oMathPara>
    </w:p>
    <w:p w14:paraId="22680E6C"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4, </w:t>
      </w:r>
      <w:proofErr w:type="spellStart"/>
      <w:r w:rsidRPr="003C12F4">
        <w:rPr>
          <w:rFonts w:ascii="Helvetica" w:eastAsia="MS Mincho" w:hAnsi="Helvetica" w:cs="Helvetica"/>
          <w:i/>
          <w:iCs/>
          <w:sz w:val="24"/>
          <w:szCs w:val="24"/>
          <w:lang w:val="en-GB"/>
        </w:rPr>
        <w:t>dC</w:t>
      </w:r>
      <w:proofErr w:type="spellEnd"/>
      <w:r w:rsidRPr="003C12F4">
        <w:rPr>
          <w:rFonts w:ascii="Helvetica" w:eastAsia="MS Mincho" w:hAnsi="Helvetica" w:cs="Helvetica"/>
          <w:sz w:val="24"/>
          <w:szCs w:val="24"/>
          <w:lang w:val="en-GB"/>
        </w:rPr>
        <w:t xml:space="preserve"> denotes the overall change in the CI, </w:t>
      </w:r>
      <w:r w:rsidRPr="003C12F4">
        <w:rPr>
          <w:rFonts w:ascii="Helvetica" w:eastAsia="MS Mincho" w:hAnsi="Helvetica" w:cs="Helvetica"/>
          <w:i/>
          <w:iCs/>
          <w:sz w:val="24"/>
          <w:szCs w:val="24"/>
          <w:lang w:val="en-GB"/>
        </w:rPr>
        <w:t>dα</w:t>
      </w:r>
      <w:r w:rsidRPr="003C12F4">
        <w:rPr>
          <w:rFonts w:ascii="Helvetica" w:eastAsia="MS Mincho" w:hAnsi="Helvetica" w:cs="Helvetica"/>
          <w:sz w:val="24"/>
          <w:szCs w:val="24"/>
          <w:lang w:val="en-GB"/>
        </w:rPr>
        <w:t xml:space="preserve"> constant value, </w:t>
      </w:r>
      <w:r w:rsidRPr="003C12F4">
        <w:rPr>
          <w:rFonts w:ascii="Helvetica" w:eastAsia="MS Mincho" w:hAnsi="Helvetica" w:cs="Helvetica"/>
          <w:i/>
          <w:iCs/>
          <w:sz w:val="24"/>
          <w:szCs w:val="24"/>
          <w:lang w:val="en-GB"/>
        </w:rPr>
        <w:t>dβ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the coefficients of the determinants, </w:t>
      </w:r>
      <w:proofErr w:type="spellStart"/>
      <w:r w:rsidRPr="003C12F4">
        <w:rPr>
          <w:rFonts w:ascii="Helvetica" w:eastAsia="MS Mincho" w:hAnsi="Helvetica" w:cs="Helvetica"/>
          <w:i/>
          <w:iCs/>
          <w:sz w:val="24"/>
          <w:szCs w:val="24"/>
          <w:lang w:val="en-GB"/>
        </w:rPr>
        <w:t>d</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lang w:val="en-GB"/>
        </w:rPr>
        <w:t xml:space="preserve"> mean values of the determinants, </w:t>
      </w:r>
      <w:proofErr w:type="spellStart"/>
      <w:r w:rsidRPr="003C12F4">
        <w:rPr>
          <w:rFonts w:ascii="Helvetica" w:eastAsia="MS Mincho" w:hAnsi="Helvetica" w:cs="Helvetica"/>
          <w:i/>
          <w:iCs/>
          <w:sz w:val="24"/>
          <w:szCs w:val="24"/>
          <w:lang w:val="en-GB"/>
        </w:rPr>
        <w:t>dCI</w:t>
      </w:r>
      <w:r w:rsidRPr="003C12F4">
        <w:rPr>
          <w:rFonts w:ascii="Helvetica" w:eastAsia="MS Mincho" w:hAnsi="Helvetica" w:cs="Helvetica"/>
          <w:i/>
          <w:iCs/>
          <w:sz w:val="24"/>
          <w:szCs w:val="24"/>
          <w:vertAlign w:val="subscript"/>
          <w:lang w:val="en-GB"/>
        </w:rPr>
        <w:t>k</w:t>
      </w:r>
      <w:proofErr w:type="spellEnd"/>
      <w:r w:rsidRPr="003C12F4">
        <w:rPr>
          <w:rFonts w:ascii="Helvetica" w:eastAsia="MS Mincho" w:hAnsi="Helvetica" w:cs="Helvetica"/>
          <w:sz w:val="24"/>
          <w:szCs w:val="24"/>
          <w:vertAlign w:val="subscript"/>
          <w:lang w:val="en-GB"/>
        </w:rPr>
        <w:t xml:space="preserve"> </w:t>
      </w:r>
      <w:r w:rsidRPr="003C12F4">
        <w:rPr>
          <w:rFonts w:ascii="Helvetica" w:eastAsia="MS Mincho" w:hAnsi="Helvetica" w:cs="Helvetica"/>
          <w:sz w:val="24"/>
          <w:szCs w:val="24"/>
          <w:lang w:val="en-GB"/>
        </w:rPr>
        <w:t xml:space="preserve">determinant-specific CI and </w:t>
      </w:r>
      <w:r w:rsidRPr="003C12F4">
        <w:rPr>
          <w:rFonts w:ascii="Helvetica" w:eastAsia="MS Mincho" w:hAnsi="Helvetica" w:cs="Helvetica"/>
          <w:i/>
          <w:iCs/>
          <w:sz w:val="24"/>
          <w:szCs w:val="24"/>
          <w:lang w:val="en-GB"/>
        </w:rPr>
        <w:t>d(GCI/</w:t>
      </w:r>
      <w:proofErr w:type="gramStart"/>
      <w:r w:rsidRPr="003C12F4">
        <w:rPr>
          <w:rFonts w:ascii="Helvetica" w:eastAsia="MS Mincho" w:hAnsi="Helvetica" w:cs="Helvetica"/>
          <w:i/>
          <w:iCs/>
          <w:sz w:val="24"/>
          <w:szCs w:val="24"/>
          <w:lang w:val="en-GB"/>
        </w:rPr>
        <w:t>μ)ε</w:t>
      </w:r>
      <w:proofErr w:type="gramEnd"/>
      <w:r w:rsidRPr="003C12F4">
        <w:rPr>
          <w:rFonts w:ascii="Helvetica" w:eastAsia="MS Mincho" w:hAnsi="Helvetica" w:cs="Helvetica"/>
          <w:sz w:val="24"/>
          <w:szCs w:val="24"/>
          <w:lang w:val="en-GB"/>
        </w:rPr>
        <w:t>,  the error term [65].</w:t>
      </w:r>
    </w:p>
    <w:p w14:paraId="0CFE1988"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Software and data availability</w:t>
      </w:r>
    </w:p>
    <w:p w14:paraId="0B263726" w14:textId="3A828C5D" w:rsidR="003C12F4" w:rsidRPr="003C12F4" w:rsidRDefault="003C12F4" w:rsidP="00470CE7">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All statistical analyses were performed in Stata® 16.0 (</w:t>
      </w:r>
      <w:proofErr w:type="spellStart"/>
      <w:r w:rsidRPr="003C12F4">
        <w:rPr>
          <w:rFonts w:ascii="Helvetica" w:eastAsia="MS Mincho" w:hAnsi="Helvetica" w:cs="Helvetica"/>
          <w:sz w:val="24"/>
          <w:szCs w:val="24"/>
          <w:lang w:val="en-GB"/>
        </w:rPr>
        <w:t>StataCorp</w:t>
      </w:r>
      <w:proofErr w:type="spellEnd"/>
      <w:r w:rsidRPr="003C12F4">
        <w:rPr>
          <w:rFonts w:ascii="Helvetica" w:eastAsia="MS Mincho" w:hAnsi="Helvetica" w:cs="Helvetica"/>
          <w:sz w:val="24"/>
          <w:szCs w:val="24"/>
          <w:lang w:val="en-GB"/>
        </w:rPr>
        <w:t xml:space="preserve">, College Station, TX, USA). Two sample tests of proportions were used to investigate the existence of statistically significant differences between the proportions of malnutrition in 2003 and 2014. The command </w:t>
      </w:r>
      <w:proofErr w:type="spellStart"/>
      <w:r w:rsidRPr="00835012">
        <w:rPr>
          <w:rFonts w:ascii="Helvetica" w:eastAsia="MS Mincho" w:hAnsi="Helvetica" w:cs="Helvetica"/>
          <w:b/>
          <w:bCs/>
          <w:i/>
          <w:iCs/>
          <w:sz w:val="24"/>
          <w:szCs w:val="24"/>
          <w:lang w:val="en-GB"/>
        </w:rPr>
        <w:t>digini</w:t>
      </w:r>
      <w:proofErr w:type="spellEnd"/>
      <w:r w:rsidRPr="003C12F4">
        <w:rPr>
          <w:rFonts w:ascii="Helvetica" w:eastAsia="MS Mincho" w:hAnsi="Helvetica" w:cs="Helvetica"/>
          <w:sz w:val="24"/>
          <w:szCs w:val="24"/>
          <w:lang w:val="en-GB"/>
        </w:rPr>
        <w:t xml:space="preserve"> from the Distributive Analysis Stata Package (</w:t>
      </w:r>
      <w:proofErr w:type="gramStart"/>
      <w:r w:rsidRPr="003C12F4">
        <w:rPr>
          <w:rFonts w:ascii="Helvetica" w:eastAsia="MS Mincho" w:hAnsi="Helvetica" w:cs="Helvetica"/>
          <w:sz w:val="24"/>
          <w:szCs w:val="24"/>
          <w:lang w:val="en-GB"/>
        </w:rPr>
        <w:t>DASP)  was</w:t>
      </w:r>
      <w:proofErr w:type="gramEnd"/>
      <w:r w:rsidRPr="003C12F4">
        <w:rPr>
          <w:rFonts w:ascii="Helvetica" w:eastAsia="MS Mincho" w:hAnsi="Helvetica" w:cs="Helvetica"/>
          <w:sz w:val="24"/>
          <w:szCs w:val="24"/>
          <w:lang w:val="en-GB"/>
        </w:rPr>
        <w:t xml:space="preserve"> used to calculate the CIs of malnutrition as well as testing whether the following results for subsequent years were statistically different from a test value of 0. The analysis employed survey-related commands with weights in each DHS dataset employed. All p-values below 0.05 were considered significant, statistically. Data used in this analysis was obtained from and used with written permission from the KDHS and is available from </w:t>
      </w:r>
      <w:hyperlink r:id="rId8" w:history="1">
        <w:r w:rsidR="00AC67CB" w:rsidRPr="00FE73CD">
          <w:rPr>
            <w:rStyle w:val="Hyperlink"/>
            <w:rFonts w:ascii="Helvetica" w:eastAsia="MS Mincho" w:hAnsi="Helvetica" w:cs="Helvetica"/>
            <w:sz w:val="24"/>
            <w:szCs w:val="24"/>
            <w:lang w:val="en-GB"/>
          </w:rPr>
          <w:t>https://www.dhsprogram.com/data/</w:t>
        </w:r>
      </w:hyperlink>
      <w:r w:rsidR="00AC67CB">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on request.</w:t>
      </w:r>
    </w:p>
    <w:p w14:paraId="541E5DE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Results</w:t>
      </w:r>
    </w:p>
    <w:p w14:paraId="2C047FF8"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Sample description and descriptive statistics</w:t>
      </w:r>
    </w:p>
    <w:p w14:paraId="43AE10E7" w14:textId="36849489" w:rsidR="003C12F4" w:rsidRPr="003C12F4" w:rsidRDefault="00470CE7" w:rsidP="003C12F4">
      <w:pPr>
        <w:spacing w:before="0" w:beforeAutospacing="0" w:after="0" w:afterAutospacing="0" w:line="480" w:lineRule="auto"/>
        <w:ind w:firstLine="720"/>
        <w:rPr>
          <w:rFonts w:ascii="Helvetica" w:eastAsia="MS Mincho" w:hAnsi="Helvetica" w:cs="Helvetica"/>
          <w:sz w:val="24"/>
          <w:szCs w:val="24"/>
          <w:lang w:val="en-GB"/>
        </w:rPr>
      </w:pPr>
      <w:r w:rsidRPr="00A2753D">
        <w:rPr>
          <w:rFonts w:ascii="Helvetica" w:eastAsia="MS Mincho" w:hAnsi="Helvetica" w:cs="Helvetica"/>
          <w:b/>
          <w:bCs/>
          <w:sz w:val="24"/>
          <w:szCs w:val="24"/>
          <w:lang w:val="en-GB"/>
        </w:rPr>
        <w:t>Table 1</w:t>
      </w:r>
      <w:r>
        <w:rPr>
          <w:rFonts w:ascii="Helvetica" w:eastAsia="MS Mincho" w:hAnsi="Helvetica" w:cs="Helvetica"/>
          <w:sz w:val="24"/>
          <w:szCs w:val="24"/>
          <w:lang w:val="en-GB"/>
        </w:rPr>
        <w:t xml:space="preserve"> presents the descriptive statistics</w:t>
      </w:r>
      <w:r w:rsidR="004E4BFD">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The 2003 Kenya DHS dataset had a total of 5</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949 observations comprising 22.10% of the total observations employed in analysis whereas the 2014 DHS dataset comprised 20</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964 observations which accounted for 77.90% of the total observations. The total combined dataset resulted in a total sample size of n=26</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913. In 2003, there were a total of 1</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653 stunted children (34.43%) whereas 3 148 children were not stunted (65.57%). Similarly, a greater proportion of the children in 2003</w:t>
      </w:r>
      <w:r w:rsidR="006933AA">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were not underweight (83.70%, n=4</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139 underweight </w:t>
      </w:r>
      <w:r w:rsidR="003C12F4" w:rsidRPr="003C12F4">
        <w:rPr>
          <w:rFonts w:ascii="Helvetica" w:eastAsia="MS Mincho" w:hAnsi="Helvetica" w:cs="Helvetica"/>
          <w:sz w:val="24"/>
          <w:szCs w:val="24"/>
          <w:lang w:val="en-GB"/>
        </w:rPr>
        <w:lastRenderedPageBreak/>
        <w:t xml:space="preserve">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14:paraId="07CB5686" w14:textId="32CCE58E"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 </w:t>
      </w:r>
      <w:r w:rsidR="006933AA">
        <w:rPr>
          <w:rFonts w:ascii="Helvetica" w:eastAsia="MS Mincho" w:hAnsi="Helvetica" w:cs="Helvetica"/>
          <w:sz w:val="24"/>
          <w:szCs w:val="24"/>
          <w:lang w:val="en-GB"/>
        </w:rPr>
        <w:t xml:space="preserve">On the other hand, </w:t>
      </w:r>
      <w:r w:rsidRPr="003C12F4">
        <w:rPr>
          <w:rFonts w:ascii="Helvetica" w:eastAsia="MS Mincho" w:hAnsi="Helvetica" w:cs="Helvetica"/>
          <w:sz w:val="24"/>
          <w:szCs w:val="24"/>
          <w:lang w:val="en-GB"/>
        </w:rPr>
        <w:t>27.07% (n=5</w:t>
      </w:r>
      <w:r w:rsidR="004B2303">
        <w:rPr>
          <w:rFonts w:ascii="Helvetica" w:eastAsia="MS Mincho" w:hAnsi="Helvetica" w:cs="Helvetica"/>
          <w:sz w:val="24"/>
          <w:szCs w:val="24"/>
          <w:lang w:val="en-GB"/>
        </w:rPr>
        <w:t>,</w:t>
      </w:r>
      <w:r w:rsidRPr="003C12F4">
        <w:rPr>
          <w:rFonts w:ascii="Helvetica" w:eastAsia="MS Mincho" w:hAnsi="Helvetica" w:cs="Helvetica"/>
          <w:sz w:val="24"/>
          <w:szCs w:val="24"/>
          <w:lang w:val="en-GB"/>
        </w:rPr>
        <w:t>050) of all children in 2014 were stunted, a reduction in comparison to the values recorded in 2003 whereas 72.93% (n=13</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607) was normal. The count of underweight children in 2014 was 2</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462 (13.20%) whereas normal children accounted for the larger proportion of the dataset (n= 16</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195; 86.80%). The count of all wasted children in 2014 also dropped to 5.48% relative to the value recorded in 2003 (7.20%). In 2014, all indicators of malnutrition decreased relative to the value 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p>
    <w:p w14:paraId="1EC2F5AC" w14:textId="3B394383" w:rsidR="003C12F4" w:rsidRPr="003C12F4" w:rsidRDefault="003C12F4" w:rsidP="003C12F4">
      <w:pPr>
        <w:spacing w:before="0" w:beforeAutospacing="0" w:after="0" w:afterAutospacing="0" w:line="480" w:lineRule="auto"/>
        <w:rPr>
          <w:rFonts w:ascii="Helvetica" w:eastAsia="MS Mincho" w:hAnsi="Helvetica" w:cs="Helvetica"/>
          <w:b/>
          <w:bCs/>
          <w:sz w:val="24"/>
          <w:szCs w:val="24"/>
        </w:rPr>
      </w:pPr>
      <w:r w:rsidRPr="003C12F4">
        <w:rPr>
          <w:rFonts w:ascii="Helvetica" w:eastAsia="MS Mincho" w:hAnsi="Helvetica" w:cs="Helvetica"/>
          <w:b/>
          <w:bCs/>
          <w:sz w:val="24"/>
          <w:szCs w:val="24"/>
        </w:rPr>
        <w:t xml:space="preserve">Table </w:t>
      </w:r>
      <w:r w:rsidRPr="003C12F4">
        <w:rPr>
          <w:rFonts w:ascii="Helvetica" w:eastAsia="MS Mincho" w:hAnsi="Helvetica" w:cs="Helvetica"/>
          <w:b/>
          <w:bCs/>
          <w:sz w:val="24"/>
          <w:szCs w:val="24"/>
        </w:rPr>
        <w:fldChar w:fldCharType="begin"/>
      </w:r>
      <w:r w:rsidRPr="003C12F4">
        <w:rPr>
          <w:rFonts w:ascii="Helvetica" w:eastAsia="MS Mincho" w:hAnsi="Helvetica" w:cs="Helvetica"/>
          <w:b/>
          <w:bCs/>
          <w:sz w:val="24"/>
          <w:szCs w:val="24"/>
        </w:rPr>
        <w:instrText xml:space="preserve"> SEQ Table \* ARABIC </w:instrText>
      </w:r>
      <w:r w:rsidRPr="003C12F4">
        <w:rPr>
          <w:rFonts w:ascii="Helvetica" w:eastAsia="MS Mincho" w:hAnsi="Helvetica" w:cs="Helvetica"/>
          <w:b/>
          <w:bCs/>
          <w:sz w:val="24"/>
          <w:szCs w:val="24"/>
        </w:rPr>
        <w:fldChar w:fldCharType="separate"/>
      </w:r>
      <w:r w:rsidR="006326D3">
        <w:rPr>
          <w:rFonts w:ascii="Helvetica" w:eastAsia="MS Mincho" w:hAnsi="Helvetica" w:cs="Helvetica"/>
          <w:b/>
          <w:bCs/>
          <w:noProof/>
          <w:sz w:val="24"/>
          <w:szCs w:val="24"/>
        </w:rPr>
        <w:t>1</w:t>
      </w:r>
      <w:r w:rsidRPr="003C12F4">
        <w:rPr>
          <w:rFonts w:ascii="Helvetica" w:eastAsia="MS Mincho" w:hAnsi="Helvetica" w:cs="Helvetica"/>
          <w:sz w:val="24"/>
          <w:szCs w:val="24"/>
          <w:lang w:val="en-GB"/>
        </w:rPr>
        <w:fldChar w:fldCharType="end"/>
      </w:r>
      <w:r w:rsidRPr="003C12F4">
        <w:rPr>
          <w:rFonts w:ascii="Helvetica" w:eastAsia="MS Mincho" w:hAnsi="Helvetica" w:cs="Helvetica"/>
          <w:b/>
          <w:bCs/>
          <w:sz w:val="24"/>
          <w:szCs w:val="24"/>
        </w:rPr>
        <w:t>. Descriptive statistics of children under five years by malnutrition indicator, gender, and area of residence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1465"/>
        <w:gridCol w:w="1584"/>
        <w:gridCol w:w="1687"/>
        <w:gridCol w:w="1585"/>
      </w:tblGrid>
      <w:tr w:rsidR="003C12F4" w:rsidRPr="003C12F4" w14:paraId="1BCD582D" w14:textId="77777777" w:rsidTr="00470CE7">
        <w:tc>
          <w:tcPr>
            <w:tcW w:w="1985" w:type="dxa"/>
            <w:tcBorders>
              <w:top w:val="single" w:sz="4" w:space="0" w:color="auto"/>
            </w:tcBorders>
          </w:tcPr>
          <w:p w14:paraId="38579AA8"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Year</w:t>
            </w:r>
          </w:p>
        </w:tc>
        <w:tc>
          <w:tcPr>
            <w:tcW w:w="3049" w:type="dxa"/>
            <w:gridSpan w:val="2"/>
            <w:tcBorders>
              <w:top w:val="single" w:sz="4" w:space="0" w:color="auto"/>
            </w:tcBorders>
          </w:tcPr>
          <w:p w14:paraId="13D4EA56"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2003</w:t>
            </w:r>
          </w:p>
        </w:tc>
        <w:tc>
          <w:tcPr>
            <w:tcW w:w="3272" w:type="dxa"/>
            <w:gridSpan w:val="2"/>
            <w:tcBorders>
              <w:top w:val="single" w:sz="4" w:space="0" w:color="auto"/>
            </w:tcBorders>
          </w:tcPr>
          <w:p w14:paraId="6A2EADC5"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2014</w:t>
            </w:r>
          </w:p>
        </w:tc>
      </w:tr>
      <w:tr w:rsidR="003C12F4" w:rsidRPr="003C12F4" w14:paraId="29184BE5" w14:textId="77777777" w:rsidTr="00470CE7">
        <w:tc>
          <w:tcPr>
            <w:tcW w:w="1985" w:type="dxa"/>
          </w:tcPr>
          <w:p w14:paraId="2FBC889F" w14:textId="77777777" w:rsidR="003C12F4" w:rsidRPr="003C12F4" w:rsidRDefault="003C12F4" w:rsidP="003C12F4">
            <w:pPr>
              <w:spacing w:line="360" w:lineRule="auto"/>
              <w:rPr>
                <w:rFonts w:ascii="Helvetica" w:hAnsi="Helvetica" w:cs="Helvetica"/>
                <w:b/>
                <w:bCs/>
              </w:rPr>
            </w:pPr>
          </w:p>
        </w:tc>
        <w:tc>
          <w:tcPr>
            <w:tcW w:w="1465" w:type="dxa"/>
          </w:tcPr>
          <w:p w14:paraId="6ED2002B"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4" w:type="dxa"/>
          </w:tcPr>
          <w:p w14:paraId="095D6B9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c>
          <w:tcPr>
            <w:tcW w:w="1687" w:type="dxa"/>
          </w:tcPr>
          <w:p w14:paraId="5FF5E80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5" w:type="dxa"/>
          </w:tcPr>
          <w:p w14:paraId="77D45D9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r>
      <w:tr w:rsidR="003C12F4" w:rsidRPr="003C12F4" w14:paraId="21C82827" w14:textId="77777777" w:rsidTr="00470CE7">
        <w:tc>
          <w:tcPr>
            <w:tcW w:w="1985" w:type="dxa"/>
          </w:tcPr>
          <w:p w14:paraId="24244D6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Sample size (n)</w:t>
            </w:r>
          </w:p>
        </w:tc>
        <w:tc>
          <w:tcPr>
            <w:tcW w:w="1465" w:type="dxa"/>
          </w:tcPr>
          <w:p w14:paraId="1FBA77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5 949</w:t>
            </w:r>
          </w:p>
        </w:tc>
        <w:tc>
          <w:tcPr>
            <w:tcW w:w="1584" w:type="dxa"/>
          </w:tcPr>
          <w:p w14:paraId="4F99B2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22.10</w:t>
            </w:r>
          </w:p>
        </w:tc>
        <w:tc>
          <w:tcPr>
            <w:tcW w:w="1687" w:type="dxa"/>
          </w:tcPr>
          <w:p w14:paraId="5671E04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20 964</w:t>
            </w:r>
          </w:p>
        </w:tc>
        <w:tc>
          <w:tcPr>
            <w:tcW w:w="1585" w:type="dxa"/>
          </w:tcPr>
          <w:p w14:paraId="69B6B845" w14:textId="77777777" w:rsidR="003C12F4" w:rsidRPr="003C12F4" w:rsidRDefault="003C12F4" w:rsidP="003C12F4">
            <w:pPr>
              <w:spacing w:line="360" w:lineRule="auto"/>
              <w:rPr>
                <w:rFonts w:ascii="Helvetica" w:hAnsi="Helvetica" w:cs="Helvetica"/>
              </w:rPr>
            </w:pPr>
            <w:r w:rsidRPr="003C12F4">
              <w:rPr>
                <w:rFonts w:ascii="Helvetica" w:hAnsi="Helvetica" w:cs="Helvetica"/>
              </w:rPr>
              <w:t>77.90</w:t>
            </w:r>
          </w:p>
        </w:tc>
      </w:tr>
      <w:tr w:rsidR="003C12F4" w:rsidRPr="003C12F4" w14:paraId="7CED674F" w14:textId="77777777" w:rsidTr="00470CE7">
        <w:tc>
          <w:tcPr>
            <w:tcW w:w="1985" w:type="dxa"/>
          </w:tcPr>
          <w:p w14:paraId="16B92807"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Stunting</w:t>
            </w:r>
          </w:p>
        </w:tc>
        <w:tc>
          <w:tcPr>
            <w:tcW w:w="1465" w:type="dxa"/>
          </w:tcPr>
          <w:p w14:paraId="58414F6F" w14:textId="77777777" w:rsidR="003C12F4" w:rsidRPr="003C12F4" w:rsidRDefault="003C12F4" w:rsidP="003C12F4">
            <w:pPr>
              <w:spacing w:line="360" w:lineRule="auto"/>
              <w:rPr>
                <w:rFonts w:ascii="Helvetica" w:hAnsi="Helvetica" w:cs="Helvetica"/>
              </w:rPr>
            </w:pPr>
          </w:p>
        </w:tc>
        <w:tc>
          <w:tcPr>
            <w:tcW w:w="1584" w:type="dxa"/>
          </w:tcPr>
          <w:p w14:paraId="5C914CAF" w14:textId="77777777" w:rsidR="003C12F4" w:rsidRPr="003C12F4" w:rsidRDefault="003C12F4" w:rsidP="003C12F4">
            <w:pPr>
              <w:spacing w:line="360" w:lineRule="auto"/>
              <w:rPr>
                <w:rFonts w:ascii="Helvetica" w:hAnsi="Helvetica" w:cs="Helvetica"/>
              </w:rPr>
            </w:pPr>
          </w:p>
        </w:tc>
        <w:tc>
          <w:tcPr>
            <w:tcW w:w="1687" w:type="dxa"/>
          </w:tcPr>
          <w:p w14:paraId="4D37BCFA" w14:textId="77777777" w:rsidR="003C12F4" w:rsidRPr="003C12F4" w:rsidRDefault="003C12F4" w:rsidP="003C12F4">
            <w:pPr>
              <w:spacing w:line="360" w:lineRule="auto"/>
              <w:rPr>
                <w:rFonts w:ascii="Helvetica" w:hAnsi="Helvetica" w:cs="Helvetica"/>
              </w:rPr>
            </w:pPr>
          </w:p>
        </w:tc>
        <w:tc>
          <w:tcPr>
            <w:tcW w:w="1585" w:type="dxa"/>
          </w:tcPr>
          <w:p w14:paraId="6E598FC5" w14:textId="77777777" w:rsidR="003C12F4" w:rsidRPr="003C12F4" w:rsidRDefault="003C12F4" w:rsidP="003C12F4">
            <w:pPr>
              <w:spacing w:line="360" w:lineRule="auto"/>
              <w:rPr>
                <w:rFonts w:ascii="Helvetica" w:hAnsi="Helvetica" w:cs="Helvetica"/>
              </w:rPr>
            </w:pPr>
          </w:p>
        </w:tc>
      </w:tr>
      <w:tr w:rsidR="003C12F4" w:rsidRPr="003C12F4" w14:paraId="1D0A3C8D" w14:textId="77777777" w:rsidTr="00470CE7">
        <w:tc>
          <w:tcPr>
            <w:tcW w:w="1985" w:type="dxa"/>
          </w:tcPr>
          <w:p w14:paraId="3AA12D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545C2FD7" w14:textId="77777777" w:rsidR="003C12F4" w:rsidRPr="003C12F4" w:rsidRDefault="003C12F4" w:rsidP="003C12F4">
            <w:pPr>
              <w:spacing w:line="360" w:lineRule="auto"/>
              <w:rPr>
                <w:rFonts w:ascii="Helvetica" w:hAnsi="Helvetica" w:cs="Helvetica"/>
              </w:rPr>
            </w:pPr>
            <w:r w:rsidRPr="003C12F4">
              <w:rPr>
                <w:rFonts w:ascii="Helvetica" w:hAnsi="Helvetica" w:cs="Helvetica"/>
              </w:rPr>
              <w:t>3 148</w:t>
            </w:r>
          </w:p>
        </w:tc>
        <w:tc>
          <w:tcPr>
            <w:tcW w:w="1584" w:type="dxa"/>
          </w:tcPr>
          <w:p w14:paraId="6FA433D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65.57</w:t>
            </w:r>
          </w:p>
        </w:tc>
        <w:tc>
          <w:tcPr>
            <w:tcW w:w="1687" w:type="dxa"/>
          </w:tcPr>
          <w:p w14:paraId="09662FD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13 607</w:t>
            </w:r>
          </w:p>
        </w:tc>
        <w:tc>
          <w:tcPr>
            <w:tcW w:w="1585" w:type="dxa"/>
          </w:tcPr>
          <w:p w14:paraId="30468933"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72.93</w:t>
            </w:r>
          </w:p>
        </w:tc>
      </w:tr>
      <w:tr w:rsidR="003C12F4" w:rsidRPr="003C12F4" w14:paraId="0005AE60" w14:textId="77777777" w:rsidTr="00470CE7">
        <w:tc>
          <w:tcPr>
            <w:tcW w:w="1985" w:type="dxa"/>
          </w:tcPr>
          <w:p w14:paraId="2CC1AA97" w14:textId="77777777" w:rsidR="003C12F4" w:rsidRPr="003C12F4" w:rsidRDefault="003C12F4" w:rsidP="003C12F4">
            <w:pPr>
              <w:spacing w:line="360" w:lineRule="auto"/>
              <w:rPr>
                <w:rFonts w:ascii="Helvetica" w:hAnsi="Helvetica" w:cs="Helvetica"/>
              </w:rPr>
            </w:pPr>
            <w:r w:rsidRPr="003C12F4">
              <w:rPr>
                <w:rFonts w:ascii="Helvetica" w:hAnsi="Helvetica" w:cs="Helvetica"/>
              </w:rPr>
              <w:lastRenderedPageBreak/>
              <w:t>Yes</w:t>
            </w:r>
          </w:p>
        </w:tc>
        <w:tc>
          <w:tcPr>
            <w:tcW w:w="1465" w:type="dxa"/>
          </w:tcPr>
          <w:p w14:paraId="1CBA33A1" w14:textId="77777777" w:rsidR="003C12F4" w:rsidRPr="003C12F4" w:rsidRDefault="003C12F4" w:rsidP="003C12F4">
            <w:pPr>
              <w:spacing w:line="360" w:lineRule="auto"/>
              <w:rPr>
                <w:rFonts w:ascii="Helvetica" w:hAnsi="Helvetica" w:cs="Helvetica"/>
              </w:rPr>
            </w:pPr>
            <w:r w:rsidRPr="003C12F4">
              <w:rPr>
                <w:rFonts w:ascii="Helvetica" w:hAnsi="Helvetica" w:cs="Helvetica"/>
              </w:rPr>
              <w:t>1 653</w:t>
            </w:r>
          </w:p>
        </w:tc>
        <w:tc>
          <w:tcPr>
            <w:tcW w:w="1584" w:type="dxa"/>
          </w:tcPr>
          <w:p w14:paraId="2E5B79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34.43</w:t>
            </w:r>
          </w:p>
        </w:tc>
        <w:tc>
          <w:tcPr>
            <w:tcW w:w="1687" w:type="dxa"/>
          </w:tcPr>
          <w:p w14:paraId="066391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5 050</w:t>
            </w:r>
          </w:p>
        </w:tc>
        <w:tc>
          <w:tcPr>
            <w:tcW w:w="1585" w:type="dxa"/>
          </w:tcPr>
          <w:p w14:paraId="34DF92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27.07</w:t>
            </w:r>
          </w:p>
        </w:tc>
      </w:tr>
      <w:tr w:rsidR="003C12F4" w:rsidRPr="003C12F4" w14:paraId="00C6C3B6" w14:textId="77777777" w:rsidTr="00470CE7">
        <w:tc>
          <w:tcPr>
            <w:tcW w:w="1985" w:type="dxa"/>
          </w:tcPr>
          <w:p w14:paraId="74FF3E1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Underweight</w:t>
            </w:r>
          </w:p>
        </w:tc>
        <w:tc>
          <w:tcPr>
            <w:tcW w:w="1465" w:type="dxa"/>
          </w:tcPr>
          <w:p w14:paraId="7EFEC2F0" w14:textId="77777777" w:rsidR="003C12F4" w:rsidRPr="003C12F4" w:rsidRDefault="003C12F4" w:rsidP="003C12F4">
            <w:pPr>
              <w:spacing w:line="360" w:lineRule="auto"/>
              <w:rPr>
                <w:rFonts w:ascii="Helvetica" w:hAnsi="Helvetica" w:cs="Helvetica"/>
              </w:rPr>
            </w:pPr>
          </w:p>
        </w:tc>
        <w:tc>
          <w:tcPr>
            <w:tcW w:w="1584" w:type="dxa"/>
          </w:tcPr>
          <w:p w14:paraId="0E896840" w14:textId="77777777" w:rsidR="003C12F4" w:rsidRPr="003C12F4" w:rsidRDefault="003C12F4" w:rsidP="003C12F4">
            <w:pPr>
              <w:spacing w:line="360" w:lineRule="auto"/>
              <w:rPr>
                <w:rFonts w:ascii="Helvetica" w:hAnsi="Helvetica" w:cs="Helvetica"/>
              </w:rPr>
            </w:pPr>
          </w:p>
        </w:tc>
        <w:tc>
          <w:tcPr>
            <w:tcW w:w="1687" w:type="dxa"/>
          </w:tcPr>
          <w:p w14:paraId="48712ADA" w14:textId="77777777" w:rsidR="003C12F4" w:rsidRPr="003C12F4" w:rsidRDefault="003C12F4" w:rsidP="003C12F4">
            <w:pPr>
              <w:spacing w:line="360" w:lineRule="auto"/>
              <w:rPr>
                <w:rFonts w:ascii="Helvetica" w:hAnsi="Helvetica" w:cs="Helvetica"/>
              </w:rPr>
            </w:pPr>
          </w:p>
        </w:tc>
        <w:tc>
          <w:tcPr>
            <w:tcW w:w="1585" w:type="dxa"/>
          </w:tcPr>
          <w:p w14:paraId="3885D19A" w14:textId="77777777" w:rsidR="003C12F4" w:rsidRPr="003C12F4" w:rsidRDefault="003C12F4" w:rsidP="003C12F4">
            <w:pPr>
              <w:spacing w:line="360" w:lineRule="auto"/>
              <w:rPr>
                <w:rFonts w:ascii="Helvetica" w:hAnsi="Helvetica" w:cs="Helvetica"/>
              </w:rPr>
            </w:pPr>
          </w:p>
        </w:tc>
      </w:tr>
      <w:tr w:rsidR="003C12F4" w:rsidRPr="003C12F4" w14:paraId="0B137554" w14:textId="77777777" w:rsidTr="00470CE7">
        <w:tc>
          <w:tcPr>
            <w:tcW w:w="1985" w:type="dxa"/>
          </w:tcPr>
          <w:p w14:paraId="644ECA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3DBC535E" w14:textId="77777777" w:rsidR="003C12F4" w:rsidRPr="003C12F4" w:rsidRDefault="003C12F4" w:rsidP="003C12F4">
            <w:pPr>
              <w:spacing w:line="360" w:lineRule="auto"/>
              <w:rPr>
                <w:rFonts w:ascii="Helvetica" w:hAnsi="Helvetica" w:cs="Helvetica"/>
              </w:rPr>
            </w:pPr>
            <w:r w:rsidRPr="003C12F4">
              <w:rPr>
                <w:rFonts w:ascii="Helvetica" w:hAnsi="Helvetica" w:cs="Helvetica"/>
              </w:rPr>
              <w:t>4139</w:t>
            </w:r>
          </w:p>
        </w:tc>
        <w:tc>
          <w:tcPr>
            <w:tcW w:w="1584" w:type="dxa"/>
          </w:tcPr>
          <w:p w14:paraId="7CD71689" w14:textId="77777777" w:rsidR="003C12F4" w:rsidRPr="003C12F4" w:rsidRDefault="003C12F4" w:rsidP="003C12F4">
            <w:pPr>
              <w:spacing w:line="360" w:lineRule="auto"/>
              <w:rPr>
                <w:rFonts w:ascii="Helvetica" w:hAnsi="Helvetica" w:cs="Helvetica"/>
              </w:rPr>
            </w:pPr>
            <w:r w:rsidRPr="003C12F4">
              <w:rPr>
                <w:rFonts w:ascii="Helvetica" w:hAnsi="Helvetica" w:cs="Helvetica"/>
              </w:rPr>
              <w:t>83.70</w:t>
            </w:r>
          </w:p>
        </w:tc>
        <w:tc>
          <w:tcPr>
            <w:tcW w:w="1687" w:type="dxa"/>
          </w:tcPr>
          <w:p w14:paraId="62887A5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16195</w:t>
            </w:r>
          </w:p>
        </w:tc>
        <w:tc>
          <w:tcPr>
            <w:tcW w:w="1585" w:type="dxa"/>
          </w:tcPr>
          <w:p w14:paraId="28CAE72D" w14:textId="77777777" w:rsidR="003C12F4" w:rsidRPr="003C12F4" w:rsidRDefault="003C12F4" w:rsidP="003C12F4">
            <w:pPr>
              <w:spacing w:line="360" w:lineRule="auto"/>
              <w:rPr>
                <w:rFonts w:ascii="Helvetica" w:hAnsi="Helvetica" w:cs="Helvetica"/>
              </w:rPr>
            </w:pPr>
            <w:r w:rsidRPr="003C12F4">
              <w:rPr>
                <w:rFonts w:ascii="Helvetica" w:hAnsi="Helvetica" w:cs="Helvetica"/>
              </w:rPr>
              <w:t>86.80</w:t>
            </w:r>
          </w:p>
        </w:tc>
      </w:tr>
      <w:tr w:rsidR="003C12F4" w:rsidRPr="003C12F4" w14:paraId="1142FB5D" w14:textId="77777777" w:rsidTr="00470CE7">
        <w:tc>
          <w:tcPr>
            <w:tcW w:w="1985" w:type="dxa"/>
          </w:tcPr>
          <w:p w14:paraId="0488D20A"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0FEE77CB" w14:textId="77777777" w:rsidR="003C12F4" w:rsidRPr="003C12F4" w:rsidRDefault="003C12F4" w:rsidP="003C12F4">
            <w:pPr>
              <w:spacing w:line="360" w:lineRule="auto"/>
              <w:rPr>
                <w:rFonts w:ascii="Helvetica" w:hAnsi="Helvetica" w:cs="Helvetica"/>
              </w:rPr>
            </w:pPr>
            <w:r w:rsidRPr="003C12F4">
              <w:rPr>
                <w:rFonts w:ascii="Helvetica" w:hAnsi="Helvetica" w:cs="Helvetica"/>
              </w:rPr>
              <w:t>806</w:t>
            </w:r>
          </w:p>
        </w:tc>
        <w:tc>
          <w:tcPr>
            <w:tcW w:w="1584" w:type="dxa"/>
          </w:tcPr>
          <w:p w14:paraId="4A7656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16.30</w:t>
            </w:r>
          </w:p>
        </w:tc>
        <w:tc>
          <w:tcPr>
            <w:tcW w:w="1687" w:type="dxa"/>
          </w:tcPr>
          <w:p w14:paraId="38CF15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2462</w:t>
            </w:r>
          </w:p>
        </w:tc>
        <w:tc>
          <w:tcPr>
            <w:tcW w:w="1585" w:type="dxa"/>
          </w:tcPr>
          <w:p w14:paraId="7B7D4EB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13.20</w:t>
            </w:r>
          </w:p>
        </w:tc>
      </w:tr>
      <w:tr w:rsidR="003C12F4" w:rsidRPr="003C12F4" w14:paraId="33987FE3" w14:textId="77777777" w:rsidTr="00470CE7">
        <w:tc>
          <w:tcPr>
            <w:tcW w:w="1985" w:type="dxa"/>
          </w:tcPr>
          <w:p w14:paraId="51B1C992"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Wasting</w:t>
            </w:r>
          </w:p>
        </w:tc>
        <w:tc>
          <w:tcPr>
            <w:tcW w:w="1465" w:type="dxa"/>
          </w:tcPr>
          <w:p w14:paraId="2C8EB504" w14:textId="77777777" w:rsidR="003C12F4" w:rsidRPr="003C12F4" w:rsidRDefault="003C12F4" w:rsidP="003C12F4">
            <w:pPr>
              <w:spacing w:line="360" w:lineRule="auto"/>
              <w:rPr>
                <w:rFonts w:ascii="Helvetica" w:hAnsi="Helvetica" w:cs="Helvetica"/>
              </w:rPr>
            </w:pPr>
          </w:p>
        </w:tc>
        <w:tc>
          <w:tcPr>
            <w:tcW w:w="1584" w:type="dxa"/>
          </w:tcPr>
          <w:p w14:paraId="79C31F29" w14:textId="77777777" w:rsidR="003C12F4" w:rsidRPr="003C12F4" w:rsidRDefault="003C12F4" w:rsidP="003C12F4">
            <w:pPr>
              <w:spacing w:line="360" w:lineRule="auto"/>
              <w:rPr>
                <w:rFonts w:ascii="Helvetica" w:hAnsi="Helvetica" w:cs="Helvetica"/>
              </w:rPr>
            </w:pPr>
          </w:p>
        </w:tc>
        <w:tc>
          <w:tcPr>
            <w:tcW w:w="1687" w:type="dxa"/>
          </w:tcPr>
          <w:p w14:paraId="4D8F5763" w14:textId="77777777" w:rsidR="003C12F4" w:rsidRPr="003C12F4" w:rsidRDefault="003C12F4" w:rsidP="003C12F4">
            <w:pPr>
              <w:spacing w:line="360" w:lineRule="auto"/>
              <w:rPr>
                <w:rFonts w:ascii="Helvetica" w:hAnsi="Helvetica" w:cs="Helvetica"/>
              </w:rPr>
            </w:pPr>
          </w:p>
        </w:tc>
        <w:tc>
          <w:tcPr>
            <w:tcW w:w="1585" w:type="dxa"/>
          </w:tcPr>
          <w:p w14:paraId="0F185599" w14:textId="77777777" w:rsidR="003C12F4" w:rsidRPr="003C12F4" w:rsidRDefault="003C12F4" w:rsidP="003C12F4">
            <w:pPr>
              <w:spacing w:line="360" w:lineRule="auto"/>
              <w:rPr>
                <w:rFonts w:ascii="Helvetica" w:hAnsi="Helvetica" w:cs="Helvetica"/>
              </w:rPr>
            </w:pPr>
          </w:p>
        </w:tc>
      </w:tr>
      <w:tr w:rsidR="003C12F4" w:rsidRPr="003C12F4" w14:paraId="33D5273B" w14:textId="77777777" w:rsidTr="00470CE7">
        <w:tc>
          <w:tcPr>
            <w:tcW w:w="1985" w:type="dxa"/>
          </w:tcPr>
          <w:p w14:paraId="7C6EEE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46CEBED2"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4436</w:t>
            </w:r>
          </w:p>
        </w:tc>
        <w:tc>
          <w:tcPr>
            <w:tcW w:w="1584" w:type="dxa"/>
          </w:tcPr>
          <w:p w14:paraId="047B6804" w14:textId="77777777" w:rsidR="003C12F4" w:rsidRPr="003C12F4" w:rsidRDefault="003C12F4" w:rsidP="003C12F4">
            <w:pPr>
              <w:spacing w:line="360" w:lineRule="auto"/>
              <w:rPr>
                <w:rFonts w:ascii="Helvetica" w:hAnsi="Helvetica" w:cs="Helvetica"/>
              </w:rPr>
            </w:pPr>
            <w:r w:rsidRPr="003C12F4">
              <w:rPr>
                <w:rFonts w:ascii="Helvetica" w:hAnsi="Helvetica" w:cs="Helvetica"/>
              </w:rPr>
              <w:t>92.80</w:t>
            </w:r>
          </w:p>
        </w:tc>
        <w:tc>
          <w:tcPr>
            <w:tcW w:w="1687" w:type="dxa"/>
          </w:tcPr>
          <w:p w14:paraId="0D52203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17635</w:t>
            </w:r>
          </w:p>
        </w:tc>
        <w:tc>
          <w:tcPr>
            <w:tcW w:w="1585" w:type="dxa"/>
          </w:tcPr>
          <w:p w14:paraId="22ABCC9B" w14:textId="77777777" w:rsidR="003C12F4" w:rsidRPr="003C12F4" w:rsidRDefault="003C12F4" w:rsidP="003C12F4">
            <w:pPr>
              <w:spacing w:line="360" w:lineRule="auto"/>
              <w:rPr>
                <w:rFonts w:ascii="Helvetica" w:hAnsi="Helvetica" w:cs="Helvetica"/>
              </w:rPr>
            </w:pPr>
            <w:r w:rsidRPr="003C12F4">
              <w:rPr>
                <w:rFonts w:ascii="Helvetica" w:hAnsi="Helvetica" w:cs="Helvetica"/>
              </w:rPr>
              <w:t>94.52</w:t>
            </w:r>
          </w:p>
        </w:tc>
      </w:tr>
      <w:tr w:rsidR="003C12F4" w:rsidRPr="003C12F4" w14:paraId="07DC4994" w14:textId="77777777" w:rsidTr="00470CE7">
        <w:tc>
          <w:tcPr>
            <w:tcW w:w="1985" w:type="dxa"/>
          </w:tcPr>
          <w:p w14:paraId="134EE2DF"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54622FB8"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w:t>
            </w:r>
          </w:p>
        </w:tc>
        <w:tc>
          <w:tcPr>
            <w:tcW w:w="1584" w:type="dxa"/>
          </w:tcPr>
          <w:p w14:paraId="55CD9436"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7.20</w:t>
            </w:r>
          </w:p>
        </w:tc>
        <w:tc>
          <w:tcPr>
            <w:tcW w:w="1687" w:type="dxa"/>
          </w:tcPr>
          <w:p w14:paraId="4ABBCA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1022</w:t>
            </w:r>
          </w:p>
        </w:tc>
        <w:tc>
          <w:tcPr>
            <w:tcW w:w="1585" w:type="dxa"/>
          </w:tcPr>
          <w:p w14:paraId="2160565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5.48</w:t>
            </w:r>
          </w:p>
        </w:tc>
      </w:tr>
      <w:tr w:rsidR="003C12F4" w:rsidRPr="003C12F4" w14:paraId="1D91D948" w14:textId="77777777" w:rsidTr="00470CE7">
        <w:tc>
          <w:tcPr>
            <w:tcW w:w="1985" w:type="dxa"/>
          </w:tcPr>
          <w:p w14:paraId="28FF78A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Sex</w:t>
            </w:r>
          </w:p>
        </w:tc>
        <w:tc>
          <w:tcPr>
            <w:tcW w:w="1465" w:type="dxa"/>
          </w:tcPr>
          <w:p w14:paraId="6BC54A61" w14:textId="77777777" w:rsidR="003C12F4" w:rsidRPr="003C12F4" w:rsidRDefault="003C12F4" w:rsidP="003C12F4">
            <w:pPr>
              <w:spacing w:line="360" w:lineRule="auto"/>
              <w:rPr>
                <w:rFonts w:ascii="Helvetica" w:hAnsi="Helvetica" w:cs="Helvetica"/>
              </w:rPr>
            </w:pPr>
          </w:p>
        </w:tc>
        <w:tc>
          <w:tcPr>
            <w:tcW w:w="1584" w:type="dxa"/>
          </w:tcPr>
          <w:p w14:paraId="0AC35AA9" w14:textId="77777777" w:rsidR="003C12F4" w:rsidRPr="003C12F4" w:rsidRDefault="003C12F4" w:rsidP="003C12F4">
            <w:pPr>
              <w:spacing w:line="360" w:lineRule="auto"/>
              <w:rPr>
                <w:rFonts w:ascii="Helvetica" w:hAnsi="Helvetica" w:cs="Helvetica"/>
              </w:rPr>
            </w:pPr>
          </w:p>
        </w:tc>
        <w:tc>
          <w:tcPr>
            <w:tcW w:w="1687" w:type="dxa"/>
          </w:tcPr>
          <w:p w14:paraId="0379BCC5" w14:textId="77777777" w:rsidR="003C12F4" w:rsidRPr="003C12F4" w:rsidRDefault="003C12F4" w:rsidP="003C12F4">
            <w:pPr>
              <w:spacing w:line="360" w:lineRule="auto"/>
              <w:rPr>
                <w:rFonts w:ascii="Helvetica" w:hAnsi="Helvetica" w:cs="Helvetica"/>
              </w:rPr>
            </w:pPr>
          </w:p>
        </w:tc>
        <w:tc>
          <w:tcPr>
            <w:tcW w:w="1585" w:type="dxa"/>
          </w:tcPr>
          <w:p w14:paraId="704B8DF5" w14:textId="77777777" w:rsidR="003C12F4" w:rsidRPr="003C12F4" w:rsidRDefault="003C12F4" w:rsidP="003C12F4">
            <w:pPr>
              <w:spacing w:line="360" w:lineRule="auto"/>
              <w:rPr>
                <w:rFonts w:ascii="Helvetica" w:hAnsi="Helvetica" w:cs="Helvetica"/>
              </w:rPr>
            </w:pPr>
          </w:p>
        </w:tc>
      </w:tr>
      <w:tr w:rsidR="003C12F4" w:rsidRPr="003C12F4" w14:paraId="53602110" w14:textId="77777777" w:rsidTr="00470CE7">
        <w:tc>
          <w:tcPr>
            <w:tcW w:w="1985" w:type="dxa"/>
          </w:tcPr>
          <w:p w14:paraId="7F495A92" w14:textId="77777777" w:rsidR="003C12F4" w:rsidRPr="003C12F4" w:rsidRDefault="003C12F4" w:rsidP="003C12F4">
            <w:pPr>
              <w:spacing w:line="360" w:lineRule="auto"/>
              <w:rPr>
                <w:rFonts w:ascii="Helvetica" w:hAnsi="Helvetica" w:cs="Helvetica"/>
              </w:rPr>
            </w:pPr>
            <w:r w:rsidRPr="003C12F4">
              <w:rPr>
                <w:rFonts w:ascii="Helvetica" w:hAnsi="Helvetica" w:cs="Helvetica"/>
              </w:rPr>
              <w:t>Male</w:t>
            </w:r>
          </w:p>
        </w:tc>
        <w:tc>
          <w:tcPr>
            <w:tcW w:w="1465" w:type="dxa"/>
          </w:tcPr>
          <w:p w14:paraId="3C2494D1" w14:textId="77777777" w:rsidR="003C12F4" w:rsidRPr="003C12F4" w:rsidRDefault="003C12F4" w:rsidP="003C12F4">
            <w:pPr>
              <w:spacing w:line="360" w:lineRule="auto"/>
              <w:rPr>
                <w:rFonts w:ascii="Helvetica" w:hAnsi="Helvetica" w:cs="Helvetica"/>
              </w:rPr>
            </w:pPr>
            <w:r w:rsidRPr="003C12F4">
              <w:rPr>
                <w:rFonts w:ascii="Helvetica" w:hAnsi="Helvetica" w:cs="Helvetica"/>
              </w:rPr>
              <w:t>3015</w:t>
            </w:r>
          </w:p>
        </w:tc>
        <w:tc>
          <w:tcPr>
            <w:tcW w:w="1584" w:type="dxa"/>
          </w:tcPr>
          <w:p w14:paraId="626DE07A"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50.68</w:t>
            </w:r>
          </w:p>
        </w:tc>
        <w:tc>
          <w:tcPr>
            <w:tcW w:w="1687" w:type="dxa"/>
          </w:tcPr>
          <w:p w14:paraId="2C499E42"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10633</w:t>
            </w:r>
          </w:p>
        </w:tc>
        <w:tc>
          <w:tcPr>
            <w:tcW w:w="1585" w:type="dxa"/>
          </w:tcPr>
          <w:p w14:paraId="1F49201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50.72</w:t>
            </w:r>
          </w:p>
        </w:tc>
      </w:tr>
      <w:tr w:rsidR="003C12F4" w:rsidRPr="003C12F4" w14:paraId="356DD665" w14:textId="77777777" w:rsidTr="00470CE7">
        <w:tc>
          <w:tcPr>
            <w:tcW w:w="1985" w:type="dxa"/>
          </w:tcPr>
          <w:p w14:paraId="29E14A71" w14:textId="77777777" w:rsidR="003C12F4" w:rsidRPr="003C12F4" w:rsidRDefault="003C12F4" w:rsidP="003C12F4">
            <w:pPr>
              <w:spacing w:line="360" w:lineRule="auto"/>
              <w:rPr>
                <w:rFonts w:ascii="Helvetica" w:hAnsi="Helvetica" w:cs="Helvetica"/>
              </w:rPr>
            </w:pPr>
            <w:r w:rsidRPr="003C12F4">
              <w:rPr>
                <w:rFonts w:ascii="Helvetica" w:hAnsi="Helvetica" w:cs="Helvetica"/>
              </w:rPr>
              <w:t>Female</w:t>
            </w:r>
          </w:p>
        </w:tc>
        <w:tc>
          <w:tcPr>
            <w:tcW w:w="1465" w:type="dxa"/>
          </w:tcPr>
          <w:p w14:paraId="42F18C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2934</w:t>
            </w:r>
          </w:p>
        </w:tc>
        <w:tc>
          <w:tcPr>
            <w:tcW w:w="1584" w:type="dxa"/>
          </w:tcPr>
          <w:p w14:paraId="47A992E0"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49.32</w:t>
            </w:r>
          </w:p>
        </w:tc>
        <w:tc>
          <w:tcPr>
            <w:tcW w:w="1687" w:type="dxa"/>
          </w:tcPr>
          <w:p w14:paraId="4F74882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10331</w:t>
            </w:r>
          </w:p>
        </w:tc>
        <w:tc>
          <w:tcPr>
            <w:tcW w:w="1585" w:type="dxa"/>
          </w:tcPr>
          <w:p w14:paraId="4498CFEF"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49.28</w:t>
            </w:r>
          </w:p>
        </w:tc>
      </w:tr>
      <w:tr w:rsidR="003C12F4" w:rsidRPr="003C12F4" w14:paraId="261CFEDE" w14:textId="77777777" w:rsidTr="00470CE7">
        <w:tc>
          <w:tcPr>
            <w:tcW w:w="1985" w:type="dxa"/>
          </w:tcPr>
          <w:p w14:paraId="51C6C0F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Residence</w:t>
            </w:r>
          </w:p>
        </w:tc>
        <w:tc>
          <w:tcPr>
            <w:tcW w:w="1465" w:type="dxa"/>
          </w:tcPr>
          <w:p w14:paraId="50E5F9F5" w14:textId="77777777" w:rsidR="003C12F4" w:rsidRPr="003C12F4" w:rsidRDefault="003C12F4" w:rsidP="003C12F4">
            <w:pPr>
              <w:spacing w:line="360" w:lineRule="auto"/>
              <w:rPr>
                <w:rFonts w:ascii="Helvetica" w:hAnsi="Helvetica" w:cs="Helvetica"/>
              </w:rPr>
            </w:pPr>
          </w:p>
        </w:tc>
        <w:tc>
          <w:tcPr>
            <w:tcW w:w="1584" w:type="dxa"/>
          </w:tcPr>
          <w:p w14:paraId="21B2FC41" w14:textId="77777777" w:rsidR="003C12F4" w:rsidRPr="003C12F4" w:rsidRDefault="003C12F4" w:rsidP="003C12F4">
            <w:pPr>
              <w:spacing w:line="360" w:lineRule="auto"/>
              <w:rPr>
                <w:rFonts w:ascii="Helvetica" w:hAnsi="Helvetica" w:cs="Helvetica"/>
              </w:rPr>
            </w:pPr>
          </w:p>
        </w:tc>
        <w:tc>
          <w:tcPr>
            <w:tcW w:w="1687" w:type="dxa"/>
          </w:tcPr>
          <w:p w14:paraId="6A8411B1" w14:textId="77777777" w:rsidR="003C12F4" w:rsidRPr="003C12F4" w:rsidRDefault="003C12F4" w:rsidP="003C12F4">
            <w:pPr>
              <w:spacing w:line="360" w:lineRule="auto"/>
              <w:rPr>
                <w:rFonts w:ascii="Helvetica" w:hAnsi="Helvetica" w:cs="Helvetica"/>
              </w:rPr>
            </w:pPr>
          </w:p>
        </w:tc>
        <w:tc>
          <w:tcPr>
            <w:tcW w:w="1585" w:type="dxa"/>
          </w:tcPr>
          <w:p w14:paraId="67A7A976" w14:textId="77777777" w:rsidR="003C12F4" w:rsidRPr="003C12F4" w:rsidRDefault="003C12F4" w:rsidP="003C12F4">
            <w:pPr>
              <w:spacing w:line="360" w:lineRule="auto"/>
              <w:rPr>
                <w:rFonts w:ascii="Helvetica" w:hAnsi="Helvetica" w:cs="Helvetica"/>
              </w:rPr>
            </w:pPr>
          </w:p>
        </w:tc>
      </w:tr>
      <w:tr w:rsidR="003C12F4" w:rsidRPr="003C12F4" w14:paraId="3A62324B" w14:textId="77777777" w:rsidTr="00470CE7">
        <w:tc>
          <w:tcPr>
            <w:tcW w:w="1985" w:type="dxa"/>
          </w:tcPr>
          <w:p w14:paraId="416A4C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Urban</w:t>
            </w:r>
          </w:p>
        </w:tc>
        <w:tc>
          <w:tcPr>
            <w:tcW w:w="1465" w:type="dxa"/>
          </w:tcPr>
          <w:p w14:paraId="261189F3"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1534</w:t>
            </w:r>
          </w:p>
        </w:tc>
        <w:tc>
          <w:tcPr>
            <w:tcW w:w="1584" w:type="dxa"/>
          </w:tcPr>
          <w:p w14:paraId="09E60693" w14:textId="77777777" w:rsidR="003C12F4" w:rsidRPr="003C12F4" w:rsidRDefault="003C12F4" w:rsidP="003C12F4">
            <w:pPr>
              <w:spacing w:line="360" w:lineRule="auto"/>
              <w:rPr>
                <w:rFonts w:ascii="Helvetica" w:hAnsi="Helvetica" w:cs="Helvetica"/>
              </w:rPr>
            </w:pPr>
            <w:r w:rsidRPr="003C12F4">
              <w:rPr>
                <w:rFonts w:ascii="Helvetica" w:hAnsi="Helvetica" w:cs="Helvetica"/>
              </w:rPr>
              <w:t>25.79</w:t>
            </w:r>
          </w:p>
        </w:tc>
        <w:tc>
          <w:tcPr>
            <w:tcW w:w="1687" w:type="dxa"/>
          </w:tcPr>
          <w:p w14:paraId="5896D9F7" w14:textId="77777777" w:rsidR="003C12F4" w:rsidRPr="003C12F4" w:rsidRDefault="003C12F4" w:rsidP="003C12F4">
            <w:pPr>
              <w:spacing w:line="360" w:lineRule="auto"/>
              <w:rPr>
                <w:rFonts w:ascii="Helvetica" w:hAnsi="Helvetica" w:cs="Helvetica"/>
              </w:rPr>
            </w:pPr>
            <w:r w:rsidRPr="003C12F4">
              <w:rPr>
                <w:rFonts w:ascii="Helvetica" w:hAnsi="Helvetica" w:cs="Helvetica"/>
              </w:rPr>
              <w:t>6828</w:t>
            </w:r>
          </w:p>
        </w:tc>
        <w:tc>
          <w:tcPr>
            <w:tcW w:w="1585" w:type="dxa"/>
          </w:tcPr>
          <w:p w14:paraId="2E34CB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32.57</w:t>
            </w:r>
          </w:p>
        </w:tc>
      </w:tr>
      <w:tr w:rsidR="003C12F4" w:rsidRPr="003C12F4" w14:paraId="3E737029" w14:textId="77777777" w:rsidTr="00470CE7">
        <w:tc>
          <w:tcPr>
            <w:tcW w:w="1985" w:type="dxa"/>
            <w:tcBorders>
              <w:bottom w:val="single" w:sz="4" w:space="0" w:color="auto"/>
            </w:tcBorders>
          </w:tcPr>
          <w:p w14:paraId="643037A4" w14:textId="77777777" w:rsidR="003C12F4" w:rsidRPr="003C12F4" w:rsidRDefault="003C12F4" w:rsidP="003C12F4">
            <w:pPr>
              <w:spacing w:line="360" w:lineRule="auto"/>
              <w:rPr>
                <w:rFonts w:ascii="Helvetica" w:hAnsi="Helvetica" w:cs="Helvetica"/>
              </w:rPr>
            </w:pPr>
            <w:r w:rsidRPr="003C12F4">
              <w:rPr>
                <w:rFonts w:ascii="Helvetica" w:hAnsi="Helvetica" w:cs="Helvetica"/>
              </w:rPr>
              <w:t>Rural</w:t>
            </w:r>
          </w:p>
        </w:tc>
        <w:tc>
          <w:tcPr>
            <w:tcW w:w="1465" w:type="dxa"/>
            <w:tcBorders>
              <w:bottom w:val="single" w:sz="4" w:space="0" w:color="auto"/>
            </w:tcBorders>
          </w:tcPr>
          <w:p w14:paraId="28D38A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4415</w:t>
            </w:r>
          </w:p>
        </w:tc>
        <w:tc>
          <w:tcPr>
            <w:tcW w:w="1584" w:type="dxa"/>
            <w:tcBorders>
              <w:bottom w:val="single" w:sz="4" w:space="0" w:color="auto"/>
            </w:tcBorders>
          </w:tcPr>
          <w:p w14:paraId="5686C6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74.21</w:t>
            </w:r>
          </w:p>
        </w:tc>
        <w:tc>
          <w:tcPr>
            <w:tcW w:w="1687" w:type="dxa"/>
            <w:tcBorders>
              <w:bottom w:val="single" w:sz="4" w:space="0" w:color="auto"/>
            </w:tcBorders>
          </w:tcPr>
          <w:p w14:paraId="0B8A377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14136</w:t>
            </w:r>
          </w:p>
        </w:tc>
        <w:tc>
          <w:tcPr>
            <w:tcW w:w="1585" w:type="dxa"/>
            <w:tcBorders>
              <w:bottom w:val="single" w:sz="4" w:space="0" w:color="auto"/>
            </w:tcBorders>
          </w:tcPr>
          <w:p w14:paraId="507F4B2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67.43</w:t>
            </w:r>
          </w:p>
        </w:tc>
      </w:tr>
    </w:tbl>
    <w:p w14:paraId="6DA2AFEE"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154431E7"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Trends in child malnutrition and socioeconomic disparities</w:t>
      </w:r>
    </w:p>
    <w:p w14:paraId="328CE405" w14:textId="662C14AC" w:rsidR="003C12F4" w:rsidRPr="003C12F4" w:rsidRDefault="00F154E8" w:rsidP="00A6267B">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b/>
          <w:bCs/>
          <w:sz w:val="24"/>
          <w:szCs w:val="24"/>
          <w:lang w:val="en-GB"/>
        </w:rPr>
        <w:t>Table 2</w:t>
      </w:r>
      <w:r w:rsidRPr="003C12F4">
        <w:rPr>
          <w:rFonts w:ascii="Helvetica" w:eastAsia="MS Mincho" w:hAnsi="Helvetica" w:cs="Helvetica"/>
          <w:sz w:val="24"/>
          <w:szCs w:val="24"/>
          <w:lang w:val="en-GB"/>
        </w:rPr>
        <w:t xml:space="preserve"> presents a summary of the prevalence of malnutrition among children under the age of five years in Kenya by socioeconomic groups between 2003 and 2014. </w:t>
      </w:r>
      <w:r w:rsidR="003C12F4" w:rsidRPr="003C12F4">
        <w:rPr>
          <w:rFonts w:ascii="Helvetica" w:eastAsia="MS Mincho" w:hAnsi="Helvetica" w:cs="Helvetica"/>
          <w:sz w:val="24"/>
          <w:szCs w:val="24"/>
          <w:lang w:val="en-GB"/>
        </w:rPr>
        <w:t xml:space="preserve">The prevalence of all indicators of under-five child malnutrition in Kenya, that is, stunting, underweight, and wasting reduced substantially between 2003 and 2014. The percentage reductions in these indicators were 7.36%, 3.10%, and 1.72% for stunting, underweight, and wasting, respectively. The highest percentages decrease across all socioeconomic groups was observed for stunting (7.36%) whereas the least percentage decreases were observed for wasting (1.72%). </w:t>
      </w:r>
      <w:r w:rsidR="003F599E" w:rsidRPr="003F599E">
        <w:rPr>
          <w:rFonts w:ascii="Helvetica" w:hAnsi="Helvetica" w:cs="Helvetica"/>
          <w:sz w:val="24"/>
          <w:szCs w:val="24"/>
        </w:rPr>
        <w:t xml:space="preserve">The prevalence of stunting between 2003 and 2014 decreased significantly across all socioeconomic groups from the poorest to the richest whereas the proportions </w:t>
      </w:r>
      <w:r w:rsidR="003F599E" w:rsidRPr="003F599E">
        <w:rPr>
          <w:rFonts w:ascii="Helvetica" w:hAnsi="Helvetica" w:cs="Helvetica"/>
          <w:sz w:val="24"/>
          <w:szCs w:val="24"/>
        </w:rPr>
        <w:lastRenderedPageBreak/>
        <w:t xml:space="preserve">of underweight declined significantly for all the other socioeconomic quintiles apart from the lest affluent group. Similarly, the percentage reductions in wasting proportions were significant for all the other socioeconomic quintiles except for the least affluent category. </w:t>
      </w:r>
      <w:r w:rsidR="003C12F4" w:rsidRPr="003C12F4">
        <w:rPr>
          <w:rFonts w:ascii="Helvetica" w:eastAsia="MS Mincho" w:hAnsi="Helvetica" w:cs="Helvetica"/>
          <w:sz w:val="24"/>
          <w:szCs w:val="24"/>
          <w:lang w:val="en-GB"/>
        </w:rPr>
        <w:br w:type="page"/>
      </w:r>
    </w:p>
    <w:p w14:paraId="621457B3"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sectPr w:rsidR="003C12F4" w:rsidRPr="003C12F4" w:rsidSect="00F7018A">
          <w:footerReference w:type="even" r:id="rId9"/>
          <w:footerReference w:type="default" r:id="rId10"/>
          <w:pgSz w:w="11900" w:h="16840"/>
          <w:pgMar w:top="1440" w:right="1797" w:bottom="1440" w:left="1797" w:header="709" w:footer="709" w:gutter="0"/>
          <w:lnNumType w:countBy="1" w:restart="continuous"/>
          <w:cols w:space="708"/>
          <w:docGrid w:linePitch="360"/>
        </w:sectPr>
      </w:pPr>
    </w:p>
    <w:p w14:paraId="41755D99" w14:textId="0F3BEA92" w:rsidR="003C12F4" w:rsidRPr="003C12F4" w:rsidRDefault="003C12F4" w:rsidP="003C12F4">
      <w:pPr>
        <w:keepNext/>
        <w:spacing w:line="240" w:lineRule="auto"/>
        <w:rPr>
          <w:rFonts w:ascii="Helvetica" w:eastAsia="MS Mincho" w:hAnsi="Helvetica" w:cs="Helvetica"/>
          <w:b/>
          <w:bCs/>
          <w:sz w:val="24"/>
          <w:szCs w:val="24"/>
          <w:lang w:val="en-GB"/>
        </w:rPr>
      </w:pPr>
      <w:r w:rsidRPr="003C12F4">
        <w:rPr>
          <w:rFonts w:ascii="Helvetica" w:eastAsia="MS Mincho" w:hAnsi="Helvetica" w:cs="Helvetica"/>
          <w:b/>
          <w:bCs/>
          <w:sz w:val="24"/>
          <w:szCs w:val="24"/>
          <w:lang w:val="en-GB"/>
        </w:rPr>
        <w:lastRenderedPageBreak/>
        <w:t xml:space="preserve">Table </w:t>
      </w:r>
      <w:r w:rsidRPr="003C12F4">
        <w:rPr>
          <w:rFonts w:ascii="Helvetica" w:eastAsia="MS Mincho" w:hAnsi="Helvetica" w:cs="Helvetica"/>
          <w:b/>
          <w:bCs/>
          <w:sz w:val="24"/>
          <w:szCs w:val="24"/>
          <w:lang w:val="en-GB"/>
        </w:rPr>
        <w:fldChar w:fldCharType="begin"/>
      </w:r>
      <w:r w:rsidRPr="003C12F4">
        <w:rPr>
          <w:rFonts w:ascii="Helvetica" w:eastAsia="MS Mincho" w:hAnsi="Helvetica" w:cs="Helvetica"/>
          <w:b/>
          <w:bCs/>
          <w:sz w:val="24"/>
          <w:szCs w:val="24"/>
          <w:lang w:val="en-GB"/>
        </w:rPr>
        <w:instrText xml:space="preserve"> SEQ Table \* ARABIC </w:instrText>
      </w:r>
      <w:r w:rsidRPr="003C12F4">
        <w:rPr>
          <w:rFonts w:ascii="Helvetica" w:eastAsia="MS Mincho" w:hAnsi="Helvetica" w:cs="Helvetica"/>
          <w:b/>
          <w:bCs/>
          <w:sz w:val="24"/>
          <w:szCs w:val="24"/>
          <w:lang w:val="en-GB"/>
        </w:rPr>
        <w:fldChar w:fldCharType="separate"/>
      </w:r>
      <w:r w:rsidR="006326D3">
        <w:rPr>
          <w:rFonts w:ascii="Helvetica" w:eastAsia="MS Mincho" w:hAnsi="Helvetica" w:cs="Helvetica"/>
          <w:b/>
          <w:bCs/>
          <w:noProof/>
          <w:sz w:val="24"/>
          <w:szCs w:val="24"/>
          <w:lang w:val="en-GB"/>
        </w:rPr>
        <w:t>2</w:t>
      </w:r>
      <w:r w:rsidRPr="003C12F4">
        <w:rPr>
          <w:rFonts w:ascii="Helvetica" w:eastAsia="MS Mincho" w:hAnsi="Helvetica" w:cs="Helvetica"/>
          <w:b/>
          <w:bCs/>
          <w:sz w:val="24"/>
          <w:szCs w:val="24"/>
          <w:lang w:val="en-GB"/>
        </w:rPr>
        <w:fldChar w:fldCharType="end"/>
      </w:r>
      <w:r w:rsidRPr="003C12F4">
        <w:rPr>
          <w:rFonts w:ascii="Helvetica" w:eastAsia="MS Mincho" w:hAnsi="Helvetica" w:cs="Helvetica"/>
          <w:b/>
          <w:bCs/>
          <w:sz w:val="24"/>
          <w:szCs w:val="24"/>
          <w:lang w:val="en-GB"/>
        </w:rPr>
        <w:t>. Proportions of child malnutrition, 2003 and 2014</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3961"/>
        <w:gridCol w:w="2500"/>
        <w:gridCol w:w="1444"/>
        <w:gridCol w:w="1537"/>
        <w:gridCol w:w="1537"/>
        <w:gridCol w:w="1537"/>
        <w:gridCol w:w="1444"/>
      </w:tblGrid>
      <w:tr w:rsidR="003C12F4" w:rsidRPr="003C12F4" w14:paraId="1E09EDBE" w14:textId="77777777" w:rsidTr="003C12F4">
        <w:tc>
          <w:tcPr>
            <w:tcW w:w="3261" w:type="dxa"/>
          </w:tcPr>
          <w:p w14:paraId="4E947BD1" w14:textId="77777777" w:rsidR="003C12F4" w:rsidRPr="003C12F4" w:rsidRDefault="003C12F4" w:rsidP="003C12F4">
            <w:pPr>
              <w:spacing w:line="276" w:lineRule="auto"/>
              <w:jc w:val="both"/>
              <w:rPr>
                <w:rFonts w:ascii="Helvetica" w:hAnsi="Helvetica" w:cs="Helvetica"/>
              </w:rPr>
            </w:pPr>
          </w:p>
        </w:tc>
        <w:tc>
          <w:tcPr>
            <w:tcW w:w="10697" w:type="dxa"/>
            <w:gridSpan w:val="6"/>
          </w:tcPr>
          <w:p w14:paraId="315ED479" w14:textId="77777777" w:rsidR="003C12F4" w:rsidRPr="003C12F4" w:rsidRDefault="003C12F4" w:rsidP="003C12F4">
            <w:pPr>
              <w:spacing w:line="276" w:lineRule="auto"/>
              <w:jc w:val="center"/>
              <w:rPr>
                <w:rFonts w:ascii="Helvetica" w:hAnsi="Helvetica" w:cs="Helvetica"/>
                <w:b/>
                <w:bCs/>
              </w:rPr>
            </w:pPr>
            <w:r w:rsidRPr="003C12F4">
              <w:rPr>
                <w:rFonts w:ascii="Helvetica" w:hAnsi="Helvetica" w:cs="Helvetica"/>
                <w:b/>
                <w:bCs/>
              </w:rPr>
              <w:t>Malnutrition statistics in Kenya by household socioeconomic status (% Standard Error)</w:t>
            </w:r>
          </w:p>
        </w:tc>
      </w:tr>
      <w:tr w:rsidR="003C12F4" w:rsidRPr="003C12F4" w14:paraId="62E6D855" w14:textId="77777777" w:rsidTr="003C12F4">
        <w:tc>
          <w:tcPr>
            <w:tcW w:w="3261" w:type="dxa"/>
          </w:tcPr>
          <w:p w14:paraId="7DF245F2" w14:textId="77777777" w:rsidR="003C12F4" w:rsidRPr="003C12F4" w:rsidRDefault="003C12F4" w:rsidP="003C12F4">
            <w:pPr>
              <w:spacing w:line="276" w:lineRule="auto"/>
              <w:jc w:val="both"/>
              <w:rPr>
                <w:rFonts w:ascii="Helvetica" w:hAnsi="Helvetica" w:cs="Helvetica"/>
              </w:rPr>
            </w:pPr>
          </w:p>
        </w:tc>
        <w:tc>
          <w:tcPr>
            <w:tcW w:w="1517" w:type="dxa"/>
          </w:tcPr>
          <w:p w14:paraId="52725065"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Poorest</w:t>
            </w:r>
          </w:p>
        </w:tc>
        <w:tc>
          <w:tcPr>
            <w:tcW w:w="0" w:type="auto"/>
          </w:tcPr>
          <w:p w14:paraId="068319B9"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Poorer</w:t>
            </w:r>
          </w:p>
        </w:tc>
        <w:tc>
          <w:tcPr>
            <w:tcW w:w="0" w:type="auto"/>
          </w:tcPr>
          <w:p w14:paraId="6E7E7850"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Middle</w:t>
            </w:r>
          </w:p>
        </w:tc>
        <w:tc>
          <w:tcPr>
            <w:tcW w:w="0" w:type="auto"/>
          </w:tcPr>
          <w:p w14:paraId="04DA986A"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Richer</w:t>
            </w:r>
          </w:p>
        </w:tc>
        <w:tc>
          <w:tcPr>
            <w:tcW w:w="0" w:type="auto"/>
          </w:tcPr>
          <w:p w14:paraId="5115DE04"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Richest</w:t>
            </w:r>
          </w:p>
        </w:tc>
        <w:tc>
          <w:tcPr>
            <w:tcW w:w="0" w:type="auto"/>
          </w:tcPr>
          <w:p w14:paraId="4EF3328B"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All</w:t>
            </w:r>
          </w:p>
        </w:tc>
      </w:tr>
      <w:tr w:rsidR="003C12F4" w:rsidRPr="003C12F4" w14:paraId="06DBF1F1" w14:textId="77777777" w:rsidTr="003C12F4">
        <w:tc>
          <w:tcPr>
            <w:tcW w:w="3261" w:type="dxa"/>
          </w:tcPr>
          <w:p w14:paraId="4D062CEA"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 xml:space="preserve">Stunting </w:t>
            </w:r>
            <w:proofErr w:type="gramStart"/>
            <w:r w:rsidRPr="003C12F4">
              <w:rPr>
                <w:rFonts w:ascii="Helvetica" w:hAnsi="Helvetica" w:cs="Helvetica"/>
                <w:b/>
                <w:bCs/>
              </w:rPr>
              <w:t>( height</w:t>
            </w:r>
            <w:proofErr w:type="gramEnd"/>
            <w:r w:rsidRPr="003C12F4">
              <w:rPr>
                <w:rFonts w:ascii="Helvetica" w:hAnsi="Helvetica" w:cs="Helvetica"/>
                <w:b/>
                <w:bCs/>
              </w:rPr>
              <w:t xml:space="preserve"> for age, &lt;2SD)</w:t>
            </w:r>
          </w:p>
        </w:tc>
        <w:tc>
          <w:tcPr>
            <w:tcW w:w="1517" w:type="dxa"/>
          </w:tcPr>
          <w:p w14:paraId="00F5E667" w14:textId="77777777" w:rsidR="003C12F4" w:rsidRPr="003C12F4" w:rsidRDefault="003C12F4" w:rsidP="003C12F4">
            <w:pPr>
              <w:spacing w:line="276" w:lineRule="auto"/>
              <w:jc w:val="both"/>
              <w:rPr>
                <w:rFonts w:ascii="Helvetica" w:hAnsi="Helvetica" w:cs="Helvetica"/>
              </w:rPr>
            </w:pPr>
          </w:p>
        </w:tc>
        <w:tc>
          <w:tcPr>
            <w:tcW w:w="0" w:type="auto"/>
          </w:tcPr>
          <w:p w14:paraId="7494A547" w14:textId="77777777" w:rsidR="003C12F4" w:rsidRPr="003C12F4" w:rsidRDefault="003C12F4" w:rsidP="003C12F4">
            <w:pPr>
              <w:spacing w:line="276" w:lineRule="auto"/>
              <w:jc w:val="both"/>
              <w:rPr>
                <w:rFonts w:ascii="Helvetica" w:hAnsi="Helvetica" w:cs="Helvetica"/>
              </w:rPr>
            </w:pPr>
          </w:p>
        </w:tc>
        <w:tc>
          <w:tcPr>
            <w:tcW w:w="0" w:type="auto"/>
          </w:tcPr>
          <w:p w14:paraId="059586EA" w14:textId="77777777" w:rsidR="003C12F4" w:rsidRPr="003C12F4" w:rsidRDefault="003C12F4" w:rsidP="003C12F4">
            <w:pPr>
              <w:spacing w:line="276" w:lineRule="auto"/>
              <w:jc w:val="both"/>
              <w:rPr>
                <w:rFonts w:ascii="Helvetica" w:hAnsi="Helvetica" w:cs="Helvetica"/>
              </w:rPr>
            </w:pPr>
          </w:p>
        </w:tc>
        <w:tc>
          <w:tcPr>
            <w:tcW w:w="0" w:type="auto"/>
          </w:tcPr>
          <w:p w14:paraId="5465703C" w14:textId="77777777" w:rsidR="003C12F4" w:rsidRPr="003C12F4" w:rsidRDefault="003C12F4" w:rsidP="003C12F4">
            <w:pPr>
              <w:spacing w:line="276" w:lineRule="auto"/>
              <w:jc w:val="both"/>
              <w:rPr>
                <w:rFonts w:ascii="Helvetica" w:hAnsi="Helvetica" w:cs="Helvetica"/>
              </w:rPr>
            </w:pPr>
          </w:p>
        </w:tc>
        <w:tc>
          <w:tcPr>
            <w:tcW w:w="0" w:type="auto"/>
          </w:tcPr>
          <w:p w14:paraId="528F9499" w14:textId="77777777" w:rsidR="003C12F4" w:rsidRPr="003C12F4" w:rsidRDefault="003C12F4" w:rsidP="003C12F4">
            <w:pPr>
              <w:spacing w:line="276" w:lineRule="auto"/>
              <w:jc w:val="both"/>
              <w:rPr>
                <w:rFonts w:ascii="Helvetica" w:hAnsi="Helvetica" w:cs="Helvetica"/>
              </w:rPr>
            </w:pPr>
          </w:p>
        </w:tc>
        <w:tc>
          <w:tcPr>
            <w:tcW w:w="0" w:type="auto"/>
          </w:tcPr>
          <w:p w14:paraId="69449383" w14:textId="77777777" w:rsidR="003C12F4" w:rsidRPr="003C12F4" w:rsidRDefault="003C12F4" w:rsidP="003C12F4">
            <w:pPr>
              <w:spacing w:line="276" w:lineRule="auto"/>
              <w:jc w:val="both"/>
              <w:rPr>
                <w:rFonts w:ascii="Helvetica" w:hAnsi="Helvetica" w:cs="Helvetica"/>
              </w:rPr>
            </w:pPr>
          </w:p>
        </w:tc>
      </w:tr>
      <w:tr w:rsidR="003C12F4" w:rsidRPr="003C12F4" w14:paraId="02BCCBC2" w14:textId="77777777" w:rsidTr="003C12F4">
        <w:tc>
          <w:tcPr>
            <w:tcW w:w="3261" w:type="dxa"/>
          </w:tcPr>
          <w:p w14:paraId="3EDD6CD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1517" w:type="dxa"/>
          </w:tcPr>
          <w:p w14:paraId="4FA62A9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41.59(1.76)</w:t>
            </w:r>
          </w:p>
        </w:tc>
        <w:tc>
          <w:tcPr>
            <w:tcW w:w="0" w:type="auto"/>
          </w:tcPr>
          <w:p w14:paraId="34BD71B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38.76(1.77)</w:t>
            </w:r>
          </w:p>
        </w:tc>
        <w:tc>
          <w:tcPr>
            <w:tcW w:w="0" w:type="auto"/>
          </w:tcPr>
          <w:p w14:paraId="62C091E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38.43(1.87)</w:t>
            </w:r>
          </w:p>
        </w:tc>
        <w:tc>
          <w:tcPr>
            <w:tcW w:w="0" w:type="auto"/>
          </w:tcPr>
          <w:p w14:paraId="10A9767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36.13(1.79)</w:t>
            </w:r>
          </w:p>
        </w:tc>
        <w:tc>
          <w:tcPr>
            <w:tcW w:w="0" w:type="auto"/>
          </w:tcPr>
          <w:p w14:paraId="5032E4F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30.92(1.77)</w:t>
            </w:r>
          </w:p>
        </w:tc>
        <w:tc>
          <w:tcPr>
            <w:tcW w:w="0" w:type="auto"/>
          </w:tcPr>
          <w:p w14:paraId="4B86858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34.43(0.68)</w:t>
            </w:r>
          </w:p>
        </w:tc>
      </w:tr>
      <w:tr w:rsidR="003C12F4" w:rsidRPr="003C12F4" w14:paraId="522C9DE7" w14:textId="77777777" w:rsidTr="003C12F4">
        <w:tc>
          <w:tcPr>
            <w:tcW w:w="3261" w:type="dxa"/>
          </w:tcPr>
          <w:p w14:paraId="1FE18AC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1517" w:type="dxa"/>
          </w:tcPr>
          <w:p w14:paraId="2A968C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34.18(0.59)</w:t>
            </w:r>
          </w:p>
        </w:tc>
        <w:tc>
          <w:tcPr>
            <w:tcW w:w="0" w:type="auto"/>
          </w:tcPr>
          <w:p w14:paraId="6C8E6EE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30.23(0.73)</w:t>
            </w:r>
          </w:p>
        </w:tc>
        <w:tc>
          <w:tcPr>
            <w:tcW w:w="0" w:type="auto"/>
          </w:tcPr>
          <w:p w14:paraId="2F425C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24.87(0.77)</w:t>
            </w:r>
          </w:p>
        </w:tc>
        <w:tc>
          <w:tcPr>
            <w:tcW w:w="0" w:type="auto"/>
          </w:tcPr>
          <w:p w14:paraId="1FE2A13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20.64(0.77)</w:t>
            </w:r>
          </w:p>
        </w:tc>
        <w:tc>
          <w:tcPr>
            <w:tcW w:w="0" w:type="auto"/>
          </w:tcPr>
          <w:p w14:paraId="544EABB7"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12.92(0.68)</w:t>
            </w:r>
          </w:p>
        </w:tc>
        <w:tc>
          <w:tcPr>
            <w:tcW w:w="0" w:type="auto"/>
          </w:tcPr>
          <w:p w14:paraId="691E804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27.07(0.33)</w:t>
            </w:r>
          </w:p>
        </w:tc>
      </w:tr>
      <w:tr w:rsidR="003C12F4" w:rsidRPr="003C12F4" w14:paraId="4B0ED88E" w14:textId="77777777" w:rsidTr="003C12F4">
        <w:tc>
          <w:tcPr>
            <w:tcW w:w="3261" w:type="dxa"/>
          </w:tcPr>
          <w:p w14:paraId="14B28CE6"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Difference-1</w:t>
            </w:r>
          </w:p>
        </w:tc>
        <w:tc>
          <w:tcPr>
            <w:tcW w:w="1517" w:type="dxa"/>
          </w:tcPr>
          <w:p w14:paraId="20D40F33" w14:textId="77777777" w:rsidR="003C12F4" w:rsidRPr="003C12F4" w:rsidRDefault="003C12F4" w:rsidP="003C12F4">
            <w:pPr>
              <w:spacing w:line="276" w:lineRule="auto"/>
              <w:jc w:val="both"/>
              <w:rPr>
                <w:rFonts w:ascii="Helvetica" w:hAnsi="Helvetica" w:cs="Helvetica"/>
                <w:vertAlign w:val="superscript"/>
              </w:rPr>
            </w:pPr>
            <w:r w:rsidRPr="003C12F4">
              <w:rPr>
                <w:rFonts w:ascii="Helvetica" w:hAnsi="Helvetica" w:cs="Helvetica"/>
              </w:rPr>
              <w:t>7.41(1.</w:t>
            </w:r>
            <w:proofErr w:type="gramStart"/>
            <w:r w:rsidRPr="003C12F4">
              <w:rPr>
                <w:rFonts w:ascii="Helvetica" w:hAnsi="Helvetica" w:cs="Helvetica"/>
              </w:rPr>
              <w:t>86)*</w:t>
            </w:r>
            <w:proofErr w:type="gramEnd"/>
          </w:p>
        </w:tc>
        <w:tc>
          <w:tcPr>
            <w:tcW w:w="0" w:type="auto"/>
          </w:tcPr>
          <w:p w14:paraId="0257E17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1.91(1.</w:t>
            </w:r>
            <w:proofErr w:type="gramStart"/>
            <w:r w:rsidRPr="003C12F4">
              <w:rPr>
                <w:rFonts w:ascii="Helvetica" w:hAnsi="Helvetica" w:cs="Helvetica"/>
              </w:rPr>
              <w:t>84)*</w:t>
            </w:r>
            <w:proofErr w:type="gramEnd"/>
          </w:p>
        </w:tc>
        <w:tc>
          <w:tcPr>
            <w:tcW w:w="0" w:type="auto"/>
          </w:tcPr>
          <w:p w14:paraId="0072103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13.56(2.</w:t>
            </w:r>
            <w:proofErr w:type="gramStart"/>
            <w:r w:rsidRPr="003C12F4">
              <w:rPr>
                <w:rFonts w:ascii="Helvetica" w:hAnsi="Helvetica" w:cs="Helvetica"/>
              </w:rPr>
              <w:t>03)*</w:t>
            </w:r>
            <w:proofErr w:type="gramEnd"/>
          </w:p>
        </w:tc>
        <w:tc>
          <w:tcPr>
            <w:tcW w:w="0" w:type="auto"/>
          </w:tcPr>
          <w:p w14:paraId="32E5C4D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15.49(1.</w:t>
            </w:r>
            <w:proofErr w:type="gramStart"/>
            <w:r w:rsidRPr="003C12F4">
              <w:rPr>
                <w:rFonts w:ascii="Helvetica" w:hAnsi="Helvetica" w:cs="Helvetica"/>
              </w:rPr>
              <w:t>96)*</w:t>
            </w:r>
            <w:proofErr w:type="gramEnd"/>
          </w:p>
        </w:tc>
        <w:tc>
          <w:tcPr>
            <w:tcW w:w="0" w:type="auto"/>
          </w:tcPr>
          <w:p w14:paraId="33BE0E7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17.99(1.</w:t>
            </w:r>
            <w:proofErr w:type="gramStart"/>
            <w:r w:rsidRPr="003C12F4">
              <w:rPr>
                <w:rFonts w:ascii="Helvetica" w:hAnsi="Helvetica" w:cs="Helvetica"/>
              </w:rPr>
              <w:t>91)*</w:t>
            </w:r>
            <w:proofErr w:type="gramEnd"/>
          </w:p>
        </w:tc>
        <w:tc>
          <w:tcPr>
            <w:tcW w:w="0" w:type="auto"/>
          </w:tcPr>
          <w:p w14:paraId="1D3D130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7.36(0.</w:t>
            </w:r>
            <w:proofErr w:type="gramStart"/>
            <w:r w:rsidRPr="003C12F4">
              <w:rPr>
                <w:rFonts w:ascii="Helvetica" w:hAnsi="Helvetica" w:cs="Helvetica"/>
              </w:rPr>
              <w:t>76)*</w:t>
            </w:r>
            <w:proofErr w:type="gramEnd"/>
          </w:p>
        </w:tc>
      </w:tr>
      <w:tr w:rsidR="003C12F4" w:rsidRPr="003C12F4" w14:paraId="7371589E" w14:textId="77777777" w:rsidTr="003C12F4">
        <w:tc>
          <w:tcPr>
            <w:tcW w:w="3261" w:type="dxa"/>
          </w:tcPr>
          <w:p w14:paraId="139690D9"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Underweight (weight for age, &lt;2SD)</w:t>
            </w:r>
          </w:p>
        </w:tc>
        <w:tc>
          <w:tcPr>
            <w:tcW w:w="1517" w:type="dxa"/>
          </w:tcPr>
          <w:p w14:paraId="123F9B1E" w14:textId="77777777" w:rsidR="003C12F4" w:rsidRPr="003C12F4" w:rsidRDefault="003C12F4" w:rsidP="003C12F4">
            <w:pPr>
              <w:spacing w:line="276" w:lineRule="auto"/>
              <w:jc w:val="both"/>
              <w:rPr>
                <w:rFonts w:ascii="Helvetica" w:hAnsi="Helvetica" w:cs="Helvetica"/>
              </w:rPr>
            </w:pPr>
          </w:p>
        </w:tc>
        <w:tc>
          <w:tcPr>
            <w:tcW w:w="0" w:type="auto"/>
          </w:tcPr>
          <w:p w14:paraId="2D2E8FE9" w14:textId="77777777" w:rsidR="003C12F4" w:rsidRPr="003C12F4" w:rsidRDefault="003C12F4" w:rsidP="003C12F4">
            <w:pPr>
              <w:spacing w:line="276" w:lineRule="auto"/>
              <w:jc w:val="both"/>
              <w:rPr>
                <w:rFonts w:ascii="Helvetica" w:hAnsi="Helvetica" w:cs="Helvetica"/>
              </w:rPr>
            </w:pPr>
          </w:p>
        </w:tc>
        <w:tc>
          <w:tcPr>
            <w:tcW w:w="0" w:type="auto"/>
          </w:tcPr>
          <w:p w14:paraId="6E53B875" w14:textId="77777777" w:rsidR="003C12F4" w:rsidRPr="003C12F4" w:rsidRDefault="003C12F4" w:rsidP="003C12F4">
            <w:pPr>
              <w:spacing w:line="276" w:lineRule="auto"/>
              <w:jc w:val="both"/>
              <w:rPr>
                <w:rFonts w:ascii="Helvetica" w:hAnsi="Helvetica" w:cs="Helvetica"/>
              </w:rPr>
            </w:pPr>
          </w:p>
        </w:tc>
        <w:tc>
          <w:tcPr>
            <w:tcW w:w="0" w:type="auto"/>
          </w:tcPr>
          <w:p w14:paraId="1CD8400A" w14:textId="77777777" w:rsidR="003C12F4" w:rsidRPr="003C12F4" w:rsidRDefault="003C12F4" w:rsidP="003C12F4">
            <w:pPr>
              <w:spacing w:line="276" w:lineRule="auto"/>
              <w:jc w:val="both"/>
              <w:rPr>
                <w:rFonts w:ascii="Helvetica" w:hAnsi="Helvetica" w:cs="Helvetica"/>
              </w:rPr>
            </w:pPr>
          </w:p>
        </w:tc>
        <w:tc>
          <w:tcPr>
            <w:tcW w:w="0" w:type="auto"/>
          </w:tcPr>
          <w:p w14:paraId="2F1D89E3" w14:textId="77777777" w:rsidR="003C12F4" w:rsidRPr="003C12F4" w:rsidRDefault="003C12F4" w:rsidP="003C12F4">
            <w:pPr>
              <w:spacing w:line="276" w:lineRule="auto"/>
              <w:jc w:val="both"/>
              <w:rPr>
                <w:rFonts w:ascii="Helvetica" w:hAnsi="Helvetica" w:cs="Helvetica"/>
              </w:rPr>
            </w:pPr>
          </w:p>
        </w:tc>
        <w:tc>
          <w:tcPr>
            <w:tcW w:w="0" w:type="auto"/>
          </w:tcPr>
          <w:p w14:paraId="1B3FA388" w14:textId="77777777" w:rsidR="003C12F4" w:rsidRPr="003C12F4" w:rsidRDefault="003C12F4" w:rsidP="003C12F4">
            <w:pPr>
              <w:spacing w:line="276" w:lineRule="auto"/>
              <w:jc w:val="both"/>
              <w:rPr>
                <w:rFonts w:ascii="Helvetica" w:hAnsi="Helvetica" w:cs="Helvetica"/>
              </w:rPr>
            </w:pPr>
          </w:p>
        </w:tc>
      </w:tr>
      <w:tr w:rsidR="003C12F4" w:rsidRPr="003C12F4" w14:paraId="7F2A6126" w14:textId="77777777" w:rsidTr="003C12F4">
        <w:tc>
          <w:tcPr>
            <w:tcW w:w="3261" w:type="dxa"/>
          </w:tcPr>
          <w:p w14:paraId="5E6198C9"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1517" w:type="dxa"/>
          </w:tcPr>
          <w:p w14:paraId="612F4CB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23.19(1.49)</w:t>
            </w:r>
          </w:p>
        </w:tc>
        <w:tc>
          <w:tcPr>
            <w:tcW w:w="0" w:type="auto"/>
          </w:tcPr>
          <w:p w14:paraId="6E9F89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19.62(1.42)</w:t>
            </w:r>
          </w:p>
        </w:tc>
        <w:tc>
          <w:tcPr>
            <w:tcW w:w="0" w:type="auto"/>
          </w:tcPr>
          <w:p w14:paraId="796A34EF"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17.03(1.43)</w:t>
            </w:r>
          </w:p>
        </w:tc>
        <w:tc>
          <w:tcPr>
            <w:tcW w:w="0" w:type="auto"/>
          </w:tcPr>
          <w:p w14:paraId="7A7D9B6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15.45(1.33)</w:t>
            </w:r>
          </w:p>
        </w:tc>
        <w:tc>
          <w:tcPr>
            <w:tcW w:w="0" w:type="auto"/>
          </w:tcPr>
          <w:p w14:paraId="3FBF8B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15.77(1.38)</w:t>
            </w:r>
          </w:p>
        </w:tc>
        <w:tc>
          <w:tcPr>
            <w:tcW w:w="0" w:type="auto"/>
          </w:tcPr>
          <w:p w14:paraId="325843B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16.29(0.53)</w:t>
            </w:r>
          </w:p>
        </w:tc>
      </w:tr>
      <w:tr w:rsidR="003C12F4" w:rsidRPr="003C12F4" w14:paraId="0BC6D57F" w14:textId="77777777" w:rsidTr="003C12F4">
        <w:tc>
          <w:tcPr>
            <w:tcW w:w="3261" w:type="dxa"/>
          </w:tcPr>
          <w:p w14:paraId="17DDEC50"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1517" w:type="dxa"/>
          </w:tcPr>
          <w:p w14:paraId="37BF762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21.23(0.51)</w:t>
            </w:r>
          </w:p>
        </w:tc>
        <w:tc>
          <w:tcPr>
            <w:tcW w:w="0" w:type="auto"/>
          </w:tcPr>
          <w:p w14:paraId="4723AB4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12.69(0.53)</w:t>
            </w:r>
          </w:p>
        </w:tc>
        <w:tc>
          <w:tcPr>
            <w:tcW w:w="0" w:type="auto"/>
          </w:tcPr>
          <w:p w14:paraId="3E6D99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9.29(0.52)</w:t>
            </w:r>
          </w:p>
        </w:tc>
        <w:tc>
          <w:tcPr>
            <w:tcW w:w="0" w:type="auto"/>
          </w:tcPr>
          <w:p w14:paraId="0D9C444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7.41(0.50)</w:t>
            </w:r>
          </w:p>
        </w:tc>
        <w:tc>
          <w:tcPr>
            <w:tcW w:w="0" w:type="auto"/>
          </w:tcPr>
          <w:p w14:paraId="3EF3209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4.14(0.41)</w:t>
            </w:r>
          </w:p>
        </w:tc>
        <w:tc>
          <w:tcPr>
            <w:tcW w:w="0" w:type="auto"/>
          </w:tcPr>
          <w:p w14:paraId="10363CC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13.19(0.25)</w:t>
            </w:r>
          </w:p>
        </w:tc>
      </w:tr>
      <w:tr w:rsidR="003C12F4" w:rsidRPr="003C12F4" w14:paraId="413179E7" w14:textId="77777777" w:rsidTr="003C12F4">
        <w:tc>
          <w:tcPr>
            <w:tcW w:w="3261" w:type="dxa"/>
          </w:tcPr>
          <w:p w14:paraId="65F920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Difference-2</w:t>
            </w:r>
          </w:p>
        </w:tc>
        <w:tc>
          <w:tcPr>
            <w:tcW w:w="1517" w:type="dxa"/>
          </w:tcPr>
          <w:p w14:paraId="216F5D5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1.96(1.57)</w:t>
            </w:r>
          </w:p>
        </w:tc>
        <w:tc>
          <w:tcPr>
            <w:tcW w:w="0" w:type="auto"/>
          </w:tcPr>
          <w:p w14:paraId="485C80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6.93(1.</w:t>
            </w:r>
            <w:proofErr w:type="gramStart"/>
            <w:r w:rsidRPr="003C12F4">
              <w:rPr>
                <w:rFonts w:ascii="Helvetica" w:hAnsi="Helvetica" w:cs="Helvetica"/>
              </w:rPr>
              <w:t>51)*</w:t>
            </w:r>
            <w:proofErr w:type="gramEnd"/>
          </w:p>
        </w:tc>
        <w:tc>
          <w:tcPr>
            <w:tcW w:w="0" w:type="auto"/>
          </w:tcPr>
          <w:p w14:paraId="1FCA4E3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7.74(1.</w:t>
            </w:r>
            <w:proofErr w:type="gramStart"/>
            <w:r w:rsidRPr="003C12F4">
              <w:rPr>
                <w:rFonts w:ascii="Helvetica" w:hAnsi="Helvetica" w:cs="Helvetica"/>
              </w:rPr>
              <w:t>53)*</w:t>
            </w:r>
            <w:proofErr w:type="gramEnd"/>
          </w:p>
        </w:tc>
        <w:tc>
          <w:tcPr>
            <w:tcW w:w="0" w:type="auto"/>
          </w:tcPr>
          <w:p w14:paraId="2F27C9E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8.03(1.</w:t>
            </w:r>
            <w:proofErr w:type="gramStart"/>
            <w:r w:rsidRPr="003C12F4">
              <w:rPr>
                <w:rFonts w:ascii="Helvetica" w:hAnsi="Helvetica" w:cs="Helvetica"/>
              </w:rPr>
              <w:t>42)*</w:t>
            </w:r>
            <w:proofErr w:type="gramEnd"/>
          </w:p>
        </w:tc>
        <w:tc>
          <w:tcPr>
            <w:tcW w:w="0" w:type="auto"/>
          </w:tcPr>
          <w:p w14:paraId="2479A40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11.64(1.</w:t>
            </w:r>
            <w:proofErr w:type="gramStart"/>
            <w:r w:rsidRPr="003C12F4">
              <w:rPr>
                <w:rFonts w:ascii="Helvetica" w:hAnsi="Helvetica" w:cs="Helvetica"/>
              </w:rPr>
              <w:t>44)*</w:t>
            </w:r>
            <w:proofErr w:type="gramEnd"/>
          </w:p>
        </w:tc>
        <w:tc>
          <w:tcPr>
            <w:tcW w:w="0" w:type="auto"/>
          </w:tcPr>
          <w:p w14:paraId="69962C6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3.10(0.</w:t>
            </w:r>
            <w:proofErr w:type="gramStart"/>
            <w:r w:rsidRPr="003C12F4">
              <w:rPr>
                <w:rFonts w:ascii="Helvetica" w:hAnsi="Helvetica" w:cs="Helvetica"/>
              </w:rPr>
              <w:t>58)*</w:t>
            </w:r>
            <w:proofErr w:type="gramEnd"/>
          </w:p>
        </w:tc>
      </w:tr>
      <w:tr w:rsidR="003C12F4" w:rsidRPr="003C12F4" w14:paraId="16B7B99E" w14:textId="77777777" w:rsidTr="003C12F4">
        <w:tc>
          <w:tcPr>
            <w:tcW w:w="3261" w:type="dxa"/>
          </w:tcPr>
          <w:p w14:paraId="221E65A4"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Wasting (weight for height, &lt;2SD)</w:t>
            </w:r>
          </w:p>
        </w:tc>
        <w:tc>
          <w:tcPr>
            <w:tcW w:w="1517" w:type="dxa"/>
          </w:tcPr>
          <w:p w14:paraId="032E0C70" w14:textId="77777777" w:rsidR="003C12F4" w:rsidRPr="003C12F4" w:rsidRDefault="003C12F4" w:rsidP="003C12F4">
            <w:pPr>
              <w:spacing w:line="276" w:lineRule="auto"/>
              <w:jc w:val="both"/>
              <w:rPr>
                <w:rFonts w:ascii="Helvetica" w:hAnsi="Helvetica" w:cs="Helvetica"/>
              </w:rPr>
            </w:pPr>
          </w:p>
        </w:tc>
        <w:tc>
          <w:tcPr>
            <w:tcW w:w="0" w:type="auto"/>
          </w:tcPr>
          <w:p w14:paraId="189FDF95" w14:textId="77777777" w:rsidR="003C12F4" w:rsidRPr="003C12F4" w:rsidRDefault="003C12F4" w:rsidP="003C12F4">
            <w:pPr>
              <w:spacing w:line="276" w:lineRule="auto"/>
              <w:jc w:val="both"/>
              <w:rPr>
                <w:rFonts w:ascii="Helvetica" w:hAnsi="Helvetica" w:cs="Helvetica"/>
              </w:rPr>
            </w:pPr>
          </w:p>
        </w:tc>
        <w:tc>
          <w:tcPr>
            <w:tcW w:w="0" w:type="auto"/>
          </w:tcPr>
          <w:p w14:paraId="48512821" w14:textId="77777777" w:rsidR="003C12F4" w:rsidRPr="003C12F4" w:rsidRDefault="003C12F4" w:rsidP="003C12F4">
            <w:pPr>
              <w:spacing w:line="276" w:lineRule="auto"/>
              <w:jc w:val="both"/>
              <w:rPr>
                <w:rFonts w:ascii="Helvetica" w:hAnsi="Helvetica" w:cs="Helvetica"/>
              </w:rPr>
            </w:pPr>
          </w:p>
        </w:tc>
        <w:tc>
          <w:tcPr>
            <w:tcW w:w="0" w:type="auto"/>
          </w:tcPr>
          <w:p w14:paraId="6C7D5207" w14:textId="77777777" w:rsidR="003C12F4" w:rsidRPr="003C12F4" w:rsidRDefault="003C12F4" w:rsidP="003C12F4">
            <w:pPr>
              <w:spacing w:line="276" w:lineRule="auto"/>
              <w:jc w:val="both"/>
              <w:rPr>
                <w:rFonts w:ascii="Helvetica" w:hAnsi="Helvetica" w:cs="Helvetica"/>
              </w:rPr>
            </w:pPr>
          </w:p>
        </w:tc>
        <w:tc>
          <w:tcPr>
            <w:tcW w:w="0" w:type="auto"/>
          </w:tcPr>
          <w:p w14:paraId="1EC0C0CB" w14:textId="77777777" w:rsidR="003C12F4" w:rsidRPr="003C12F4" w:rsidRDefault="003C12F4" w:rsidP="003C12F4">
            <w:pPr>
              <w:spacing w:line="276" w:lineRule="auto"/>
              <w:jc w:val="both"/>
              <w:rPr>
                <w:rFonts w:ascii="Helvetica" w:hAnsi="Helvetica" w:cs="Helvetica"/>
              </w:rPr>
            </w:pPr>
          </w:p>
        </w:tc>
        <w:tc>
          <w:tcPr>
            <w:tcW w:w="0" w:type="auto"/>
          </w:tcPr>
          <w:p w14:paraId="63B0F519" w14:textId="77777777" w:rsidR="003C12F4" w:rsidRPr="003C12F4" w:rsidRDefault="003C12F4" w:rsidP="003C12F4">
            <w:pPr>
              <w:spacing w:line="276" w:lineRule="auto"/>
              <w:jc w:val="both"/>
              <w:rPr>
                <w:rFonts w:ascii="Helvetica" w:hAnsi="Helvetica" w:cs="Helvetica"/>
              </w:rPr>
            </w:pPr>
          </w:p>
        </w:tc>
      </w:tr>
      <w:tr w:rsidR="003C12F4" w:rsidRPr="003C12F4" w14:paraId="79ED6666" w14:textId="77777777" w:rsidTr="003C12F4">
        <w:tc>
          <w:tcPr>
            <w:tcW w:w="3261" w:type="dxa"/>
          </w:tcPr>
          <w:p w14:paraId="2158ADB4"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1517" w:type="dxa"/>
          </w:tcPr>
          <w:p w14:paraId="620C9AE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11.31(1.14)</w:t>
            </w:r>
          </w:p>
        </w:tc>
        <w:tc>
          <w:tcPr>
            <w:tcW w:w="0" w:type="auto"/>
          </w:tcPr>
          <w:p w14:paraId="18A022F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6.34(0.88)</w:t>
            </w:r>
          </w:p>
        </w:tc>
        <w:tc>
          <w:tcPr>
            <w:tcW w:w="0" w:type="auto"/>
          </w:tcPr>
          <w:p w14:paraId="526AC974"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6.38(0.94)</w:t>
            </w:r>
          </w:p>
        </w:tc>
        <w:tc>
          <w:tcPr>
            <w:tcW w:w="0" w:type="auto"/>
          </w:tcPr>
          <w:p w14:paraId="65BF51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6.62(0.93)</w:t>
            </w:r>
          </w:p>
        </w:tc>
        <w:tc>
          <w:tcPr>
            <w:tcW w:w="0" w:type="auto"/>
          </w:tcPr>
          <w:p w14:paraId="77B651A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9.38(1.13)</w:t>
            </w:r>
          </w:p>
        </w:tc>
        <w:tc>
          <w:tcPr>
            <w:tcW w:w="0" w:type="auto"/>
          </w:tcPr>
          <w:p w14:paraId="28665C3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7.19(0.37)</w:t>
            </w:r>
          </w:p>
        </w:tc>
      </w:tr>
      <w:tr w:rsidR="003C12F4" w:rsidRPr="003C12F4" w14:paraId="2FD528A4" w14:textId="77777777" w:rsidTr="003C12F4">
        <w:tc>
          <w:tcPr>
            <w:tcW w:w="3261" w:type="dxa"/>
          </w:tcPr>
          <w:p w14:paraId="237E59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1517" w:type="dxa"/>
          </w:tcPr>
          <w:p w14:paraId="414AEC4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9.38(0.36)</w:t>
            </w:r>
          </w:p>
        </w:tc>
        <w:tc>
          <w:tcPr>
            <w:tcW w:w="0" w:type="auto"/>
          </w:tcPr>
          <w:p w14:paraId="7257039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3.56(0.29)</w:t>
            </w:r>
          </w:p>
        </w:tc>
        <w:tc>
          <w:tcPr>
            <w:tcW w:w="0" w:type="auto"/>
          </w:tcPr>
          <w:p w14:paraId="0F324AC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3.79(0.34)</w:t>
            </w:r>
          </w:p>
        </w:tc>
        <w:tc>
          <w:tcPr>
            <w:tcW w:w="0" w:type="auto"/>
          </w:tcPr>
          <w:p w14:paraId="176B2BF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3.21(0.33)</w:t>
            </w:r>
          </w:p>
        </w:tc>
        <w:tc>
          <w:tcPr>
            <w:tcW w:w="0" w:type="auto"/>
          </w:tcPr>
          <w:p w14:paraId="0582E97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2.93(0.34)</w:t>
            </w:r>
          </w:p>
        </w:tc>
        <w:tc>
          <w:tcPr>
            <w:tcW w:w="0" w:type="auto"/>
          </w:tcPr>
          <w:p w14:paraId="0A4262C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5.47(0.16)</w:t>
            </w:r>
          </w:p>
        </w:tc>
      </w:tr>
      <w:tr w:rsidR="003C12F4" w:rsidRPr="003C12F4" w14:paraId="551FC70C" w14:textId="77777777" w:rsidTr="003C12F4">
        <w:tc>
          <w:tcPr>
            <w:tcW w:w="3261" w:type="dxa"/>
          </w:tcPr>
          <w:p w14:paraId="1F84F113"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Difference-3</w:t>
            </w:r>
          </w:p>
        </w:tc>
        <w:tc>
          <w:tcPr>
            <w:tcW w:w="1517" w:type="dxa"/>
          </w:tcPr>
          <w:p w14:paraId="4A21230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1.93(1.19)</w:t>
            </w:r>
          </w:p>
        </w:tc>
        <w:tc>
          <w:tcPr>
            <w:tcW w:w="0" w:type="auto"/>
          </w:tcPr>
          <w:p w14:paraId="744A3F3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2.78(0.</w:t>
            </w:r>
            <w:proofErr w:type="gramStart"/>
            <w:r w:rsidRPr="003C12F4">
              <w:rPr>
                <w:rFonts w:ascii="Helvetica" w:hAnsi="Helvetica" w:cs="Helvetica"/>
              </w:rPr>
              <w:t>93)*</w:t>
            </w:r>
            <w:proofErr w:type="gramEnd"/>
          </w:p>
        </w:tc>
        <w:tc>
          <w:tcPr>
            <w:tcW w:w="0" w:type="auto"/>
          </w:tcPr>
          <w:p w14:paraId="5F6872E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2.58(1.</w:t>
            </w:r>
            <w:proofErr w:type="gramStart"/>
            <w:r w:rsidRPr="003C12F4">
              <w:rPr>
                <w:rFonts w:ascii="Helvetica" w:hAnsi="Helvetica" w:cs="Helvetica"/>
              </w:rPr>
              <w:t>00)*</w:t>
            </w:r>
            <w:proofErr w:type="gramEnd"/>
          </w:p>
        </w:tc>
        <w:tc>
          <w:tcPr>
            <w:tcW w:w="0" w:type="auto"/>
          </w:tcPr>
          <w:p w14:paraId="450DECC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3.41(0.</w:t>
            </w:r>
            <w:proofErr w:type="gramStart"/>
            <w:r w:rsidRPr="003C12F4">
              <w:rPr>
                <w:rFonts w:ascii="Helvetica" w:hAnsi="Helvetica" w:cs="Helvetica"/>
              </w:rPr>
              <w:t>82)*</w:t>
            </w:r>
            <w:proofErr w:type="gramEnd"/>
          </w:p>
        </w:tc>
        <w:tc>
          <w:tcPr>
            <w:tcW w:w="0" w:type="auto"/>
          </w:tcPr>
          <w:p w14:paraId="424254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6.46(1.</w:t>
            </w:r>
            <w:proofErr w:type="gramStart"/>
            <w:r w:rsidRPr="003C12F4">
              <w:rPr>
                <w:rFonts w:ascii="Helvetica" w:hAnsi="Helvetica" w:cs="Helvetica"/>
              </w:rPr>
              <w:t>17)*</w:t>
            </w:r>
            <w:proofErr w:type="gramEnd"/>
          </w:p>
        </w:tc>
        <w:tc>
          <w:tcPr>
            <w:tcW w:w="0" w:type="auto"/>
          </w:tcPr>
          <w:p w14:paraId="05A63A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1.72(0.</w:t>
            </w:r>
            <w:proofErr w:type="gramStart"/>
            <w:r w:rsidRPr="003C12F4">
              <w:rPr>
                <w:rFonts w:ascii="Helvetica" w:hAnsi="Helvetica" w:cs="Helvetica"/>
              </w:rPr>
              <w:t>41)*</w:t>
            </w:r>
            <w:proofErr w:type="gramEnd"/>
          </w:p>
        </w:tc>
      </w:tr>
      <w:tr w:rsidR="003C12F4" w:rsidRPr="003C12F4" w14:paraId="639AE429" w14:textId="77777777" w:rsidTr="003C12F4">
        <w:tc>
          <w:tcPr>
            <w:tcW w:w="0" w:type="auto"/>
            <w:gridSpan w:val="7"/>
            <w:tcBorders>
              <w:bottom w:val="single" w:sz="4" w:space="0" w:color="auto"/>
            </w:tcBorders>
          </w:tcPr>
          <w:p w14:paraId="3F24032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Difference-1, Difference-2, Difference-3: the differences in the percentage proportions of stunting, underweight, and wasting, respectively between 2003 and 2014. SD: standard deviation. *</w:t>
            </w:r>
            <w:proofErr w:type="gramStart"/>
            <w:r w:rsidRPr="003C12F4">
              <w:rPr>
                <w:rFonts w:ascii="Helvetica" w:hAnsi="Helvetica" w:cs="Helvetica"/>
              </w:rPr>
              <w:t>indicates</w:t>
            </w:r>
            <w:proofErr w:type="gramEnd"/>
            <w:r w:rsidRPr="003C12F4">
              <w:rPr>
                <w:rFonts w:ascii="Helvetica" w:hAnsi="Helvetica" w:cs="Helvetica"/>
              </w:rPr>
              <w:t xml:space="preserve"> that the difference between the malnutrition indicator in 2003 and 2014, is statistically significantly different from 0 based on the two-sample proportions test.</w:t>
            </w:r>
          </w:p>
        </w:tc>
      </w:tr>
    </w:tbl>
    <w:p w14:paraId="482FDAAD"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08AE1620" w14:textId="253306A3" w:rsidR="008356A7" w:rsidRDefault="004D285E" w:rsidP="00456064">
      <w:pPr>
        <w:spacing w:before="0" w:beforeAutospacing="0" w:after="0" w:afterAutospacing="0" w:line="480" w:lineRule="auto"/>
        <w:ind w:firstLine="720"/>
        <w:rPr>
          <w:rFonts w:ascii="Helvetica" w:eastAsia="MS Mincho" w:hAnsi="Helvetica" w:cs="Helvetica"/>
          <w:sz w:val="24"/>
          <w:szCs w:val="24"/>
          <w:lang w:val="en-GB"/>
        </w:rPr>
      </w:pPr>
      <w:r w:rsidRPr="004D285E">
        <w:rPr>
          <w:rFonts w:ascii="Helvetica" w:eastAsia="MS Mincho" w:hAnsi="Helvetica" w:cs="Helvetica"/>
          <w:b/>
          <w:bCs/>
          <w:sz w:val="24"/>
          <w:szCs w:val="24"/>
          <w:lang w:val="en-GB"/>
        </w:rPr>
        <w:lastRenderedPageBreak/>
        <w:t>Table 3</w:t>
      </w:r>
      <w:r>
        <w:rPr>
          <w:rFonts w:ascii="Helvetica" w:eastAsia="MS Mincho" w:hAnsi="Helvetica" w:cs="Helvetica"/>
          <w:sz w:val="24"/>
          <w:szCs w:val="24"/>
          <w:lang w:val="en-GB"/>
        </w:rPr>
        <w:t xml:space="preserve"> </w:t>
      </w:r>
      <w:r w:rsidR="009A0189">
        <w:rPr>
          <w:rFonts w:ascii="Helvetica" w:eastAsia="MS Mincho" w:hAnsi="Helvetica" w:cs="Helvetica"/>
          <w:sz w:val="24"/>
          <w:szCs w:val="24"/>
          <w:lang w:val="en-GB"/>
        </w:rPr>
        <w:t>presents the concentration ind</w:t>
      </w:r>
      <w:r w:rsidR="00285781">
        <w:rPr>
          <w:rFonts w:ascii="Helvetica" w:eastAsia="MS Mincho" w:hAnsi="Helvetica" w:cs="Helvetica"/>
          <w:sz w:val="24"/>
          <w:szCs w:val="24"/>
          <w:lang w:val="en-GB"/>
        </w:rPr>
        <w:t xml:space="preserve">ices of </w:t>
      </w:r>
      <w:r w:rsidR="00BC6A63">
        <w:rPr>
          <w:rFonts w:ascii="Helvetica" w:eastAsia="MS Mincho" w:hAnsi="Helvetica" w:cs="Helvetica"/>
          <w:sz w:val="24"/>
          <w:szCs w:val="24"/>
          <w:lang w:val="en-GB"/>
        </w:rPr>
        <w:t xml:space="preserve">the different malnutrition indices. The results </w:t>
      </w:r>
      <w:r w:rsidR="006C2632" w:rsidRPr="006C2632">
        <w:rPr>
          <w:rFonts w:ascii="Helvetica" w:eastAsia="MS Mincho" w:hAnsi="Helvetica" w:cs="Helvetica"/>
          <w:sz w:val="24"/>
          <w:szCs w:val="24"/>
          <w:lang w:val="en-GB"/>
        </w:rPr>
        <w:t>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socioeconomic background being stunted, underweight or wasted is substantially higher than that of a child from a rich socioeconomic background.</w:t>
      </w:r>
      <w:r w:rsidR="00456064">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not statistically significantly different from 0 (CI=0.82, p</w:t>
      </w:r>
      <w:r w:rsidR="00B913CB">
        <w:rPr>
          <w:rFonts w:ascii="Helvetica" w:eastAsia="MS Mincho" w:hAnsi="Helvetica" w:cs="Helvetica"/>
          <w:sz w:val="24"/>
          <w:szCs w:val="24"/>
          <w:lang w:val="en-GB"/>
        </w:rPr>
        <w:t>=0.963</w:t>
      </w:r>
      <w:r w:rsidR="003C12F4" w:rsidRPr="003C12F4">
        <w:rPr>
          <w:rFonts w:ascii="Helvetica" w:eastAsia="MS Mincho" w:hAnsi="Helvetica" w:cs="Helvetica"/>
          <w:sz w:val="24"/>
          <w:szCs w:val="24"/>
          <w:lang w:val="en-GB"/>
        </w:rPr>
        <w:t>). On the other hand, the changes in the CIs for underweight and stunting between 2003 and 2014 were significant (CI=-0.58, p</w:t>
      </w:r>
      <w:r w:rsidR="00B913CB">
        <w:rPr>
          <w:rFonts w:ascii="Helvetica" w:eastAsia="MS Mincho" w:hAnsi="Helvetica" w:cs="Helvetica"/>
          <w:sz w:val="24"/>
          <w:szCs w:val="24"/>
          <w:lang w:val="en-GB"/>
        </w:rPr>
        <w:t>=0.001</w:t>
      </w:r>
      <w:r w:rsidR="003C12F4" w:rsidRPr="003C12F4">
        <w:rPr>
          <w:rFonts w:ascii="Helvetica" w:eastAsia="MS Mincho" w:hAnsi="Helvetica" w:cs="Helvetica"/>
          <w:sz w:val="24"/>
          <w:szCs w:val="24"/>
          <w:lang w:val="en-GB"/>
        </w:rPr>
        <w:t>; CI=-0.74, p</w:t>
      </w:r>
      <w:r w:rsidR="00B913CB">
        <w:rPr>
          <w:rFonts w:ascii="Helvetica" w:eastAsia="MS Mincho" w:hAnsi="Helvetica" w:cs="Helvetica"/>
          <w:sz w:val="24"/>
          <w:szCs w:val="24"/>
          <w:lang w:val="en-GB"/>
        </w:rPr>
        <w:t>=0.001</w:t>
      </w:r>
      <w:r w:rsidR="003C12F4" w:rsidRPr="003C12F4">
        <w:rPr>
          <w:rFonts w:ascii="Helvetica" w:eastAsia="MS Mincho" w:hAnsi="Helvetica" w:cs="Helvetica"/>
          <w:sz w:val="24"/>
          <w:szCs w:val="24"/>
          <w:lang w:val="en-GB"/>
        </w:rPr>
        <w:t xml:space="preserve">, respectively). The worsening of the nutrition status as evidenced by the significant increases in the values of the concentration index (in absolute values) is also supported by </w:t>
      </w:r>
      <w:r w:rsidR="003C12F4" w:rsidRPr="003C12F4">
        <w:rPr>
          <w:rFonts w:ascii="Helvetica" w:eastAsia="MS Mincho" w:hAnsi="Helvetica" w:cs="Helvetica"/>
          <w:b/>
          <w:bCs/>
          <w:sz w:val="24"/>
          <w:szCs w:val="24"/>
          <w:lang w:val="en-GB"/>
        </w:rPr>
        <w:t>Fig 1</w:t>
      </w:r>
      <w:r w:rsidR="003C12F4" w:rsidRPr="003C12F4">
        <w:rPr>
          <w:rFonts w:ascii="Helvetica" w:eastAsia="MS Mincho" w:hAnsi="Helvetica" w:cs="Helvetica"/>
          <w:sz w:val="24"/>
          <w:szCs w:val="24"/>
          <w:lang w:val="en-GB"/>
        </w:rPr>
        <w:t>.</w:t>
      </w:r>
      <w:r w:rsidR="008356A7">
        <w:rPr>
          <w:rFonts w:ascii="Helvetica" w:eastAsia="MS Mincho" w:hAnsi="Helvetica" w:cs="Helvetica"/>
          <w:sz w:val="24"/>
          <w:szCs w:val="24"/>
          <w:lang w:val="en-GB"/>
        </w:rPr>
        <w:br w:type="page"/>
      </w:r>
    </w:p>
    <w:p w14:paraId="28417E93" w14:textId="77777777" w:rsidR="00B96DD5" w:rsidRDefault="00B96DD5" w:rsidP="003C12F4">
      <w:pPr>
        <w:spacing w:before="0" w:beforeAutospacing="0" w:after="0" w:afterAutospacing="0" w:line="480" w:lineRule="auto"/>
        <w:rPr>
          <w:rFonts w:ascii="Helvetica" w:eastAsia="MS Mincho" w:hAnsi="Helvetica" w:cs="Helvetica"/>
          <w:sz w:val="24"/>
          <w:szCs w:val="24"/>
          <w:lang w:val="en-GB"/>
        </w:rPr>
        <w:sectPr w:rsidR="00B96DD5" w:rsidSect="003C12F4">
          <w:pgSz w:w="11900" w:h="16840"/>
          <w:pgMar w:top="1440" w:right="1797" w:bottom="1440" w:left="1797" w:header="709" w:footer="709" w:gutter="0"/>
          <w:lnNumType w:countBy="1" w:restart="continuous"/>
          <w:cols w:space="708"/>
          <w:docGrid w:linePitch="360"/>
        </w:sectPr>
      </w:pPr>
    </w:p>
    <w:p w14:paraId="6161A6E4" w14:textId="3D8DCAA1" w:rsidR="003C12F4" w:rsidRPr="003C12F4" w:rsidRDefault="003C12F4" w:rsidP="005F2B26">
      <w:pPr>
        <w:keepNext/>
        <w:spacing w:line="240" w:lineRule="auto"/>
        <w:rPr>
          <w:rFonts w:ascii="Helvetica" w:eastAsia="MS Mincho" w:hAnsi="Helvetica" w:cs="Helvetica"/>
          <w:b/>
          <w:bCs/>
          <w:sz w:val="24"/>
          <w:szCs w:val="24"/>
          <w:lang w:val="en-GB"/>
        </w:rPr>
      </w:pPr>
      <w:r w:rsidRPr="003C12F4">
        <w:rPr>
          <w:rFonts w:ascii="Helvetica" w:eastAsia="MS Mincho" w:hAnsi="Helvetica" w:cs="Helvetica"/>
          <w:b/>
          <w:bCs/>
          <w:sz w:val="24"/>
          <w:szCs w:val="24"/>
          <w:lang w:val="en-GB"/>
        </w:rPr>
        <w:lastRenderedPageBreak/>
        <w:t xml:space="preserve">Table </w:t>
      </w:r>
      <w:r w:rsidRPr="003C12F4">
        <w:rPr>
          <w:rFonts w:ascii="Helvetica" w:eastAsia="MS Mincho" w:hAnsi="Helvetica" w:cs="Helvetica"/>
          <w:b/>
          <w:bCs/>
          <w:sz w:val="24"/>
          <w:szCs w:val="24"/>
          <w:lang w:val="en-GB"/>
        </w:rPr>
        <w:fldChar w:fldCharType="begin"/>
      </w:r>
      <w:r w:rsidRPr="003C12F4">
        <w:rPr>
          <w:rFonts w:ascii="Helvetica" w:eastAsia="MS Mincho" w:hAnsi="Helvetica" w:cs="Helvetica"/>
          <w:b/>
          <w:bCs/>
          <w:sz w:val="24"/>
          <w:szCs w:val="24"/>
          <w:lang w:val="en-GB"/>
        </w:rPr>
        <w:instrText xml:space="preserve"> SEQ Table \* ARABIC </w:instrText>
      </w:r>
      <w:r w:rsidRPr="003C12F4">
        <w:rPr>
          <w:rFonts w:ascii="Helvetica" w:eastAsia="MS Mincho" w:hAnsi="Helvetica" w:cs="Helvetica"/>
          <w:b/>
          <w:bCs/>
          <w:sz w:val="24"/>
          <w:szCs w:val="24"/>
          <w:lang w:val="en-GB"/>
        </w:rPr>
        <w:fldChar w:fldCharType="separate"/>
      </w:r>
      <w:r w:rsidR="006326D3">
        <w:rPr>
          <w:rFonts w:ascii="Helvetica" w:eastAsia="MS Mincho" w:hAnsi="Helvetica" w:cs="Helvetica"/>
          <w:b/>
          <w:bCs/>
          <w:noProof/>
          <w:sz w:val="24"/>
          <w:szCs w:val="24"/>
          <w:lang w:val="en-GB"/>
        </w:rPr>
        <w:t>3</w:t>
      </w:r>
      <w:r w:rsidRPr="003C12F4">
        <w:rPr>
          <w:rFonts w:ascii="Helvetica" w:eastAsia="MS Mincho" w:hAnsi="Helvetica" w:cs="Helvetica"/>
          <w:b/>
          <w:bCs/>
          <w:sz w:val="24"/>
          <w:szCs w:val="24"/>
          <w:lang w:val="en-GB"/>
        </w:rPr>
        <w:fldChar w:fldCharType="end"/>
      </w:r>
      <w:r w:rsidRPr="003C12F4">
        <w:rPr>
          <w:rFonts w:ascii="Helvetica" w:eastAsia="MS Mincho" w:hAnsi="Helvetica" w:cs="Helvetica"/>
          <w:b/>
          <w:bCs/>
          <w:sz w:val="24"/>
          <w:szCs w:val="24"/>
          <w:lang w:val="en-GB"/>
        </w:rPr>
        <w:t xml:space="preserve">. Under-five child malnutrition concentration indices (CIs), 2003 and 2014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906"/>
        <w:gridCol w:w="2093"/>
        <w:gridCol w:w="1668"/>
        <w:gridCol w:w="2408"/>
        <w:gridCol w:w="1921"/>
        <w:gridCol w:w="2296"/>
        <w:gridCol w:w="1668"/>
      </w:tblGrid>
      <w:tr w:rsidR="003C12F4" w:rsidRPr="003C12F4" w14:paraId="798FBFD3" w14:textId="77777777" w:rsidTr="003C12F4">
        <w:tc>
          <w:tcPr>
            <w:tcW w:w="0" w:type="auto"/>
          </w:tcPr>
          <w:p w14:paraId="7A4C6ED6" w14:textId="77777777" w:rsidR="003C12F4" w:rsidRPr="003C12F4" w:rsidRDefault="003C12F4" w:rsidP="003C12F4">
            <w:pPr>
              <w:jc w:val="both"/>
              <w:rPr>
                <w:rFonts w:ascii="Helvetica" w:hAnsi="Helvetica" w:cs="Helvetica"/>
              </w:rPr>
            </w:pPr>
          </w:p>
        </w:tc>
        <w:tc>
          <w:tcPr>
            <w:tcW w:w="0" w:type="auto"/>
            <w:gridSpan w:val="2"/>
          </w:tcPr>
          <w:p w14:paraId="61450B2A" w14:textId="77777777" w:rsidR="003C12F4" w:rsidRPr="003C12F4" w:rsidRDefault="003C12F4" w:rsidP="003C12F4">
            <w:pPr>
              <w:jc w:val="both"/>
              <w:rPr>
                <w:rFonts w:ascii="Helvetica" w:hAnsi="Helvetica" w:cs="Helvetica"/>
              </w:rPr>
            </w:pPr>
            <w:r w:rsidRPr="003C12F4">
              <w:rPr>
                <w:rFonts w:ascii="Helvetica" w:hAnsi="Helvetica" w:cs="Helvetica"/>
              </w:rPr>
              <w:t>Stunting (HAZ &lt;2SD)</w:t>
            </w:r>
          </w:p>
        </w:tc>
        <w:tc>
          <w:tcPr>
            <w:tcW w:w="0" w:type="auto"/>
            <w:gridSpan w:val="2"/>
          </w:tcPr>
          <w:p w14:paraId="30CA3B2D" w14:textId="77777777" w:rsidR="003C12F4" w:rsidRPr="003C12F4" w:rsidRDefault="003C12F4" w:rsidP="003C12F4">
            <w:pPr>
              <w:jc w:val="both"/>
              <w:rPr>
                <w:rFonts w:ascii="Helvetica" w:hAnsi="Helvetica" w:cs="Helvetica"/>
              </w:rPr>
            </w:pPr>
            <w:r w:rsidRPr="003C12F4">
              <w:rPr>
                <w:rFonts w:ascii="Helvetica" w:hAnsi="Helvetica" w:cs="Helvetica"/>
              </w:rPr>
              <w:t>Underweight (WAZ&lt;2SD)</w:t>
            </w:r>
          </w:p>
        </w:tc>
        <w:tc>
          <w:tcPr>
            <w:tcW w:w="0" w:type="auto"/>
            <w:gridSpan w:val="2"/>
          </w:tcPr>
          <w:p w14:paraId="594CFCEC" w14:textId="77777777" w:rsidR="003C12F4" w:rsidRPr="003C12F4" w:rsidRDefault="003C12F4" w:rsidP="003C12F4">
            <w:pPr>
              <w:jc w:val="both"/>
              <w:rPr>
                <w:rFonts w:ascii="Helvetica" w:hAnsi="Helvetica" w:cs="Helvetica"/>
              </w:rPr>
            </w:pPr>
            <w:r w:rsidRPr="003C12F4">
              <w:rPr>
                <w:rFonts w:ascii="Helvetica" w:hAnsi="Helvetica" w:cs="Helvetica"/>
              </w:rPr>
              <w:t>Wasting (WAZ&lt;2SD)</w:t>
            </w:r>
          </w:p>
        </w:tc>
      </w:tr>
      <w:tr w:rsidR="003C12F4" w:rsidRPr="003C12F4" w14:paraId="2901A414" w14:textId="77777777" w:rsidTr="003C12F4">
        <w:tc>
          <w:tcPr>
            <w:tcW w:w="0" w:type="auto"/>
          </w:tcPr>
          <w:p w14:paraId="1ABEF68B" w14:textId="77777777" w:rsidR="003C12F4" w:rsidRPr="003C12F4" w:rsidRDefault="003C12F4" w:rsidP="003C12F4">
            <w:pPr>
              <w:jc w:val="both"/>
              <w:rPr>
                <w:rFonts w:ascii="Helvetica" w:hAnsi="Helvetica" w:cs="Helvetica"/>
              </w:rPr>
            </w:pPr>
          </w:p>
        </w:tc>
        <w:tc>
          <w:tcPr>
            <w:tcW w:w="0" w:type="auto"/>
          </w:tcPr>
          <w:p w14:paraId="2B04F3C3"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78083B54"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6ED90E42"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1804E6DA"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0F18E9D4"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49CF1912"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r>
      <w:tr w:rsidR="003C12F4" w:rsidRPr="003C12F4" w14:paraId="6250BB6D" w14:textId="77777777" w:rsidTr="003C12F4">
        <w:tc>
          <w:tcPr>
            <w:tcW w:w="0" w:type="auto"/>
          </w:tcPr>
          <w:p w14:paraId="3F005341" w14:textId="77777777" w:rsidR="003C12F4" w:rsidRPr="003C12F4" w:rsidRDefault="003C12F4" w:rsidP="003C12F4">
            <w:pPr>
              <w:jc w:val="both"/>
              <w:rPr>
                <w:rFonts w:ascii="Helvetica" w:hAnsi="Helvetica" w:cs="Helvetica"/>
              </w:rPr>
            </w:pPr>
            <w:r w:rsidRPr="003C12F4">
              <w:rPr>
                <w:rFonts w:ascii="Helvetica" w:hAnsi="Helvetica" w:cs="Helvetica"/>
              </w:rPr>
              <w:t>Year 2003</w:t>
            </w:r>
          </w:p>
        </w:tc>
        <w:tc>
          <w:tcPr>
            <w:tcW w:w="0" w:type="auto"/>
          </w:tcPr>
          <w:p w14:paraId="0A86C31A" w14:textId="77777777" w:rsidR="003C12F4" w:rsidRPr="003C12F4" w:rsidRDefault="003C12F4" w:rsidP="003C12F4">
            <w:pPr>
              <w:jc w:val="center"/>
              <w:rPr>
                <w:rFonts w:ascii="Helvetica" w:hAnsi="Helvetica" w:cs="Helvetica"/>
              </w:rPr>
            </w:pPr>
            <w:r w:rsidRPr="003C12F4">
              <w:rPr>
                <w:rFonts w:ascii="Helvetica" w:hAnsi="Helvetica" w:cs="Helvetica"/>
              </w:rPr>
              <w:t>-0.09(0.01)</w:t>
            </w:r>
          </w:p>
        </w:tc>
        <w:tc>
          <w:tcPr>
            <w:tcW w:w="0" w:type="auto"/>
          </w:tcPr>
          <w:p w14:paraId="6EF771C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25D55F2D" w14:textId="77777777" w:rsidR="003C12F4" w:rsidRPr="003C12F4" w:rsidRDefault="003C12F4" w:rsidP="003C12F4">
            <w:pPr>
              <w:jc w:val="center"/>
              <w:rPr>
                <w:rFonts w:ascii="Helvetica" w:hAnsi="Helvetica" w:cs="Helvetica"/>
              </w:rPr>
            </w:pPr>
            <w:r w:rsidRPr="003C12F4">
              <w:rPr>
                <w:rFonts w:ascii="Helvetica" w:hAnsi="Helvetica" w:cs="Helvetica"/>
              </w:rPr>
              <w:t>-0.14(0.01)</w:t>
            </w:r>
          </w:p>
        </w:tc>
        <w:tc>
          <w:tcPr>
            <w:tcW w:w="0" w:type="auto"/>
          </w:tcPr>
          <w:p w14:paraId="05B10084"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726D8026" w14:textId="77777777" w:rsidR="003C12F4" w:rsidRPr="003C12F4" w:rsidRDefault="003C12F4" w:rsidP="003C12F4">
            <w:pPr>
              <w:jc w:val="center"/>
              <w:rPr>
                <w:rFonts w:ascii="Helvetica" w:hAnsi="Helvetica" w:cs="Helvetica"/>
              </w:rPr>
            </w:pPr>
            <w:r w:rsidRPr="003C12F4">
              <w:rPr>
                <w:rFonts w:ascii="Helvetica" w:hAnsi="Helvetica" w:cs="Helvetica"/>
              </w:rPr>
              <w:t>-6.62(17.80)</w:t>
            </w:r>
          </w:p>
        </w:tc>
        <w:tc>
          <w:tcPr>
            <w:tcW w:w="0" w:type="auto"/>
          </w:tcPr>
          <w:p w14:paraId="6DDA147C" w14:textId="77777777" w:rsidR="003C12F4" w:rsidRPr="003C12F4" w:rsidRDefault="003C12F4" w:rsidP="003C12F4">
            <w:pPr>
              <w:jc w:val="center"/>
              <w:rPr>
                <w:rFonts w:ascii="Helvetica" w:hAnsi="Helvetica" w:cs="Helvetica"/>
              </w:rPr>
            </w:pPr>
            <w:r w:rsidRPr="003C12F4">
              <w:rPr>
                <w:rFonts w:ascii="Helvetica" w:hAnsi="Helvetica" w:cs="Helvetica"/>
              </w:rPr>
              <w:t>&gt;0.001</w:t>
            </w:r>
          </w:p>
        </w:tc>
      </w:tr>
      <w:tr w:rsidR="003C12F4" w:rsidRPr="003C12F4" w14:paraId="2C13CF10" w14:textId="77777777" w:rsidTr="003C12F4">
        <w:tc>
          <w:tcPr>
            <w:tcW w:w="0" w:type="auto"/>
          </w:tcPr>
          <w:p w14:paraId="4E333178" w14:textId="77777777" w:rsidR="003C12F4" w:rsidRPr="003C12F4" w:rsidRDefault="003C12F4" w:rsidP="003C12F4">
            <w:pPr>
              <w:jc w:val="both"/>
              <w:rPr>
                <w:rFonts w:ascii="Helvetica" w:hAnsi="Helvetica" w:cs="Helvetica"/>
              </w:rPr>
            </w:pPr>
            <w:r w:rsidRPr="003C12F4">
              <w:rPr>
                <w:rFonts w:ascii="Helvetica" w:hAnsi="Helvetica" w:cs="Helvetica"/>
              </w:rPr>
              <w:t>Year 2014</w:t>
            </w:r>
          </w:p>
        </w:tc>
        <w:tc>
          <w:tcPr>
            <w:tcW w:w="0" w:type="auto"/>
          </w:tcPr>
          <w:p w14:paraId="1CFD9F83" w14:textId="77777777" w:rsidR="003C12F4" w:rsidRPr="003C12F4" w:rsidRDefault="003C12F4" w:rsidP="003C12F4">
            <w:pPr>
              <w:jc w:val="center"/>
              <w:rPr>
                <w:rFonts w:ascii="Helvetica" w:hAnsi="Helvetica" w:cs="Helvetica"/>
              </w:rPr>
            </w:pPr>
            <w:r w:rsidRPr="003C12F4">
              <w:rPr>
                <w:rFonts w:ascii="Helvetica" w:hAnsi="Helvetica" w:cs="Helvetica"/>
              </w:rPr>
              <w:t>-0.67(0.01)</w:t>
            </w:r>
          </w:p>
        </w:tc>
        <w:tc>
          <w:tcPr>
            <w:tcW w:w="0" w:type="auto"/>
          </w:tcPr>
          <w:p w14:paraId="48DD330A"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68FBE74A" w14:textId="77777777" w:rsidR="003C12F4" w:rsidRPr="003C12F4" w:rsidRDefault="003C12F4" w:rsidP="003C12F4">
            <w:pPr>
              <w:jc w:val="center"/>
              <w:rPr>
                <w:rFonts w:ascii="Helvetica" w:hAnsi="Helvetica" w:cs="Helvetica"/>
              </w:rPr>
            </w:pPr>
            <w:r w:rsidRPr="003C12F4">
              <w:rPr>
                <w:rFonts w:ascii="Helvetica" w:hAnsi="Helvetica" w:cs="Helvetica"/>
              </w:rPr>
              <w:t>-0.88(0.02)</w:t>
            </w:r>
          </w:p>
        </w:tc>
        <w:tc>
          <w:tcPr>
            <w:tcW w:w="0" w:type="auto"/>
          </w:tcPr>
          <w:p w14:paraId="22E4E7DD"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429FC4EE" w14:textId="77777777" w:rsidR="003C12F4" w:rsidRPr="003C12F4" w:rsidRDefault="003C12F4" w:rsidP="003C12F4">
            <w:pPr>
              <w:jc w:val="center"/>
              <w:rPr>
                <w:rFonts w:ascii="Helvetica" w:hAnsi="Helvetica" w:cs="Helvetica"/>
              </w:rPr>
            </w:pPr>
            <w:r w:rsidRPr="003C12F4">
              <w:rPr>
                <w:rFonts w:ascii="Helvetica" w:hAnsi="Helvetica" w:cs="Helvetica"/>
              </w:rPr>
              <w:t>-5.80(0.54)</w:t>
            </w:r>
          </w:p>
        </w:tc>
        <w:tc>
          <w:tcPr>
            <w:tcW w:w="0" w:type="auto"/>
          </w:tcPr>
          <w:p w14:paraId="0652A86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r>
      <w:tr w:rsidR="003C12F4" w:rsidRPr="003C12F4" w14:paraId="009255E5" w14:textId="77777777" w:rsidTr="003C12F4">
        <w:tc>
          <w:tcPr>
            <w:tcW w:w="0" w:type="auto"/>
          </w:tcPr>
          <w:p w14:paraId="0EFB6983" w14:textId="77777777" w:rsidR="003C12F4" w:rsidRPr="003C12F4" w:rsidRDefault="003C12F4" w:rsidP="003C12F4">
            <w:pPr>
              <w:jc w:val="both"/>
              <w:rPr>
                <w:rFonts w:ascii="Helvetica" w:hAnsi="Helvetica" w:cs="Helvetica"/>
              </w:rPr>
            </w:pPr>
            <w:r w:rsidRPr="003C12F4">
              <w:rPr>
                <w:rFonts w:ascii="Helvetica" w:hAnsi="Helvetica" w:cs="Helvetica"/>
              </w:rPr>
              <w:t>Diff</w:t>
            </w:r>
          </w:p>
        </w:tc>
        <w:tc>
          <w:tcPr>
            <w:tcW w:w="0" w:type="auto"/>
          </w:tcPr>
          <w:p w14:paraId="5E0B921E" w14:textId="77777777" w:rsidR="003C12F4" w:rsidRPr="003C12F4" w:rsidRDefault="003C12F4" w:rsidP="003C12F4">
            <w:pPr>
              <w:jc w:val="center"/>
              <w:rPr>
                <w:rFonts w:ascii="Helvetica" w:hAnsi="Helvetica" w:cs="Helvetica"/>
              </w:rPr>
            </w:pPr>
            <w:r w:rsidRPr="003C12F4">
              <w:rPr>
                <w:rFonts w:ascii="Helvetica" w:hAnsi="Helvetica" w:cs="Helvetica"/>
              </w:rPr>
              <w:t>-0.58(0.02)</w:t>
            </w:r>
          </w:p>
        </w:tc>
        <w:tc>
          <w:tcPr>
            <w:tcW w:w="0" w:type="auto"/>
          </w:tcPr>
          <w:p w14:paraId="7CF16655"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53EFB820" w14:textId="77777777" w:rsidR="003C12F4" w:rsidRPr="003C12F4" w:rsidRDefault="003C12F4" w:rsidP="003C12F4">
            <w:pPr>
              <w:jc w:val="center"/>
              <w:rPr>
                <w:rFonts w:ascii="Helvetica" w:hAnsi="Helvetica" w:cs="Helvetica"/>
              </w:rPr>
            </w:pPr>
            <w:r w:rsidRPr="003C12F4">
              <w:rPr>
                <w:rFonts w:ascii="Helvetica" w:hAnsi="Helvetica" w:cs="Helvetica"/>
              </w:rPr>
              <w:t>-0.74(0.02)</w:t>
            </w:r>
          </w:p>
        </w:tc>
        <w:tc>
          <w:tcPr>
            <w:tcW w:w="0" w:type="auto"/>
          </w:tcPr>
          <w:p w14:paraId="2E77772C"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38239AC4" w14:textId="77777777" w:rsidR="003C12F4" w:rsidRPr="003C12F4" w:rsidRDefault="003C12F4" w:rsidP="003C12F4">
            <w:pPr>
              <w:jc w:val="center"/>
              <w:rPr>
                <w:rFonts w:ascii="Helvetica" w:hAnsi="Helvetica" w:cs="Helvetica"/>
              </w:rPr>
            </w:pPr>
            <w:r w:rsidRPr="003C12F4">
              <w:rPr>
                <w:rFonts w:ascii="Helvetica" w:hAnsi="Helvetica" w:cs="Helvetica"/>
              </w:rPr>
              <w:t>0.82(17.81)</w:t>
            </w:r>
          </w:p>
        </w:tc>
        <w:tc>
          <w:tcPr>
            <w:tcW w:w="0" w:type="auto"/>
          </w:tcPr>
          <w:p w14:paraId="48F52B7E" w14:textId="77777777" w:rsidR="003C12F4" w:rsidRPr="003C12F4" w:rsidRDefault="003C12F4" w:rsidP="003C12F4">
            <w:pPr>
              <w:jc w:val="center"/>
              <w:rPr>
                <w:rFonts w:ascii="Helvetica" w:hAnsi="Helvetica" w:cs="Helvetica"/>
              </w:rPr>
            </w:pPr>
            <w:r w:rsidRPr="003C12F4">
              <w:rPr>
                <w:rFonts w:ascii="Helvetica" w:hAnsi="Helvetica" w:cs="Helvetica"/>
              </w:rPr>
              <w:t>0.963</w:t>
            </w:r>
          </w:p>
        </w:tc>
      </w:tr>
      <w:tr w:rsidR="003C12F4" w:rsidRPr="003C12F4" w14:paraId="6B72F764" w14:textId="77777777" w:rsidTr="003C12F4">
        <w:tc>
          <w:tcPr>
            <w:tcW w:w="0" w:type="auto"/>
            <w:gridSpan w:val="7"/>
            <w:tcBorders>
              <w:bottom w:val="single" w:sz="4" w:space="0" w:color="auto"/>
            </w:tcBorders>
          </w:tcPr>
          <w:p w14:paraId="08F5F2DC" w14:textId="77777777" w:rsidR="003C12F4" w:rsidRPr="003C12F4" w:rsidRDefault="003C12F4" w:rsidP="003C12F4">
            <w:pPr>
              <w:rPr>
                <w:rFonts w:ascii="Helvetica" w:hAnsi="Helvetica" w:cs="Helvetica"/>
              </w:rPr>
            </w:pPr>
            <w:r w:rsidRPr="003C12F4">
              <w:rPr>
                <w:rFonts w:ascii="Helvetica" w:hAnsi="Helvetica" w:cs="Helvetica"/>
              </w:rPr>
              <w:t xml:space="preserve">CI: concentration index; SE: standard error; Diff: the difference in (under five) child malnutrition concentration indices between 2004 and 2014. </w:t>
            </w:r>
          </w:p>
          <w:p w14:paraId="5E728C08" w14:textId="77777777" w:rsidR="003C12F4" w:rsidRPr="003C12F4" w:rsidRDefault="003C12F4" w:rsidP="003C12F4">
            <w:pPr>
              <w:rPr>
                <w:rFonts w:ascii="Helvetica" w:hAnsi="Helvetica" w:cs="Helvetica"/>
              </w:rPr>
            </w:pPr>
            <w:r w:rsidRPr="003C12F4">
              <w:rPr>
                <w:rFonts w:ascii="Helvetica" w:hAnsi="Helvetica" w:cs="Helvetica"/>
                <w:vertAlign w:val="superscript"/>
              </w:rPr>
              <w:t>#</w:t>
            </w:r>
            <w:r w:rsidRPr="003C12F4">
              <w:rPr>
                <w:rFonts w:ascii="Helvetica" w:hAnsi="Helvetica" w:cs="Helvetica"/>
              </w:rPr>
              <w:t>p-value based on a two-tailed independence test to compare the differences in the CIs with a test value of 0.</w:t>
            </w:r>
          </w:p>
        </w:tc>
      </w:tr>
    </w:tbl>
    <w:p w14:paraId="7DF3EE78" w14:textId="77777777" w:rsidR="00B96DD5" w:rsidRDefault="00B96DD5">
      <w:pPr>
        <w:rPr>
          <w:rFonts w:ascii="Helvetica" w:eastAsia="MS Mincho" w:hAnsi="Helvetica" w:cs="Helvetica"/>
          <w:sz w:val="24"/>
          <w:szCs w:val="24"/>
          <w:lang w:val="en-GB"/>
        </w:rPr>
        <w:sectPr w:rsidR="00B96DD5" w:rsidSect="00B96DD5">
          <w:pgSz w:w="16840" w:h="11900" w:orient="landscape"/>
          <w:pgMar w:top="1797" w:right="1440" w:bottom="1797" w:left="1440" w:header="709" w:footer="709" w:gutter="0"/>
          <w:lnNumType w:countBy="1" w:restart="continuous"/>
          <w:cols w:space="708"/>
          <w:docGrid w:linePitch="360"/>
        </w:sectPr>
      </w:pPr>
    </w:p>
    <w:p w14:paraId="212A9B67" w14:textId="70954E8C" w:rsidR="003C12F4" w:rsidRPr="00F7018A" w:rsidRDefault="003C12F4" w:rsidP="00F7018A">
      <w:pPr>
        <w:spacing w:line="240" w:lineRule="auto"/>
        <w:jc w:val="both"/>
        <w:rPr>
          <w:rFonts w:ascii="Helvetica" w:eastAsia="MS Mincho" w:hAnsi="Helvetica" w:cs="Helvetica"/>
          <w:b/>
          <w:bCs/>
          <w:sz w:val="24"/>
          <w:szCs w:val="24"/>
          <w:lang w:val="en-GB"/>
        </w:rPr>
      </w:pPr>
      <w:r w:rsidRPr="00F7018A">
        <w:rPr>
          <w:rFonts w:ascii="Helvetica" w:eastAsia="MS Mincho" w:hAnsi="Helvetica" w:cs="Helvetica"/>
          <w:b/>
          <w:bCs/>
          <w:sz w:val="24"/>
          <w:szCs w:val="24"/>
          <w:lang w:val="en-GB"/>
        </w:rPr>
        <w:lastRenderedPageBreak/>
        <w:t xml:space="preserve">Fig </w:t>
      </w:r>
      <w:r w:rsidRPr="00F7018A">
        <w:rPr>
          <w:rFonts w:ascii="Helvetica" w:eastAsia="MS Mincho" w:hAnsi="Helvetica" w:cs="Helvetica"/>
          <w:b/>
          <w:bCs/>
          <w:sz w:val="24"/>
          <w:szCs w:val="24"/>
          <w:lang w:val="en-GB"/>
        </w:rPr>
        <w:fldChar w:fldCharType="begin"/>
      </w:r>
      <w:r w:rsidRPr="00F7018A">
        <w:rPr>
          <w:rFonts w:ascii="Helvetica" w:eastAsia="MS Mincho" w:hAnsi="Helvetica" w:cs="Helvetica"/>
          <w:b/>
          <w:bCs/>
          <w:sz w:val="24"/>
          <w:szCs w:val="24"/>
          <w:lang w:val="en-GB"/>
        </w:rPr>
        <w:instrText xml:space="preserve"> SEQ Figure \* ARABIC </w:instrText>
      </w:r>
      <w:r w:rsidRPr="00F7018A">
        <w:rPr>
          <w:rFonts w:ascii="Helvetica" w:eastAsia="MS Mincho" w:hAnsi="Helvetica" w:cs="Helvetica"/>
          <w:b/>
          <w:bCs/>
          <w:sz w:val="24"/>
          <w:szCs w:val="24"/>
          <w:lang w:val="en-GB"/>
        </w:rPr>
        <w:fldChar w:fldCharType="separate"/>
      </w:r>
      <w:r w:rsidR="006326D3">
        <w:rPr>
          <w:rFonts w:ascii="Helvetica" w:eastAsia="MS Mincho" w:hAnsi="Helvetica" w:cs="Helvetica"/>
          <w:b/>
          <w:bCs/>
          <w:noProof/>
          <w:sz w:val="24"/>
          <w:szCs w:val="24"/>
          <w:lang w:val="en-GB"/>
        </w:rPr>
        <w:t>1</w:t>
      </w:r>
      <w:r w:rsidRPr="00F7018A">
        <w:rPr>
          <w:rFonts w:ascii="Helvetica" w:eastAsia="MS Mincho" w:hAnsi="Helvetica" w:cs="Helvetica"/>
          <w:b/>
          <w:bCs/>
          <w:sz w:val="24"/>
          <w:szCs w:val="24"/>
          <w:lang w:val="en-GB"/>
        </w:rPr>
        <w:fldChar w:fldCharType="end"/>
      </w:r>
      <w:r w:rsidRPr="00F7018A">
        <w:rPr>
          <w:rFonts w:ascii="Helvetica" w:eastAsia="MS Mincho" w:hAnsi="Helvetica" w:cs="Helvetica"/>
          <w:b/>
          <w:bCs/>
          <w:sz w:val="24"/>
          <w:szCs w:val="24"/>
          <w:lang w:val="en-GB"/>
        </w:rPr>
        <w:t>. Concentration curves depicting the disparities in underweight, stunting, and wasting for children under five years between 2003 and 2014 in Kenya by Socioeconomic status (SES).</w:t>
      </w:r>
    </w:p>
    <w:p w14:paraId="7A9873EA" w14:textId="77777777" w:rsidR="003C12F4" w:rsidRPr="003C12F4" w:rsidRDefault="003C12F4" w:rsidP="00F7018A">
      <w:pPr>
        <w:spacing w:line="240" w:lineRule="auto"/>
        <w:jc w:val="both"/>
        <w:rPr>
          <w:rFonts w:ascii="Helvetica" w:eastAsia="MS Mincho" w:hAnsi="Helvetica" w:cs="Helvetica"/>
          <w:sz w:val="24"/>
          <w:szCs w:val="24"/>
          <w:lang w:val="en-GB"/>
        </w:rPr>
      </w:pPr>
      <w:r w:rsidRPr="00F7018A">
        <w:rPr>
          <w:rFonts w:ascii="Helvetica" w:eastAsia="MS Mincho" w:hAnsi="Helvetica" w:cs="Helvetica"/>
          <w:sz w:val="24"/>
          <w:szCs w:val="24"/>
          <w:lang w:val="en-GB"/>
        </w:rPr>
        <w:t>(A) Disparities in underweight (WAZ), stunting (HAZ), and wasting (WHZ) in 2003. (B) Disparities in underweight (WAZ), stunting (HAZ), and wasting (WHZ) 2014.</w:t>
      </w:r>
    </w:p>
    <w:p w14:paraId="45A3CC5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Determinants of child malnutrition</w:t>
      </w:r>
    </w:p>
    <w:p w14:paraId="37E435CC" w14:textId="706FD579" w:rsidR="003C12F4" w:rsidRPr="003C12F4" w:rsidRDefault="00A41D56" w:rsidP="00835E87">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b/>
          <w:bCs/>
          <w:sz w:val="24"/>
          <w:szCs w:val="24"/>
          <w:lang w:val="en-GB"/>
        </w:rPr>
        <w:t>Tables 4-6</w:t>
      </w:r>
      <w:r w:rsidRPr="003C12F4">
        <w:rPr>
          <w:rFonts w:ascii="Helvetica" w:eastAsia="MS Mincho" w:hAnsi="Helvetica" w:cs="Helvetica"/>
          <w:sz w:val="24"/>
          <w:szCs w:val="24"/>
          <w:lang w:val="en-GB"/>
        </w:rPr>
        <w:t xml:space="preserve"> present a summary of the results from the</w:t>
      </w:r>
      <w:r w:rsidR="0016275F">
        <w:rPr>
          <w:rFonts w:ascii="Helvetica" w:eastAsia="MS Mincho" w:hAnsi="Helvetica" w:cs="Helvetica"/>
          <w:sz w:val="24"/>
          <w:szCs w:val="24"/>
          <w:lang w:val="en-GB"/>
        </w:rPr>
        <w:t xml:space="preserve"> multiple</w:t>
      </w:r>
      <w:r w:rsidRPr="003C12F4">
        <w:rPr>
          <w:rFonts w:ascii="Helvetica" w:eastAsia="MS Mincho" w:hAnsi="Helvetica" w:cs="Helvetica"/>
          <w:sz w:val="24"/>
          <w:szCs w:val="24"/>
          <w:lang w:val="en-GB"/>
        </w:rPr>
        <w:t xml:space="preserve"> logistic </w:t>
      </w:r>
      <w:r w:rsidR="0016275F">
        <w:rPr>
          <w:rFonts w:ascii="Helvetica" w:eastAsia="MS Mincho" w:hAnsi="Helvetica" w:cs="Helvetica"/>
          <w:sz w:val="24"/>
          <w:szCs w:val="24"/>
          <w:lang w:val="en-GB"/>
        </w:rPr>
        <w:t xml:space="preserve">regression </w:t>
      </w:r>
      <w:r w:rsidRPr="003C12F4">
        <w:rPr>
          <w:rFonts w:ascii="Helvetica" w:eastAsia="MS Mincho" w:hAnsi="Helvetica" w:cs="Helvetica"/>
          <w:sz w:val="24"/>
          <w:szCs w:val="24"/>
          <w:lang w:val="en-GB"/>
        </w:rPr>
        <w:t>model</w:t>
      </w:r>
      <w:r w:rsidR="0016275F">
        <w:rPr>
          <w:rFonts w:ascii="Helvetica" w:eastAsia="MS Mincho" w:hAnsi="Helvetica" w:cs="Helvetica"/>
          <w:sz w:val="24"/>
          <w:szCs w:val="24"/>
          <w:lang w:val="en-GB"/>
        </w:rPr>
        <w:t>s fitted to the data</w:t>
      </w:r>
      <w:r w:rsidRPr="003C12F4">
        <w:rPr>
          <w:rFonts w:ascii="Helvetica" w:eastAsia="MS Mincho" w:hAnsi="Helvetica" w:cs="Helvetica"/>
          <w:sz w:val="24"/>
          <w:szCs w:val="24"/>
          <w:lang w:val="en-GB"/>
        </w:rPr>
        <w:t>.</w:t>
      </w:r>
      <w:r w:rsidR="004A1545">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A child’s age (Adjusted Odds Ratio, AOR=1.12; 95%CI 1.11–1.13), irreligion (AOR=1.33; 1.04–1.70), primary level maternal education (AOR=1.43; 1.04–1.96), birth order (AOR=1.02; 1.01–1.04), </w:t>
      </w:r>
      <w:r w:rsidR="00234326">
        <w:rPr>
          <w:rFonts w:ascii="Helvetica" w:eastAsia="MS Mincho" w:hAnsi="Helvetica" w:cs="Helvetica"/>
          <w:sz w:val="24"/>
          <w:szCs w:val="24"/>
          <w:lang w:val="en-GB"/>
        </w:rPr>
        <w:t>poorest</w:t>
      </w:r>
      <w:r w:rsidR="003C12F4" w:rsidRPr="003C12F4">
        <w:rPr>
          <w:rFonts w:ascii="Helvetica" w:eastAsia="MS Mincho" w:hAnsi="Helvetica" w:cs="Helvetica"/>
          <w:sz w:val="24"/>
          <w:szCs w:val="24"/>
          <w:lang w:val="en-GB"/>
        </w:rPr>
        <w:t xml:space="preserve"> (AOR=1.82; 1.49–2.20)</w:t>
      </w:r>
      <w:r w:rsidR="00234326">
        <w:rPr>
          <w:rFonts w:ascii="Helvetica" w:eastAsia="MS Mincho" w:hAnsi="Helvetica" w:cs="Helvetica"/>
          <w:sz w:val="24"/>
          <w:szCs w:val="24"/>
          <w:lang w:val="en-GB"/>
        </w:rPr>
        <w:t>, poorer (AOR=1.59</w:t>
      </w:r>
      <w:r w:rsidR="008379EF">
        <w:rPr>
          <w:rFonts w:ascii="Helvetica" w:eastAsia="MS Mincho" w:hAnsi="Helvetica" w:cs="Helvetica"/>
          <w:sz w:val="24"/>
          <w:szCs w:val="24"/>
          <w:lang w:val="en-GB"/>
        </w:rPr>
        <w:t xml:space="preserve">; 1.31–1.92], </w:t>
      </w:r>
      <w:r w:rsidR="00611C6A">
        <w:rPr>
          <w:rFonts w:ascii="Helvetica" w:eastAsia="MS Mincho" w:hAnsi="Helvetica" w:cs="Helvetica"/>
          <w:sz w:val="24"/>
          <w:szCs w:val="24"/>
          <w:lang w:val="en-GB"/>
        </w:rPr>
        <w:t>and middle socioeconomic</w:t>
      </w:r>
      <w:r w:rsidR="00156C63">
        <w:rPr>
          <w:rFonts w:ascii="Helvetica" w:eastAsia="MS Mincho" w:hAnsi="Helvetica" w:cs="Helvetica"/>
          <w:sz w:val="24"/>
          <w:szCs w:val="24"/>
          <w:lang w:val="en-GB"/>
        </w:rPr>
        <w:t xml:space="preserve"> status </w:t>
      </w:r>
      <w:r w:rsidR="006F6E52">
        <w:rPr>
          <w:rFonts w:ascii="Helvetica" w:eastAsia="MS Mincho" w:hAnsi="Helvetica" w:cs="Helvetica"/>
          <w:sz w:val="24"/>
          <w:szCs w:val="24"/>
          <w:lang w:val="en-GB"/>
        </w:rPr>
        <w:t xml:space="preserve">(AOR=1.42; 1.17–1.72) </w:t>
      </w:r>
      <w:r w:rsidR="003C12F4" w:rsidRPr="003C12F4">
        <w:rPr>
          <w:rFonts w:ascii="Helvetica" w:eastAsia="MS Mincho" w:hAnsi="Helvetica" w:cs="Helvetica"/>
          <w:sz w:val="24"/>
          <w:szCs w:val="24"/>
          <w:lang w:val="en-GB"/>
        </w:rPr>
        <w:t>were</w:t>
      </w:r>
      <w:r w:rsidR="00A42FD9">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w:t>
      </w:r>
      <w:r w:rsidR="00F31858">
        <w:rPr>
          <w:rFonts w:ascii="Helvetica" w:eastAsia="MS Mincho" w:hAnsi="Helvetica" w:cs="Helvetica"/>
          <w:sz w:val="24"/>
          <w:szCs w:val="24"/>
          <w:lang w:val="en-GB"/>
        </w:rPr>
        <w:t xml:space="preserve">, Nyanza region (AOR=1.47; 1.16–1.85), and </w:t>
      </w:r>
      <w:r w:rsidR="003C12F4" w:rsidRPr="003C12F4">
        <w:rPr>
          <w:rFonts w:ascii="Helvetica" w:eastAsia="MS Mincho" w:hAnsi="Helvetica" w:cs="Helvetica"/>
          <w:sz w:val="24"/>
          <w:szCs w:val="24"/>
          <w:lang w:val="en-GB"/>
        </w:rPr>
        <w:t xml:space="preserve">high rates of household poverty (AOR=1.74; 1.33–2.27) were associated with increased risk of child underweight. </w:t>
      </w:r>
      <w:r w:rsidR="00E67559">
        <w:rPr>
          <w:rFonts w:ascii="Helvetica" w:eastAsia="MS Mincho" w:hAnsi="Helvetica" w:cs="Helvetica"/>
          <w:sz w:val="24"/>
          <w:szCs w:val="24"/>
          <w:lang w:val="en-GB"/>
        </w:rPr>
        <w:t xml:space="preserve">Religion (other religions), </w:t>
      </w:r>
      <w:r w:rsidR="007B4EAD">
        <w:rPr>
          <w:rFonts w:ascii="Helvetica" w:eastAsia="MS Mincho" w:hAnsi="Helvetica" w:cs="Helvetica"/>
          <w:sz w:val="24"/>
          <w:szCs w:val="24"/>
          <w:lang w:val="en-GB"/>
        </w:rPr>
        <w:t>maternal education (no education</w:t>
      </w:r>
      <w:r w:rsidR="00A94AC0">
        <w:rPr>
          <w:rFonts w:ascii="Helvetica" w:eastAsia="MS Mincho" w:hAnsi="Helvetica" w:cs="Helvetica"/>
          <w:sz w:val="24"/>
          <w:szCs w:val="24"/>
          <w:lang w:val="en-GB"/>
        </w:rPr>
        <w:t xml:space="preserve"> (AOR=5.72</w:t>
      </w:r>
      <w:r w:rsidR="00D92FAA">
        <w:rPr>
          <w:rFonts w:ascii="Helvetica" w:eastAsia="MS Mincho" w:hAnsi="Helvetica" w:cs="Helvetica"/>
          <w:sz w:val="24"/>
          <w:szCs w:val="24"/>
          <w:lang w:val="en-GB"/>
        </w:rPr>
        <w:t>; 2.47-13.26</w:t>
      </w:r>
      <w:r w:rsidR="007B4EAD">
        <w:rPr>
          <w:rFonts w:ascii="Helvetica" w:eastAsia="MS Mincho" w:hAnsi="Helvetica" w:cs="Helvetica"/>
          <w:sz w:val="24"/>
          <w:szCs w:val="24"/>
          <w:lang w:val="en-GB"/>
        </w:rPr>
        <w:t>, primary</w:t>
      </w:r>
      <w:r w:rsidR="00D92FAA">
        <w:rPr>
          <w:rFonts w:ascii="Helvetica" w:eastAsia="MS Mincho" w:hAnsi="Helvetica" w:cs="Helvetica"/>
          <w:sz w:val="24"/>
          <w:szCs w:val="24"/>
          <w:lang w:val="en-GB"/>
        </w:rPr>
        <w:t xml:space="preserve"> (AOR=2.85; 1.26-6.48)</w:t>
      </w:r>
      <w:r w:rsidR="007B4EAD">
        <w:rPr>
          <w:rFonts w:ascii="Helvetica" w:eastAsia="MS Mincho" w:hAnsi="Helvetica" w:cs="Helvetica"/>
          <w:sz w:val="24"/>
          <w:szCs w:val="24"/>
          <w:lang w:val="en-GB"/>
        </w:rPr>
        <w:t>, secondary</w:t>
      </w:r>
      <w:r w:rsidR="00D92FAA">
        <w:rPr>
          <w:rFonts w:ascii="Helvetica" w:eastAsia="MS Mincho" w:hAnsi="Helvetica" w:cs="Helvetica"/>
          <w:sz w:val="24"/>
          <w:szCs w:val="24"/>
          <w:lang w:val="en-GB"/>
        </w:rPr>
        <w:t xml:space="preserve"> (AOR=3.02; </w:t>
      </w:r>
      <w:r w:rsidR="00303A31">
        <w:rPr>
          <w:rFonts w:ascii="Helvetica" w:eastAsia="MS Mincho" w:hAnsi="Helvetica" w:cs="Helvetica"/>
          <w:sz w:val="24"/>
          <w:szCs w:val="24"/>
          <w:lang w:val="en-GB"/>
        </w:rPr>
        <w:t>1.32-6.88</w:t>
      </w:r>
      <w:r w:rsidR="00D92FAA">
        <w:rPr>
          <w:rFonts w:ascii="Helvetica" w:eastAsia="MS Mincho" w:hAnsi="Helvetica" w:cs="Helvetica"/>
          <w:sz w:val="24"/>
          <w:szCs w:val="24"/>
          <w:lang w:val="en-GB"/>
        </w:rPr>
        <w:t>)</w:t>
      </w:r>
      <w:r w:rsidR="007B4EAD">
        <w:rPr>
          <w:rFonts w:ascii="Helvetica" w:eastAsia="MS Mincho" w:hAnsi="Helvetica" w:cs="Helvetica"/>
          <w:sz w:val="24"/>
          <w:szCs w:val="24"/>
          <w:lang w:val="en-GB"/>
        </w:rPr>
        <w:t>)</w:t>
      </w:r>
      <w:r w:rsidR="004F5BE3">
        <w:rPr>
          <w:rFonts w:ascii="Helvetica" w:eastAsia="MS Mincho" w:hAnsi="Helvetica" w:cs="Helvetica"/>
          <w:sz w:val="24"/>
          <w:szCs w:val="24"/>
          <w:lang w:val="en-GB"/>
        </w:rPr>
        <w:t>, region (</w:t>
      </w:r>
      <w:r w:rsidR="008F52C3">
        <w:rPr>
          <w:rFonts w:ascii="Helvetica" w:eastAsia="MS Mincho" w:hAnsi="Helvetica" w:cs="Helvetica"/>
          <w:sz w:val="24"/>
          <w:szCs w:val="24"/>
          <w:lang w:val="en-GB"/>
        </w:rPr>
        <w:t>Nyanza</w:t>
      </w:r>
      <w:r w:rsidR="00303A31">
        <w:rPr>
          <w:rFonts w:ascii="Helvetica" w:eastAsia="MS Mincho" w:hAnsi="Helvetica" w:cs="Helvetica"/>
          <w:sz w:val="24"/>
          <w:szCs w:val="24"/>
          <w:lang w:val="en-GB"/>
        </w:rPr>
        <w:t xml:space="preserve"> (AOR=2.21; 1.43-3.42)</w:t>
      </w:r>
      <w:r w:rsidR="008F52C3">
        <w:rPr>
          <w:rFonts w:ascii="Helvetica" w:eastAsia="MS Mincho" w:hAnsi="Helvetica" w:cs="Helvetica"/>
          <w:sz w:val="24"/>
          <w:szCs w:val="24"/>
          <w:lang w:val="en-GB"/>
        </w:rPr>
        <w:t>, Central</w:t>
      </w:r>
      <w:r w:rsidR="00303A31">
        <w:rPr>
          <w:rFonts w:ascii="Helvetica" w:eastAsia="MS Mincho" w:hAnsi="Helvetica" w:cs="Helvetica"/>
          <w:sz w:val="24"/>
          <w:szCs w:val="24"/>
          <w:lang w:val="en-GB"/>
        </w:rPr>
        <w:t xml:space="preserve"> (AOR=1.71; </w:t>
      </w:r>
      <w:r w:rsidR="00423918">
        <w:rPr>
          <w:rFonts w:ascii="Helvetica" w:eastAsia="MS Mincho" w:hAnsi="Helvetica" w:cs="Helvetica"/>
          <w:sz w:val="24"/>
          <w:szCs w:val="24"/>
          <w:lang w:val="en-GB"/>
        </w:rPr>
        <w:t>1.15-2.56</w:t>
      </w:r>
      <w:r w:rsidR="00303A31">
        <w:rPr>
          <w:rFonts w:ascii="Helvetica" w:eastAsia="MS Mincho" w:hAnsi="Helvetica" w:cs="Helvetica"/>
          <w:sz w:val="24"/>
          <w:szCs w:val="24"/>
          <w:lang w:val="en-GB"/>
        </w:rPr>
        <w:t>)</w:t>
      </w:r>
      <w:r w:rsidR="008F52C3">
        <w:rPr>
          <w:rFonts w:ascii="Helvetica" w:eastAsia="MS Mincho" w:hAnsi="Helvetica" w:cs="Helvetica"/>
          <w:sz w:val="24"/>
          <w:szCs w:val="24"/>
          <w:lang w:val="en-GB"/>
        </w:rPr>
        <w:t>, Coast</w:t>
      </w:r>
      <w:r w:rsidR="00423918">
        <w:rPr>
          <w:rFonts w:ascii="Helvetica" w:eastAsia="MS Mincho" w:hAnsi="Helvetica" w:cs="Helvetica"/>
          <w:sz w:val="24"/>
          <w:szCs w:val="24"/>
          <w:lang w:val="en-GB"/>
        </w:rPr>
        <w:t xml:space="preserve"> (1.68; 1.06-2.67)</w:t>
      </w:r>
      <w:r w:rsidR="008F52C3">
        <w:rPr>
          <w:rFonts w:ascii="Helvetica" w:eastAsia="MS Mincho" w:hAnsi="Helvetica" w:cs="Helvetica"/>
          <w:sz w:val="24"/>
          <w:szCs w:val="24"/>
          <w:lang w:val="en-GB"/>
        </w:rPr>
        <w:t>, and Rift Valley</w:t>
      </w:r>
      <w:r w:rsidR="00423918">
        <w:rPr>
          <w:rFonts w:ascii="Helvetica" w:eastAsia="MS Mincho" w:hAnsi="Helvetica" w:cs="Helvetica"/>
          <w:sz w:val="24"/>
          <w:szCs w:val="24"/>
          <w:lang w:val="en-GB"/>
        </w:rPr>
        <w:t xml:space="preserve"> (2.58; </w:t>
      </w:r>
      <w:r w:rsidR="004C2358">
        <w:rPr>
          <w:rFonts w:ascii="Helvetica" w:eastAsia="MS Mincho" w:hAnsi="Helvetica" w:cs="Helvetica"/>
          <w:sz w:val="24"/>
          <w:szCs w:val="24"/>
          <w:lang w:val="en-GB"/>
        </w:rPr>
        <w:t>1.50-4.43</w:t>
      </w:r>
      <w:r w:rsidR="00423918">
        <w:rPr>
          <w:rFonts w:ascii="Helvetica" w:eastAsia="MS Mincho" w:hAnsi="Helvetica" w:cs="Helvetica"/>
          <w:sz w:val="24"/>
          <w:szCs w:val="24"/>
          <w:lang w:val="en-GB"/>
        </w:rPr>
        <w:t>)</w:t>
      </w:r>
      <w:r w:rsidR="004F5BE3">
        <w:rPr>
          <w:rFonts w:ascii="Helvetica" w:eastAsia="MS Mincho" w:hAnsi="Helvetica" w:cs="Helvetica"/>
          <w:sz w:val="24"/>
          <w:szCs w:val="24"/>
          <w:lang w:val="en-GB"/>
        </w:rPr>
        <w:t>)</w:t>
      </w:r>
      <w:r w:rsidR="00835E87">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were significantly associated with an increased likelihood of wasting in children under five years. </w:t>
      </w:r>
    </w:p>
    <w:p w14:paraId="48F0B26B"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br w:type="page"/>
      </w:r>
    </w:p>
    <w:p w14:paraId="54F98E82"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sectPr w:rsidR="003C12F4" w:rsidRPr="003C12F4" w:rsidSect="00B96DD5">
          <w:pgSz w:w="11900" w:h="16840"/>
          <w:pgMar w:top="1440" w:right="1797" w:bottom="1440" w:left="1797" w:header="709" w:footer="709" w:gutter="0"/>
          <w:lnNumType w:countBy="1" w:restart="continuous"/>
          <w:cols w:space="708"/>
          <w:docGrid w:linePitch="360"/>
        </w:sectPr>
      </w:pPr>
    </w:p>
    <w:p w14:paraId="04DCF0B0" w14:textId="0F5F600B"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6326D3">
        <w:rPr>
          <w:rFonts w:ascii="Helvetica" w:eastAsia="MS Mincho" w:hAnsi="Helvetica" w:cs="Helvetica"/>
          <w:b/>
          <w:bCs/>
          <w:noProof/>
          <w:lang w:val="en-GB"/>
        </w:rPr>
        <w:t>4</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6"/>
        <w:gridCol w:w="1926"/>
        <w:gridCol w:w="1145"/>
        <w:gridCol w:w="2423"/>
        <w:gridCol w:w="1343"/>
        <w:gridCol w:w="2577"/>
        <w:gridCol w:w="1510"/>
      </w:tblGrid>
      <w:tr w:rsidR="003C12F4" w:rsidRPr="003C12F4" w14:paraId="6705A9B9" w14:textId="77777777" w:rsidTr="003C12F4">
        <w:trPr>
          <w:trHeight w:val="178"/>
        </w:trPr>
        <w:tc>
          <w:tcPr>
            <w:tcW w:w="1087" w:type="pct"/>
            <w:tcBorders>
              <w:top w:val="single" w:sz="4" w:space="0" w:color="auto"/>
            </w:tcBorders>
          </w:tcPr>
          <w:p w14:paraId="2B0A5326"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4624B005" w14:textId="77777777" w:rsidR="003C12F4" w:rsidRPr="003C12F4" w:rsidRDefault="003C12F4" w:rsidP="003C12F4">
            <w:pPr>
              <w:jc w:val="center"/>
              <w:rPr>
                <w:rFonts w:ascii="Helvetica" w:hAnsi="Helvetica" w:cs="Helvetica"/>
                <w:b/>
                <w:bCs/>
              </w:rPr>
            </w:pPr>
            <w:proofErr w:type="gramStart"/>
            <w:r w:rsidRPr="003C12F4">
              <w:rPr>
                <w:rFonts w:ascii="Helvetica" w:hAnsi="Helvetica" w:cs="Helvetica"/>
                <w:b/>
                <w:bCs/>
              </w:rPr>
              <w:t>Stunting(</w:t>
            </w:r>
            <w:proofErr w:type="gramEnd"/>
            <w:r w:rsidRPr="003C12F4">
              <w:rPr>
                <w:rFonts w:ascii="Helvetica" w:hAnsi="Helvetica" w:cs="Helvetica"/>
                <w:b/>
                <w:bCs/>
              </w:rPr>
              <w:t>height for age, &lt;2SD)</w:t>
            </w:r>
          </w:p>
        </w:tc>
        <w:tc>
          <w:tcPr>
            <w:tcW w:w="1349" w:type="pct"/>
            <w:gridSpan w:val="2"/>
            <w:tcBorders>
              <w:top w:val="single" w:sz="4" w:space="0" w:color="auto"/>
            </w:tcBorders>
            <w:hideMark/>
          </w:tcPr>
          <w:p w14:paraId="08819A25" w14:textId="77777777" w:rsidR="003C12F4" w:rsidRPr="003C12F4" w:rsidRDefault="003C12F4" w:rsidP="003C12F4">
            <w:pPr>
              <w:jc w:val="center"/>
              <w:rPr>
                <w:rFonts w:ascii="Helvetica" w:hAnsi="Helvetica" w:cs="Helvetica"/>
                <w:b/>
                <w:bCs/>
              </w:rPr>
            </w:pPr>
            <w:proofErr w:type="gramStart"/>
            <w:r w:rsidRPr="003C12F4">
              <w:rPr>
                <w:rFonts w:ascii="Helvetica" w:hAnsi="Helvetica" w:cs="Helvetica"/>
                <w:b/>
                <w:bCs/>
              </w:rPr>
              <w:t>Underweight(</w:t>
            </w:r>
            <w:proofErr w:type="gramEnd"/>
            <w:r w:rsidRPr="003C12F4">
              <w:rPr>
                <w:rFonts w:ascii="Helvetica" w:hAnsi="Helvetica" w:cs="Helvetica"/>
                <w:b/>
                <w:bCs/>
              </w:rPr>
              <w:t>weight for age, &lt;2SD)</w:t>
            </w:r>
          </w:p>
        </w:tc>
        <w:tc>
          <w:tcPr>
            <w:tcW w:w="1464" w:type="pct"/>
            <w:gridSpan w:val="2"/>
            <w:tcBorders>
              <w:top w:val="single" w:sz="4" w:space="0" w:color="auto"/>
            </w:tcBorders>
            <w:hideMark/>
          </w:tcPr>
          <w:p w14:paraId="6F032740" w14:textId="77777777" w:rsidR="003C12F4" w:rsidRPr="003C12F4" w:rsidRDefault="003C12F4" w:rsidP="003C12F4">
            <w:pPr>
              <w:jc w:val="center"/>
              <w:rPr>
                <w:rFonts w:ascii="Helvetica" w:hAnsi="Helvetica" w:cs="Helvetica"/>
                <w:b/>
                <w:bCs/>
              </w:rPr>
            </w:pPr>
            <w:proofErr w:type="gramStart"/>
            <w:r w:rsidRPr="003C12F4">
              <w:rPr>
                <w:rFonts w:ascii="Helvetica" w:hAnsi="Helvetica" w:cs="Helvetica"/>
                <w:b/>
                <w:bCs/>
              </w:rPr>
              <w:t>Wasting(</w:t>
            </w:r>
            <w:proofErr w:type="gramEnd"/>
            <w:r w:rsidRPr="003C12F4">
              <w:rPr>
                <w:rFonts w:ascii="Helvetica" w:hAnsi="Helvetica" w:cs="Helvetica"/>
                <w:b/>
                <w:bCs/>
              </w:rPr>
              <w:t>weight for height, &lt;2SD)</w:t>
            </w:r>
          </w:p>
        </w:tc>
      </w:tr>
      <w:tr w:rsidR="003C12F4" w:rsidRPr="003C12F4" w14:paraId="0CA5CCE9" w14:textId="77777777" w:rsidTr="003C12F4">
        <w:tc>
          <w:tcPr>
            <w:tcW w:w="1087" w:type="pct"/>
          </w:tcPr>
          <w:p w14:paraId="5F4D1890" w14:textId="77777777" w:rsidR="003C12F4" w:rsidRPr="003C12F4" w:rsidRDefault="003C12F4" w:rsidP="003C12F4">
            <w:pPr>
              <w:rPr>
                <w:rFonts w:ascii="Helvetica" w:hAnsi="Helvetica" w:cs="Helvetica"/>
              </w:rPr>
            </w:pPr>
          </w:p>
        </w:tc>
        <w:tc>
          <w:tcPr>
            <w:tcW w:w="690" w:type="pct"/>
            <w:hideMark/>
          </w:tcPr>
          <w:p w14:paraId="2BB43DE8" w14:textId="0C54017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10" w:type="pct"/>
            <w:hideMark/>
          </w:tcPr>
          <w:p w14:paraId="3CB7A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6DBB6BD5" w14:textId="0DCA1D69"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4A24C2A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7F4BD595" w14:textId="1DD7086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B4DA45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123B0744" w14:textId="77777777" w:rsidTr="003C12F4">
        <w:tc>
          <w:tcPr>
            <w:tcW w:w="1087" w:type="pct"/>
            <w:hideMark/>
          </w:tcPr>
          <w:p w14:paraId="4FB2C86E" w14:textId="77777777" w:rsidR="003C12F4" w:rsidRPr="003C12F4" w:rsidRDefault="003C12F4" w:rsidP="003C12F4">
            <w:pPr>
              <w:rPr>
                <w:rFonts w:ascii="Helvetica" w:hAnsi="Helvetica" w:cs="Helvetica"/>
                <w:b/>
                <w:bCs/>
              </w:rPr>
            </w:pPr>
            <w:r w:rsidRPr="003C12F4">
              <w:rPr>
                <w:rFonts w:ascii="Helvetica" w:hAnsi="Helvetica" w:cs="Helvetica"/>
                <w:b/>
                <w:bCs/>
              </w:rPr>
              <w:t>Year (2003 vs 2014)</w:t>
            </w:r>
          </w:p>
        </w:tc>
        <w:tc>
          <w:tcPr>
            <w:tcW w:w="690" w:type="pct"/>
            <w:hideMark/>
          </w:tcPr>
          <w:p w14:paraId="18C0103C" w14:textId="77777777" w:rsidR="003C12F4" w:rsidRPr="003C12F4" w:rsidRDefault="003C12F4" w:rsidP="003C12F4">
            <w:pPr>
              <w:rPr>
                <w:rFonts w:ascii="Helvetica" w:hAnsi="Helvetica" w:cs="Helvetica"/>
              </w:rPr>
            </w:pPr>
            <w:r w:rsidRPr="003C12F4">
              <w:rPr>
                <w:rFonts w:ascii="Helvetica" w:hAnsi="Helvetica" w:cs="Helvetica"/>
              </w:rPr>
              <w:t>0.57(0.51-0.64)</w:t>
            </w:r>
          </w:p>
        </w:tc>
        <w:tc>
          <w:tcPr>
            <w:tcW w:w="410" w:type="pct"/>
            <w:hideMark/>
          </w:tcPr>
          <w:p w14:paraId="1B3B935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78FECEF" w14:textId="77777777" w:rsidR="003C12F4" w:rsidRPr="003C12F4" w:rsidRDefault="003C12F4" w:rsidP="003C12F4">
            <w:pPr>
              <w:rPr>
                <w:rFonts w:ascii="Helvetica" w:hAnsi="Helvetica" w:cs="Helvetica"/>
              </w:rPr>
            </w:pPr>
            <w:r w:rsidRPr="003C12F4">
              <w:rPr>
                <w:rFonts w:ascii="Helvetica" w:hAnsi="Helvetica" w:cs="Helvetica"/>
              </w:rPr>
              <w:t>0.67(0.57-0.77)</w:t>
            </w:r>
          </w:p>
        </w:tc>
        <w:tc>
          <w:tcPr>
            <w:tcW w:w="481" w:type="pct"/>
            <w:hideMark/>
          </w:tcPr>
          <w:p w14:paraId="47816A7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ADEF2D5" w14:textId="77777777" w:rsidR="003C12F4" w:rsidRPr="003C12F4" w:rsidRDefault="003C12F4" w:rsidP="003C12F4">
            <w:pPr>
              <w:rPr>
                <w:rFonts w:ascii="Helvetica" w:hAnsi="Helvetica" w:cs="Helvetica"/>
              </w:rPr>
            </w:pPr>
            <w:r w:rsidRPr="003C12F4">
              <w:rPr>
                <w:rFonts w:ascii="Helvetica" w:hAnsi="Helvetica" w:cs="Helvetica"/>
                <w:color w:val="000000"/>
              </w:rPr>
              <w:t>0.71(0.56-0.90)</w:t>
            </w:r>
          </w:p>
        </w:tc>
        <w:tc>
          <w:tcPr>
            <w:tcW w:w="541" w:type="pct"/>
            <w:vAlign w:val="center"/>
            <w:hideMark/>
          </w:tcPr>
          <w:p w14:paraId="6616C2C6" w14:textId="77777777" w:rsidR="003C12F4" w:rsidRPr="003C12F4" w:rsidRDefault="003C12F4" w:rsidP="003C12F4">
            <w:pPr>
              <w:rPr>
                <w:rFonts w:ascii="Helvetica" w:hAnsi="Helvetica" w:cs="Helvetica"/>
              </w:rPr>
            </w:pPr>
            <w:r w:rsidRPr="003C12F4">
              <w:rPr>
                <w:rFonts w:ascii="Helvetica" w:hAnsi="Helvetica" w:cs="Helvetica"/>
                <w:color w:val="000000"/>
              </w:rPr>
              <w:t>0.005</w:t>
            </w:r>
          </w:p>
        </w:tc>
      </w:tr>
      <w:tr w:rsidR="003C12F4" w:rsidRPr="003C12F4" w14:paraId="46C1B561" w14:textId="77777777" w:rsidTr="003C12F4">
        <w:tc>
          <w:tcPr>
            <w:tcW w:w="1087" w:type="pct"/>
            <w:hideMark/>
          </w:tcPr>
          <w:p w14:paraId="7D926D4D" w14:textId="77777777" w:rsidR="003C12F4" w:rsidRPr="003C12F4" w:rsidRDefault="003C12F4" w:rsidP="003C12F4">
            <w:pPr>
              <w:rPr>
                <w:rFonts w:ascii="Helvetica" w:hAnsi="Helvetica" w:cs="Helvetica"/>
                <w:b/>
                <w:bCs/>
              </w:rPr>
            </w:pPr>
            <w:r w:rsidRPr="003C12F4">
              <w:rPr>
                <w:rFonts w:ascii="Helvetica" w:hAnsi="Helvetica" w:cs="Helvetica"/>
                <w:b/>
                <w:bCs/>
              </w:rPr>
              <w:t>Age months</w:t>
            </w:r>
          </w:p>
        </w:tc>
        <w:tc>
          <w:tcPr>
            <w:tcW w:w="690" w:type="pct"/>
            <w:hideMark/>
          </w:tcPr>
          <w:p w14:paraId="75782C9D" w14:textId="77777777" w:rsidR="003C12F4" w:rsidRPr="003C12F4" w:rsidRDefault="003C12F4" w:rsidP="003C12F4">
            <w:pPr>
              <w:rPr>
                <w:rFonts w:ascii="Helvetica" w:hAnsi="Helvetica" w:cs="Helvetica"/>
              </w:rPr>
            </w:pPr>
            <w:r w:rsidRPr="003C12F4">
              <w:rPr>
                <w:rFonts w:ascii="Helvetica" w:hAnsi="Helvetica" w:cs="Helvetica"/>
              </w:rPr>
              <w:t>1.12(1.10-1.13)</w:t>
            </w:r>
          </w:p>
        </w:tc>
        <w:tc>
          <w:tcPr>
            <w:tcW w:w="410" w:type="pct"/>
            <w:hideMark/>
          </w:tcPr>
          <w:p w14:paraId="1E5476C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5E6260" w14:textId="77777777" w:rsidR="003C12F4" w:rsidRPr="003C12F4" w:rsidRDefault="003C12F4" w:rsidP="003C12F4">
            <w:pPr>
              <w:rPr>
                <w:rFonts w:ascii="Helvetica" w:hAnsi="Helvetica" w:cs="Helvetica"/>
              </w:rPr>
            </w:pPr>
            <w:r w:rsidRPr="003C12F4">
              <w:rPr>
                <w:rFonts w:ascii="Helvetica" w:hAnsi="Helvetica" w:cs="Helvetica"/>
              </w:rPr>
              <w:t>1.07(1.06-1.08)</w:t>
            </w:r>
          </w:p>
        </w:tc>
        <w:tc>
          <w:tcPr>
            <w:tcW w:w="481" w:type="pct"/>
            <w:hideMark/>
          </w:tcPr>
          <w:p w14:paraId="24F0D6CA"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66CDC06" w14:textId="77777777" w:rsidR="003C12F4" w:rsidRPr="003C12F4" w:rsidRDefault="003C12F4" w:rsidP="003C12F4">
            <w:pPr>
              <w:rPr>
                <w:rFonts w:ascii="Helvetica" w:hAnsi="Helvetica" w:cs="Helvetica"/>
              </w:rPr>
            </w:pPr>
            <w:r w:rsidRPr="003C12F4">
              <w:rPr>
                <w:rFonts w:ascii="Helvetica" w:hAnsi="Helvetica" w:cs="Helvetica"/>
                <w:color w:val="000000"/>
              </w:rPr>
              <w:t>0.99(0.97-1.01)</w:t>
            </w:r>
          </w:p>
        </w:tc>
        <w:tc>
          <w:tcPr>
            <w:tcW w:w="541" w:type="pct"/>
            <w:vAlign w:val="center"/>
            <w:hideMark/>
          </w:tcPr>
          <w:p w14:paraId="5941A772" w14:textId="77777777" w:rsidR="003C12F4" w:rsidRPr="003C12F4" w:rsidRDefault="003C12F4" w:rsidP="003C12F4">
            <w:pPr>
              <w:rPr>
                <w:rFonts w:ascii="Helvetica" w:hAnsi="Helvetica" w:cs="Helvetica"/>
              </w:rPr>
            </w:pPr>
            <w:r w:rsidRPr="003C12F4">
              <w:rPr>
                <w:rFonts w:ascii="Helvetica" w:hAnsi="Helvetica" w:cs="Helvetica"/>
                <w:color w:val="000000"/>
              </w:rPr>
              <w:t>0.159</w:t>
            </w:r>
          </w:p>
        </w:tc>
      </w:tr>
      <w:tr w:rsidR="003C12F4" w:rsidRPr="003C12F4" w14:paraId="3AE9921E" w14:textId="77777777" w:rsidTr="003C12F4">
        <w:tc>
          <w:tcPr>
            <w:tcW w:w="1087" w:type="pct"/>
            <w:hideMark/>
          </w:tcPr>
          <w:p w14:paraId="10581279" w14:textId="77777777" w:rsidR="003C12F4" w:rsidRPr="003C12F4" w:rsidRDefault="003C12F4" w:rsidP="003C12F4">
            <w:pPr>
              <w:rPr>
                <w:rFonts w:ascii="Helvetica" w:hAnsi="Helvetica" w:cs="Helvetica"/>
                <w:b/>
                <w:bCs/>
              </w:rPr>
            </w:pPr>
            <w:r w:rsidRPr="003C12F4">
              <w:rPr>
                <w:rFonts w:ascii="Helvetica" w:hAnsi="Helvetica" w:cs="Helvetica"/>
                <w:b/>
                <w:bCs/>
              </w:rPr>
              <w:t>Age squared</w:t>
            </w:r>
          </w:p>
        </w:tc>
        <w:tc>
          <w:tcPr>
            <w:tcW w:w="690" w:type="pct"/>
            <w:hideMark/>
          </w:tcPr>
          <w:p w14:paraId="1DC96355"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10" w:type="pct"/>
            <w:hideMark/>
          </w:tcPr>
          <w:p w14:paraId="51F4704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83F058"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81" w:type="pct"/>
            <w:hideMark/>
          </w:tcPr>
          <w:p w14:paraId="45A81B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5D2CA081" w14:textId="77777777" w:rsidR="003C12F4" w:rsidRPr="003C12F4" w:rsidRDefault="003C12F4" w:rsidP="003C12F4">
            <w:pPr>
              <w:rPr>
                <w:rFonts w:ascii="Helvetica" w:hAnsi="Helvetica" w:cs="Helvetica"/>
              </w:rPr>
            </w:pPr>
            <w:r w:rsidRPr="003C12F4">
              <w:rPr>
                <w:rFonts w:ascii="Helvetica" w:hAnsi="Helvetica" w:cs="Helvetica"/>
                <w:color w:val="000000"/>
              </w:rPr>
              <w:t>1.00(1.00-1.00)</w:t>
            </w:r>
          </w:p>
        </w:tc>
        <w:tc>
          <w:tcPr>
            <w:tcW w:w="541" w:type="pct"/>
            <w:vAlign w:val="center"/>
            <w:hideMark/>
          </w:tcPr>
          <w:p w14:paraId="141669E7" w14:textId="77777777" w:rsidR="003C12F4" w:rsidRPr="003C12F4" w:rsidRDefault="003C12F4" w:rsidP="003C12F4">
            <w:pPr>
              <w:rPr>
                <w:rFonts w:ascii="Helvetica" w:hAnsi="Helvetica" w:cs="Helvetica"/>
              </w:rPr>
            </w:pPr>
            <w:r w:rsidRPr="003C12F4">
              <w:rPr>
                <w:rFonts w:ascii="Helvetica" w:hAnsi="Helvetica" w:cs="Helvetica"/>
                <w:color w:val="000000"/>
              </w:rPr>
              <w:t>0.931</w:t>
            </w:r>
          </w:p>
        </w:tc>
      </w:tr>
      <w:tr w:rsidR="003C12F4" w:rsidRPr="003C12F4" w14:paraId="1470E36C" w14:textId="77777777" w:rsidTr="003C12F4">
        <w:tc>
          <w:tcPr>
            <w:tcW w:w="1087" w:type="pct"/>
            <w:hideMark/>
          </w:tcPr>
          <w:p w14:paraId="2D976284" w14:textId="77777777" w:rsidR="003C12F4" w:rsidRPr="003C12F4" w:rsidRDefault="003C12F4" w:rsidP="003C12F4">
            <w:pPr>
              <w:rPr>
                <w:rFonts w:ascii="Helvetica" w:hAnsi="Helvetica" w:cs="Helvetica"/>
                <w:b/>
                <w:bCs/>
              </w:rPr>
            </w:pPr>
            <w:r w:rsidRPr="003C12F4">
              <w:rPr>
                <w:rFonts w:ascii="Helvetica" w:hAnsi="Helvetica" w:cs="Helvetica"/>
                <w:b/>
                <w:bCs/>
              </w:rPr>
              <w:t>Sex</w:t>
            </w:r>
          </w:p>
        </w:tc>
        <w:tc>
          <w:tcPr>
            <w:tcW w:w="690" w:type="pct"/>
          </w:tcPr>
          <w:p w14:paraId="23AB1EB9" w14:textId="77777777" w:rsidR="003C12F4" w:rsidRPr="003C12F4" w:rsidRDefault="003C12F4" w:rsidP="003C12F4">
            <w:pPr>
              <w:rPr>
                <w:rFonts w:ascii="Helvetica" w:hAnsi="Helvetica" w:cs="Helvetica"/>
              </w:rPr>
            </w:pPr>
          </w:p>
        </w:tc>
        <w:tc>
          <w:tcPr>
            <w:tcW w:w="410" w:type="pct"/>
          </w:tcPr>
          <w:p w14:paraId="76C65E98" w14:textId="77777777" w:rsidR="003C12F4" w:rsidRPr="003C12F4" w:rsidRDefault="003C12F4" w:rsidP="003C12F4">
            <w:pPr>
              <w:rPr>
                <w:rFonts w:ascii="Helvetica" w:hAnsi="Helvetica" w:cs="Helvetica"/>
              </w:rPr>
            </w:pPr>
          </w:p>
        </w:tc>
        <w:tc>
          <w:tcPr>
            <w:tcW w:w="868" w:type="pct"/>
          </w:tcPr>
          <w:p w14:paraId="3327E0AF" w14:textId="77777777" w:rsidR="003C12F4" w:rsidRPr="003C12F4" w:rsidRDefault="003C12F4" w:rsidP="003C12F4">
            <w:pPr>
              <w:rPr>
                <w:rFonts w:ascii="Helvetica" w:hAnsi="Helvetica" w:cs="Helvetica"/>
              </w:rPr>
            </w:pPr>
          </w:p>
        </w:tc>
        <w:tc>
          <w:tcPr>
            <w:tcW w:w="481" w:type="pct"/>
          </w:tcPr>
          <w:p w14:paraId="1BE36FF8" w14:textId="77777777" w:rsidR="003C12F4" w:rsidRPr="003C12F4" w:rsidRDefault="003C12F4" w:rsidP="003C12F4">
            <w:pPr>
              <w:rPr>
                <w:rFonts w:ascii="Helvetica" w:hAnsi="Helvetica" w:cs="Helvetica"/>
              </w:rPr>
            </w:pPr>
          </w:p>
        </w:tc>
        <w:tc>
          <w:tcPr>
            <w:tcW w:w="923" w:type="pct"/>
            <w:vAlign w:val="center"/>
          </w:tcPr>
          <w:p w14:paraId="7F4B4120" w14:textId="77777777" w:rsidR="003C12F4" w:rsidRPr="003C12F4" w:rsidRDefault="003C12F4" w:rsidP="003C12F4">
            <w:pPr>
              <w:rPr>
                <w:rFonts w:ascii="Helvetica" w:hAnsi="Helvetica" w:cs="Helvetica"/>
              </w:rPr>
            </w:pPr>
          </w:p>
        </w:tc>
        <w:tc>
          <w:tcPr>
            <w:tcW w:w="541" w:type="pct"/>
          </w:tcPr>
          <w:p w14:paraId="050E6622" w14:textId="77777777" w:rsidR="003C12F4" w:rsidRPr="003C12F4" w:rsidRDefault="003C12F4" w:rsidP="003C12F4">
            <w:pPr>
              <w:rPr>
                <w:rFonts w:ascii="Helvetica" w:hAnsi="Helvetica" w:cs="Helvetica"/>
              </w:rPr>
            </w:pPr>
          </w:p>
        </w:tc>
      </w:tr>
      <w:tr w:rsidR="003C12F4" w:rsidRPr="003C12F4" w14:paraId="15F588E1" w14:textId="77777777" w:rsidTr="003C12F4">
        <w:tc>
          <w:tcPr>
            <w:tcW w:w="1087" w:type="pct"/>
            <w:hideMark/>
          </w:tcPr>
          <w:p w14:paraId="49D15B22" w14:textId="77777777" w:rsidR="003C12F4" w:rsidRPr="003C12F4" w:rsidRDefault="003C12F4" w:rsidP="003C12F4">
            <w:pPr>
              <w:rPr>
                <w:rFonts w:ascii="Helvetica" w:hAnsi="Helvetica" w:cs="Helvetica"/>
              </w:rPr>
            </w:pPr>
            <w:r w:rsidRPr="003C12F4">
              <w:rPr>
                <w:rFonts w:ascii="Helvetica" w:hAnsi="Helvetica" w:cs="Helvetica"/>
              </w:rPr>
              <w:t>Female</w:t>
            </w:r>
          </w:p>
        </w:tc>
        <w:tc>
          <w:tcPr>
            <w:tcW w:w="690" w:type="pct"/>
            <w:hideMark/>
          </w:tcPr>
          <w:p w14:paraId="7FA20A54" w14:textId="77777777" w:rsidR="003C12F4" w:rsidRPr="003C12F4" w:rsidRDefault="003C12F4" w:rsidP="003C12F4">
            <w:pPr>
              <w:rPr>
                <w:rFonts w:ascii="Helvetica" w:hAnsi="Helvetica" w:cs="Helvetica"/>
              </w:rPr>
            </w:pPr>
            <w:r w:rsidRPr="003C12F4">
              <w:rPr>
                <w:rFonts w:ascii="Helvetica" w:hAnsi="Helvetica" w:cs="Helvetica"/>
              </w:rPr>
              <w:t>0.67(0.62-0.73)</w:t>
            </w:r>
          </w:p>
        </w:tc>
        <w:tc>
          <w:tcPr>
            <w:tcW w:w="410" w:type="pct"/>
            <w:hideMark/>
          </w:tcPr>
          <w:p w14:paraId="067336B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0D062003" w14:textId="77777777" w:rsidR="003C12F4" w:rsidRPr="003C12F4" w:rsidRDefault="003C12F4" w:rsidP="003C12F4">
            <w:pPr>
              <w:rPr>
                <w:rFonts w:ascii="Helvetica" w:hAnsi="Helvetica" w:cs="Helvetica"/>
              </w:rPr>
            </w:pPr>
            <w:r w:rsidRPr="003C12F4">
              <w:rPr>
                <w:rFonts w:ascii="Helvetica" w:hAnsi="Helvetica" w:cs="Helvetica"/>
              </w:rPr>
              <w:t>0.75(0.67-0.84)</w:t>
            </w:r>
          </w:p>
        </w:tc>
        <w:tc>
          <w:tcPr>
            <w:tcW w:w="481" w:type="pct"/>
            <w:hideMark/>
          </w:tcPr>
          <w:p w14:paraId="3F06C24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0158A1B9" w14:textId="77777777" w:rsidR="003C12F4" w:rsidRPr="003C12F4" w:rsidRDefault="003C12F4" w:rsidP="003C12F4">
            <w:pPr>
              <w:rPr>
                <w:rFonts w:ascii="Helvetica" w:hAnsi="Helvetica" w:cs="Helvetica"/>
              </w:rPr>
            </w:pPr>
            <w:r w:rsidRPr="003C12F4">
              <w:rPr>
                <w:rFonts w:ascii="Helvetica" w:hAnsi="Helvetica" w:cs="Helvetica"/>
              </w:rPr>
              <w:t>0.74(0.63-0.89)</w:t>
            </w:r>
          </w:p>
        </w:tc>
        <w:tc>
          <w:tcPr>
            <w:tcW w:w="541" w:type="pct"/>
            <w:hideMark/>
          </w:tcPr>
          <w:p w14:paraId="4040EDF4"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35A43776" w14:textId="77777777" w:rsidTr="003C12F4">
        <w:tc>
          <w:tcPr>
            <w:tcW w:w="1087" w:type="pct"/>
            <w:hideMark/>
          </w:tcPr>
          <w:p w14:paraId="0790D983" w14:textId="77777777" w:rsidR="003C12F4" w:rsidRPr="003C12F4" w:rsidRDefault="003C12F4" w:rsidP="003C12F4">
            <w:pPr>
              <w:rPr>
                <w:rFonts w:ascii="Helvetica" w:hAnsi="Helvetica" w:cs="Helvetica"/>
              </w:rPr>
            </w:pPr>
            <w:r w:rsidRPr="003C12F4">
              <w:rPr>
                <w:rFonts w:ascii="Helvetica" w:hAnsi="Helvetica" w:cs="Helvetica"/>
              </w:rPr>
              <w:t>Male</w:t>
            </w:r>
          </w:p>
        </w:tc>
        <w:tc>
          <w:tcPr>
            <w:tcW w:w="690" w:type="pct"/>
            <w:hideMark/>
          </w:tcPr>
          <w:p w14:paraId="5AF52BCA" w14:textId="63ECFEBE"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A9DBCE0" w14:textId="77777777" w:rsidR="003C12F4" w:rsidRPr="003C12F4" w:rsidRDefault="003C12F4" w:rsidP="003C12F4">
            <w:pPr>
              <w:rPr>
                <w:rFonts w:ascii="Helvetica" w:hAnsi="Helvetica" w:cs="Helvetica"/>
              </w:rPr>
            </w:pPr>
          </w:p>
        </w:tc>
        <w:tc>
          <w:tcPr>
            <w:tcW w:w="868" w:type="pct"/>
            <w:hideMark/>
          </w:tcPr>
          <w:p w14:paraId="6063A4B5" w14:textId="27D2D584"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69B28A98" w14:textId="77777777" w:rsidR="003C12F4" w:rsidRPr="003C12F4" w:rsidRDefault="003C12F4" w:rsidP="003C12F4">
            <w:pPr>
              <w:rPr>
                <w:rFonts w:ascii="Helvetica" w:hAnsi="Helvetica" w:cs="Helvetica"/>
              </w:rPr>
            </w:pPr>
          </w:p>
        </w:tc>
        <w:tc>
          <w:tcPr>
            <w:tcW w:w="923" w:type="pct"/>
            <w:hideMark/>
          </w:tcPr>
          <w:p w14:paraId="017BD711" w14:textId="2E3409A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06F66598" w14:textId="77777777" w:rsidR="003C12F4" w:rsidRPr="003C12F4" w:rsidRDefault="003C12F4" w:rsidP="003C12F4">
            <w:pPr>
              <w:rPr>
                <w:rFonts w:ascii="Helvetica" w:hAnsi="Helvetica" w:cs="Helvetica"/>
              </w:rPr>
            </w:pPr>
          </w:p>
        </w:tc>
      </w:tr>
      <w:tr w:rsidR="003C12F4" w:rsidRPr="003C12F4" w14:paraId="5D89BCFA" w14:textId="77777777" w:rsidTr="003C12F4">
        <w:tc>
          <w:tcPr>
            <w:tcW w:w="1087" w:type="pct"/>
            <w:hideMark/>
          </w:tcPr>
          <w:p w14:paraId="77F07488" w14:textId="77777777" w:rsidR="003C12F4" w:rsidRPr="003C12F4" w:rsidRDefault="003C12F4" w:rsidP="003C12F4">
            <w:pPr>
              <w:rPr>
                <w:rFonts w:ascii="Helvetica" w:hAnsi="Helvetica" w:cs="Helvetica"/>
                <w:b/>
                <w:bCs/>
              </w:rPr>
            </w:pPr>
            <w:r w:rsidRPr="003C12F4">
              <w:rPr>
                <w:rFonts w:ascii="Helvetica" w:hAnsi="Helvetica" w:cs="Helvetica"/>
                <w:b/>
                <w:bCs/>
              </w:rPr>
              <w:t>Residence</w:t>
            </w:r>
          </w:p>
        </w:tc>
        <w:tc>
          <w:tcPr>
            <w:tcW w:w="690" w:type="pct"/>
          </w:tcPr>
          <w:p w14:paraId="5EB372A6" w14:textId="77777777" w:rsidR="003C12F4" w:rsidRPr="003C12F4" w:rsidRDefault="003C12F4" w:rsidP="003C12F4">
            <w:pPr>
              <w:rPr>
                <w:rFonts w:ascii="Helvetica" w:hAnsi="Helvetica" w:cs="Helvetica"/>
              </w:rPr>
            </w:pPr>
          </w:p>
        </w:tc>
        <w:tc>
          <w:tcPr>
            <w:tcW w:w="410" w:type="pct"/>
          </w:tcPr>
          <w:p w14:paraId="25424437" w14:textId="77777777" w:rsidR="003C12F4" w:rsidRPr="003C12F4" w:rsidRDefault="003C12F4" w:rsidP="003C12F4">
            <w:pPr>
              <w:rPr>
                <w:rFonts w:ascii="Helvetica" w:hAnsi="Helvetica" w:cs="Helvetica"/>
              </w:rPr>
            </w:pPr>
          </w:p>
        </w:tc>
        <w:tc>
          <w:tcPr>
            <w:tcW w:w="868" w:type="pct"/>
          </w:tcPr>
          <w:p w14:paraId="7A3FB9C2" w14:textId="77777777" w:rsidR="003C12F4" w:rsidRPr="003C12F4" w:rsidRDefault="003C12F4" w:rsidP="003C12F4">
            <w:pPr>
              <w:rPr>
                <w:rFonts w:ascii="Helvetica" w:hAnsi="Helvetica" w:cs="Helvetica"/>
              </w:rPr>
            </w:pPr>
          </w:p>
        </w:tc>
        <w:tc>
          <w:tcPr>
            <w:tcW w:w="481" w:type="pct"/>
          </w:tcPr>
          <w:p w14:paraId="79C64820" w14:textId="77777777" w:rsidR="003C12F4" w:rsidRPr="003C12F4" w:rsidRDefault="003C12F4" w:rsidP="003C12F4">
            <w:pPr>
              <w:rPr>
                <w:rFonts w:ascii="Helvetica" w:hAnsi="Helvetica" w:cs="Helvetica"/>
              </w:rPr>
            </w:pPr>
          </w:p>
        </w:tc>
        <w:tc>
          <w:tcPr>
            <w:tcW w:w="923" w:type="pct"/>
          </w:tcPr>
          <w:p w14:paraId="46C9EF2F" w14:textId="77777777" w:rsidR="003C12F4" w:rsidRPr="003C12F4" w:rsidRDefault="003C12F4" w:rsidP="003C12F4">
            <w:pPr>
              <w:rPr>
                <w:rFonts w:ascii="Helvetica" w:hAnsi="Helvetica" w:cs="Helvetica"/>
              </w:rPr>
            </w:pPr>
          </w:p>
        </w:tc>
        <w:tc>
          <w:tcPr>
            <w:tcW w:w="541" w:type="pct"/>
          </w:tcPr>
          <w:p w14:paraId="4BE9A5C8" w14:textId="77777777" w:rsidR="003C12F4" w:rsidRPr="003C12F4" w:rsidRDefault="003C12F4" w:rsidP="003C12F4">
            <w:pPr>
              <w:rPr>
                <w:rFonts w:ascii="Helvetica" w:hAnsi="Helvetica" w:cs="Helvetica"/>
              </w:rPr>
            </w:pPr>
          </w:p>
        </w:tc>
      </w:tr>
      <w:tr w:rsidR="003C12F4" w:rsidRPr="003C12F4" w14:paraId="0F36C6E3" w14:textId="77777777" w:rsidTr="003C12F4">
        <w:tc>
          <w:tcPr>
            <w:tcW w:w="1087" w:type="pct"/>
            <w:hideMark/>
          </w:tcPr>
          <w:p w14:paraId="08239C10" w14:textId="77777777" w:rsidR="003C12F4" w:rsidRPr="003C12F4" w:rsidRDefault="003C12F4" w:rsidP="003C12F4">
            <w:pPr>
              <w:rPr>
                <w:rFonts w:ascii="Helvetica" w:hAnsi="Helvetica" w:cs="Helvetica"/>
              </w:rPr>
            </w:pPr>
            <w:r w:rsidRPr="003C12F4">
              <w:rPr>
                <w:rFonts w:ascii="Helvetica" w:hAnsi="Helvetica" w:cs="Helvetica"/>
              </w:rPr>
              <w:t>Rural</w:t>
            </w:r>
          </w:p>
        </w:tc>
        <w:tc>
          <w:tcPr>
            <w:tcW w:w="690" w:type="pct"/>
            <w:hideMark/>
          </w:tcPr>
          <w:p w14:paraId="5926D21A" w14:textId="77777777" w:rsidR="003C12F4" w:rsidRPr="003C12F4" w:rsidRDefault="003C12F4" w:rsidP="003C12F4">
            <w:pPr>
              <w:rPr>
                <w:rFonts w:ascii="Helvetica" w:hAnsi="Helvetica" w:cs="Helvetica"/>
              </w:rPr>
            </w:pPr>
            <w:r w:rsidRPr="003C12F4">
              <w:rPr>
                <w:rFonts w:ascii="Helvetica" w:hAnsi="Helvetica" w:cs="Helvetica"/>
              </w:rPr>
              <w:t>0.93(0.82-1.05)</w:t>
            </w:r>
          </w:p>
        </w:tc>
        <w:tc>
          <w:tcPr>
            <w:tcW w:w="410" w:type="pct"/>
            <w:hideMark/>
          </w:tcPr>
          <w:p w14:paraId="41570371" w14:textId="77777777" w:rsidR="003C12F4" w:rsidRPr="003C12F4" w:rsidRDefault="003C12F4" w:rsidP="003C12F4">
            <w:pPr>
              <w:rPr>
                <w:rFonts w:ascii="Helvetica" w:hAnsi="Helvetica" w:cs="Helvetica"/>
              </w:rPr>
            </w:pPr>
            <w:r w:rsidRPr="003C12F4">
              <w:rPr>
                <w:rFonts w:ascii="Helvetica" w:hAnsi="Helvetica" w:cs="Helvetica"/>
              </w:rPr>
              <w:t>0.244</w:t>
            </w:r>
          </w:p>
        </w:tc>
        <w:tc>
          <w:tcPr>
            <w:tcW w:w="868" w:type="pct"/>
            <w:hideMark/>
          </w:tcPr>
          <w:p w14:paraId="422BD147" w14:textId="77777777" w:rsidR="003C12F4" w:rsidRPr="003C12F4" w:rsidRDefault="003C12F4" w:rsidP="003C12F4">
            <w:pPr>
              <w:rPr>
                <w:rFonts w:ascii="Helvetica" w:hAnsi="Helvetica" w:cs="Helvetica"/>
              </w:rPr>
            </w:pPr>
            <w:r w:rsidRPr="003C12F4">
              <w:rPr>
                <w:rFonts w:ascii="Helvetica" w:hAnsi="Helvetica" w:cs="Helvetica"/>
              </w:rPr>
              <w:t>1.04(0.88-1.24)</w:t>
            </w:r>
          </w:p>
        </w:tc>
        <w:tc>
          <w:tcPr>
            <w:tcW w:w="481" w:type="pct"/>
            <w:hideMark/>
          </w:tcPr>
          <w:p w14:paraId="260878B8" w14:textId="77777777" w:rsidR="003C12F4" w:rsidRPr="003C12F4" w:rsidRDefault="003C12F4" w:rsidP="003C12F4">
            <w:pPr>
              <w:rPr>
                <w:rFonts w:ascii="Helvetica" w:hAnsi="Helvetica" w:cs="Helvetica"/>
              </w:rPr>
            </w:pPr>
            <w:r w:rsidRPr="003C12F4">
              <w:rPr>
                <w:rFonts w:ascii="Helvetica" w:hAnsi="Helvetica" w:cs="Helvetica"/>
              </w:rPr>
              <w:t>0.653</w:t>
            </w:r>
          </w:p>
        </w:tc>
        <w:tc>
          <w:tcPr>
            <w:tcW w:w="923" w:type="pct"/>
            <w:hideMark/>
          </w:tcPr>
          <w:p w14:paraId="2E0C0236" w14:textId="77777777" w:rsidR="003C12F4" w:rsidRPr="003C12F4" w:rsidRDefault="003C12F4" w:rsidP="003C12F4">
            <w:pPr>
              <w:rPr>
                <w:rFonts w:ascii="Helvetica" w:hAnsi="Helvetica" w:cs="Helvetica"/>
              </w:rPr>
            </w:pPr>
            <w:r w:rsidRPr="003C12F4">
              <w:rPr>
                <w:rFonts w:ascii="Helvetica" w:hAnsi="Helvetica" w:cs="Helvetica"/>
              </w:rPr>
              <w:t>0.90(0.69-1.17)</w:t>
            </w:r>
          </w:p>
        </w:tc>
        <w:tc>
          <w:tcPr>
            <w:tcW w:w="541" w:type="pct"/>
            <w:hideMark/>
          </w:tcPr>
          <w:p w14:paraId="1DBDA384" w14:textId="77777777" w:rsidR="003C12F4" w:rsidRPr="003C12F4" w:rsidRDefault="003C12F4" w:rsidP="003C12F4">
            <w:pPr>
              <w:rPr>
                <w:rFonts w:ascii="Helvetica" w:hAnsi="Helvetica" w:cs="Helvetica"/>
              </w:rPr>
            </w:pPr>
            <w:r w:rsidRPr="003C12F4">
              <w:rPr>
                <w:rFonts w:ascii="Helvetica" w:hAnsi="Helvetica" w:cs="Helvetica"/>
              </w:rPr>
              <w:t>0.442</w:t>
            </w:r>
          </w:p>
        </w:tc>
      </w:tr>
      <w:tr w:rsidR="003C12F4" w:rsidRPr="003C12F4" w14:paraId="6993444D" w14:textId="77777777" w:rsidTr="003C12F4">
        <w:tc>
          <w:tcPr>
            <w:tcW w:w="1087" w:type="pct"/>
            <w:hideMark/>
          </w:tcPr>
          <w:p w14:paraId="4378B454" w14:textId="77777777" w:rsidR="003C12F4" w:rsidRPr="003C12F4" w:rsidRDefault="003C12F4" w:rsidP="003C12F4">
            <w:pPr>
              <w:rPr>
                <w:rFonts w:ascii="Helvetica" w:hAnsi="Helvetica" w:cs="Helvetica"/>
              </w:rPr>
            </w:pPr>
            <w:r w:rsidRPr="003C12F4">
              <w:rPr>
                <w:rFonts w:ascii="Helvetica" w:hAnsi="Helvetica" w:cs="Helvetica"/>
              </w:rPr>
              <w:t>Urban</w:t>
            </w:r>
          </w:p>
        </w:tc>
        <w:tc>
          <w:tcPr>
            <w:tcW w:w="690" w:type="pct"/>
            <w:hideMark/>
          </w:tcPr>
          <w:p w14:paraId="08AAC765" w14:textId="68C1CBAC"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1AB02F1B" w14:textId="77777777" w:rsidR="003C12F4" w:rsidRPr="003C12F4" w:rsidRDefault="003C12F4" w:rsidP="003C12F4">
            <w:pPr>
              <w:rPr>
                <w:rFonts w:ascii="Helvetica" w:hAnsi="Helvetica" w:cs="Helvetica"/>
              </w:rPr>
            </w:pPr>
          </w:p>
        </w:tc>
        <w:tc>
          <w:tcPr>
            <w:tcW w:w="868" w:type="pct"/>
            <w:hideMark/>
          </w:tcPr>
          <w:p w14:paraId="740BE83C" w14:textId="156DE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7D9464D" w14:textId="77777777" w:rsidR="003C12F4" w:rsidRPr="003C12F4" w:rsidRDefault="003C12F4" w:rsidP="003C12F4">
            <w:pPr>
              <w:rPr>
                <w:rFonts w:ascii="Helvetica" w:hAnsi="Helvetica" w:cs="Helvetica"/>
              </w:rPr>
            </w:pPr>
          </w:p>
        </w:tc>
        <w:tc>
          <w:tcPr>
            <w:tcW w:w="923" w:type="pct"/>
            <w:hideMark/>
          </w:tcPr>
          <w:p w14:paraId="356ABF3B" w14:textId="2BAEF83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5B370A4E" w14:textId="77777777" w:rsidR="003C12F4" w:rsidRPr="003C12F4" w:rsidRDefault="003C12F4" w:rsidP="003C12F4">
            <w:pPr>
              <w:rPr>
                <w:rFonts w:ascii="Helvetica" w:hAnsi="Helvetica" w:cs="Helvetica"/>
              </w:rPr>
            </w:pPr>
          </w:p>
        </w:tc>
      </w:tr>
      <w:tr w:rsidR="003C12F4" w:rsidRPr="003C12F4" w14:paraId="019F3E5E" w14:textId="77777777" w:rsidTr="003C12F4">
        <w:tc>
          <w:tcPr>
            <w:tcW w:w="1087" w:type="pct"/>
            <w:hideMark/>
          </w:tcPr>
          <w:p w14:paraId="51B02260" w14:textId="77777777" w:rsidR="003C12F4" w:rsidRPr="003C12F4" w:rsidRDefault="003C12F4" w:rsidP="003C12F4">
            <w:pPr>
              <w:rPr>
                <w:rFonts w:ascii="Helvetica" w:hAnsi="Helvetica" w:cs="Helvetica"/>
                <w:b/>
                <w:bCs/>
              </w:rPr>
            </w:pPr>
            <w:r w:rsidRPr="003C12F4">
              <w:rPr>
                <w:rFonts w:ascii="Helvetica" w:hAnsi="Helvetica" w:cs="Helvetica"/>
                <w:b/>
                <w:bCs/>
              </w:rPr>
              <w:t>Religion</w:t>
            </w:r>
          </w:p>
        </w:tc>
        <w:tc>
          <w:tcPr>
            <w:tcW w:w="690" w:type="pct"/>
          </w:tcPr>
          <w:p w14:paraId="6D23A5FF" w14:textId="77777777" w:rsidR="003C12F4" w:rsidRPr="003C12F4" w:rsidRDefault="003C12F4" w:rsidP="003C12F4">
            <w:pPr>
              <w:rPr>
                <w:rFonts w:ascii="Helvetica" w:hAnsi="Helvetica" w:cs="Helvetica"/>
              </w:rPr>
            </w:pPr>
          </w:p>
        </w:tc>
        <w:tc>
          <w:tcPr>
            <w:tcW w:w="410" w:type="pct"/>
          </w:tcPr>
          <w:p w14:paraId="0BA421C6" w14:textId="77777777" w:rsidR="003C12F4" w:rsidRPr="003C12F4" w:rsidRDefault="003C12F4" w:rsidP="003C12F4">
            <w:pPr>
              <w:rPr>
                <w:rFonts w:ascii="Helvetica" w:hAnsi="Helvetica" w:cs="Helvetica"/>
              </w:rPr>
            </w:pPr>
          </w:p>
        </w:tc>
        <w:tc>
          <w:tcPr>
            <w:tcW w:w="868" w:type="pct"/>
          </w:tcPr>
          <w:p w14:paraId="32B05F67" w14:textId="77777777" w:rsidR="003C12F4" w:rsidRPr="003C12F4" w:rsidRDefault="003C12F4" w:rsidP="003C12F4">
            <w:pPr>
              <w:rPr>
                <w:rFonts w:ascii="Helvetica" w:hAnsi="Helvetica" w:cs="Helvetica"/>
              </w:rPr>
            </w:pPr>
          </w:p>
        </w:tc>
        <w:tc>
          <w:tcPr>
            <w:tcW w:w="481" w:type="pct"/>
          </w:tcPr>
          <w:p w14:paraId="3348CE48" w14:textId="77777777" w:rsidR="003C12F4" w:rsidRPr="003C12F4" w:rsidRDefault="003C12F4" w:rsidP="003C12F4">
            <w:pPr>
              <w:rPr>
                <w:rFonts w:ascii="Helvetica" w:hAnsi="Helvetica" w:cs="Helvetica"/>
              </w:rPr>
            </w:pPr>
          </w:p>
        </w:tc>
        <w:tc>
          <w:tcPr>
            <w:tcW w:w="923" w:type="pct"/>
          </w:tcPr>
          <w:p w14:paraId="0B1E6E29" w14:textId="77777777" w:rsidR="003C12F4" w:rsidRPr="003C12F4" w:rsidRDefault="003C12F4" w:rsidP="003C12F4">
            <w:pPr>
              <w:rPr>
                <w:rFonts w:ascii="Helvetica" w:hAnsi="Helvetica" w:cs="Helvetica"/>
              </w:rPr>
            </w:pPr>
          </w:p>
        </w:tc>
        <w:tc>
          <w:tcPr>
            <w:tcW w:w="541" w:type="pct"/>
          </w:tcPr>
          <w:p w14:paraId="2974D1BE" w14:textId="77777777" w:rsidR="003C12F4" w:rsidRPr="003C12F4" w:rsidRDefault="003C12F4" w:rsidP="003C12F4">
            <w:pPr>
              <w:rPr>
                <w:rFonts w:ascii="Helvetica" w:hAnsi="Helvetica" w:cs="Helvetica"/>
              </w:rPr>
            </w:pPr>
          </w:p>
        </w:tc>
      </w:tr>
      <w:tr w:rsidR="003C12F4" w:rsidRPr="003C12F4" w14:paraId="25C56F25" w14:textId="77777777" w:rsidTr="003C12F4">
        <w:tc>
          <w:tcPr>
            <w:tcW w:w="1087" w:type="pct"/>
            <w:hideMark/>
          </w:tcPr>
          <w:p w14:paraId="5528558B" w14:textId="77777777" w:rsidR="003C12F4" w:rsidRPr="003C12F4" w:rsidRDefault="003C12F4" w:rsidP="003C12F4">
            <w:pPr>
              <w:rPr>
                <w:rFonts w:ascii="Helvetica" w:hAnsi="Helvetica" w:cs="Helvetica"/>
              </w:rPr>
            </w:pPr>
            <w:r w:rsidRPr="003C12F4">
              <w:rPr>
                <w:rFonts w:ascii="Helvetica" w:hAnsi="Helvetica" w:cs="Helvetica"/>
              </w:rPr>
              <w:t>Protestant/Other Christian</w:t>
            </w:r>
          </w:p>
        </w:tc>
        <w:tc>
          <w:tcPr>
            <w:tcW w:w="690" w:type="pct"/>
            <w:hideMark/>
          </w:tcPr>
          <w:p w14:paraId="07669496" w14:textId="77777777" w:rsidR="003C12F4" w:rsidRPr="003C12F4" w:rsidRDefault="003C12F4" w:rsidP="003C12F4">
            <w:pPr>
              <w:rPr>
                <w:rFonts w:ascii="Helvetica" w:hAnsi="Helvetica" w:cs="Helvetica"/>
              </w:rPr>
            </w:pPr>
            <w:r w:rsidRPr="003C12F4">
              <w:rPr>
                <w:rFonts w:ascii="Helvetica" w:hAnsi="Helvetica" w:cs="Helvetica"/>
              </w:rPr>
              <w:t>1.08(0.96-1.21)</w:t>
            </w:r>
          </w:p>
        </w:tc>
        <w:tc>
          <w:tcPr>
            <w:tcW w:w="410" w:type="pct"/>
            <w:hideMark/>
          </w:tcPr>
          <w:p w14:paraId="055EEA54" w14:textId="77777777" w:rsidR="003C12F4" w:rsidRPr="003C12F4" w:rsidRDefault="003C12F4" w:rsidP="003C12F4">
            <w:pPr>
              <w:rPr>
                <w:rFonts w:ascii="Helvetica" w:hAnsi="Helvetica" w:cs="Helvetica"/>
              </w:rPr>
            </w:pPr>
            <w:r w:rsidRPr="003C12F4">
              <w:rPr>
                <w:rFonts w:ascii="Helvetica" w:hAnsi="Helvetica" w:cs="Helvetica"/>
              </w:rPr>
              <w:t>0.197</w:t>
            </w:r>
          </w:p>
        </w:tc>
        <w:tc>
          <w:tcPr>
            <w:tcW w:w="868" w:type="pct"/>
            <w:hideMark/>
          </w:tcPr>
          <w:p w14:paraId="255055F5" w14:textId="77777777" w:rsidR="003C12F4" w:rsidRPr="003C12F4" w:rsidRDefault="003C12F4" w:rsidP="003C12F4">
            <w:pPr>
              <w:rPr>
                <w:rFonts w:ascii="Helvetica" w:hAnsi="Helvetica" w:cs="Helvetica"/>
              </w:rPr>
            </w:pPr>
            <w:r w:rsidRPr="003C12F4">
              <w:rPr>
                <w:rFonts w:ascii="Helvetica" w:hAnsi="Helvetica" w:cs="Helvetica"/>
              </w:rPr>
              <w:t>0.93(0.81-1.07)</w:t>
            </w:r>
          </w:p>
        </w:tc>
        <w:tc>
          <w:tcPr>
            <w:tcW w:w="481" w:type="pct"/>
            <w:vAlign w:val="center"/>
            <w:hideMark/>
          </w:tcPr>
          <w:p w14:paraId="15FE6FBF" w14:textId="77777777" w:rsidR="003C12F4" w:rsidRPr="003C12F4" w:rsidRDefault="003C12F4" w:rsidP="003C12F4">
            <w:pPr>
              <w:rPr>
                <w:rFonts w:ascii="Helvetica" w:hAnsi="Helvetica" w:cs="Helvetica"/>
              </w:rPr>
            </w:pPr>
            <w:r w:rsidRPr="003C12F4">
              <w:rPr>
                <w:rFonts w:ascii="Helvetica" w:hAnsi="Helvetica" w:cs="Helvetica"/>
                <w:color w:val="000000"/>
              </w:rPr>
              <w:t>0.309</w:t>
            </w:r>
          </w:p>
        </w:tc>
        <w:tc>
          <w:tcPr>
            <w:tcW w:w="923" w:type="pct"/>
            <w:vAlign w:val="center"/>
            <w:hideMark/>
          </w:tcPr>
          <w:p w14:paraId="5D11C0C3" w14:textId="77777777" w:rsidR="003C12F4" w:rsidRPr="003C12F4" w:rsidRDefault="003C12F4" w:rsidP="003C12F4">
            <w:pPr>
              <w:rPr>
                <w:rFonts w:ascii="Helvetica" w:hAnsi="Helvetica" w:cs="Helvetica"/>
              </w:rPr>
            </w:pPr>
            <w:r w:rsidRPr="003C12F4">
              <w:rPr>
                <w:rFonts w:ascii="Helvetica" w:hAnsi="Helvetica" w:cs="Helvetica"/>
                <w:color w:val="000000"/>
              </w:rPr>
              <w:t>0.83(0.67-1.04)</w:t>
            </w:r>
          </w:p>
        </w:tc>
        <w:tc>
          <w:tcPr>
            <w:tcW w:w="541" w:type="pct"/>
            <w:vAlign w:val="center"/>
            <w:hideMark/>
          </w:tcPr>
          <w:p w14:paraId="0D1CD288" w14:textId="77777777" w:rsidR="003C12F4" w:rsidRPr="003C12F4" w:rsidRDefault="003C12F4" w:rsidP="003C12F4">
            <w:pPr>
              <w:rPr>
                <w:rFonts w:ascii="Helvetica" w:hAnsi="Helvetica" w:cs="Helvetica"/>
              </w:rPr>
            </w:pPr>
            <w:r w:rsidRPr="003C12F4">
              <w:rPr>
                <w:rFonts w:ascii="Helvetica" w:hAnsi="Helvetica" w:cs="Helvetica"/>
                <w:color w:val="000000"/>
              </w:rPr>
              <w:t>0.109</w:t>
            </w:r>
          </w:p>
        </w:tc>
      </w:tr>
      <w:tr w:rsidR="003C12F4" w:rsidRPr="003C12F4" w14:paraId="26D154BA" w14:textId="77777777" w:rsidTr="003C12F4">
        <w:tc>
          <w:tcPr>
            <w:tcW w:w="1087" w:type="pct"/>
            <w:hideMark/>
          </w:tcPr>
          <w:p w14:paraId="224599B6" w14:textId="77777777" w:rsidR="003C12F4" w:rsidRPr="003C12F4" w:rsidRDefault="003C12F4" w:rsidP="003C12F4">
            <w:pPr>
              <w:rPr>
                <w:rFonts w:ascii="Helvetica" w:hAnsi="Helvetica" w:cs="Helvetica"/>
              </w:rPr>
            </w:pPr>
            <w:r w:rsidRPr="003C12F4">
              <w:rPr>
                <w:rFonts w:ascii="Helvetica" w:hAnsi="Helvetica" w:cs="Helvetica"/>
              </w:rPr>
              <w:t>Muslim</w:t>
            </w:r>
          </w:p>
        </w:tc>
        <w:tc>
          <w:tcPr>
            <w:tcW w:w="690" w:type="pct"/>
            <w:hideMark/>
          </w:tcPr>
          <w:p w14:paraId="6326A897" w14:textId="77777777" w:rsidR="003C12F4" w:rsidRPr="003C12F4" w:rsidRDefault="003C12F4" w:rsidP="003C12F4">
            <w:pPr>
              <w:rPr>
                <w:rFonts w:ascii="Helvetica" w:hAnsi="Helvetica" w:cs="Helvetica"/>
              </w:rPr>
            </w:pPr>
            <w:r w:rsidRPr="003C12F4">
              <w:rPr>
                <w:rFonts w:ascii="Helvetica" w:hAnsi="Helvetica" w:cs="Helvetica"/>
              </w:rPr>
              <w:t>0.75(0.62-0.90)</w:t>
            </w:r>
          </w:p>
        </w:tc>
        <w:tc>
          <w:tcPr>
            <w:tcW w:w="410" w:type="pct"/>
            <w:hideMark/>
          </w:tcPr>
          <w:p w14:paraId="5D1EA203" w14:textId="77777777" w:rsidR="003C12F4" w:rsidRPr="003C12F4" w:rsidRDefault="003C12F4" w:rsidP="003C12F4">
            <w:pPr>
              <w:rPr>
                <w:rFonts w:ascii="Helvetica" w:hAnsi="Helvetica" w:cs="Helvetica"/>
              </w:rPr>
            </w:pPr>
            <w:r w:rsidRPr="003C12F4">
              <w:rPr>
                <w:rFonts w:ascii="Helvetica" w:hAnsi="Helvetica" w:cs="Helvetica"/>
              </w:rPr>
              <w:t>0.003</w:t>
            </w:r>
          </w:p>
        </w:tc>
        <w:tc>
          <w:tcPr>
            <w:tcW w:w="868" w:type="pct"/>
            <w:hideMark/>
          </w:tcPr>
          <w:p w14:paraId="7B3A4246" w14:textId="77777777" w:rsidR="003C12F4" w:rsidRPr="003C12F4" w:rsidRDefault="003C12F4" w:rsidP="003C12F4">
            <w:pPr>
              <w:rPr>
                <w:rFonts w:ascii="Helvetica" w:hAnsi="Helvetica" w:cs="Helvetica"/>
              </w:rPr>
            </w:pPr>
            <w:r w:rsidRPr="003C12F4">
              <w:rPr>
                <w:rFonts w:ascii="Helvetica" w:hAnsi="Helvetica" w:cs="Helvetica"/>
              </w:rPr>
              <w:t>0.94(0.75-1.18)</w:t>
            </w:r>
          </w:p>
        </w:tc>
        <w:tc>
          <w:tcPr>
            <w:tcW w:w="481" w:type="pct"/>
            <w:vAlign w:val="center"/>
            <w:hideMark/>
          </w:tcPr>
          <w:p w14:paraId="050D7AEF" w14:textId="77777777" w:rsidR="003C12F4" w:rsidRPr="003C12F4" w:rsidRDefault="003C12F4" w:rsidP="003C12F4">
            <w:pPr>
              <w:rPr>
                <w:rFonts w:ascii="Helvetica" w:hAnsi="Helvetica" w:cs="Helvetica"/>
              </w:rPr>
            </w:pPr>
            <w:r w:rsidRPr="003C12F4">
              <w:rPr>
                <w:rFonts w:ascii="Helvetica" w:hAnsi="Helvetica" w:cs="Helvetica"/>
                <w:color w:val="000000"/>
              </w:rPr>
              <w:t>0.599</w:t>
            </w:r>
          </w:p>
        </w:tc>
        <w:tc>
          <w:tcPr>
            <w:tcW w:w="923" w:type="pct"/>
            <w:vAlign w:val="center"/>
            <w:hideMark/>
          </w:tcPr>
          <w:p w14:paraId="7131CDE8" w14:textId="77777777" w:rsidR="003C12F4" w:rsidRPr="003C12F4" w:rsidRDefault="003C12F4" w:rsidP="003C12F4">
            <w:pPr>
              <w:rPr>
                <w:rFonts w:ascii="Helvetica" w:hAnsi="Helvetica" w:cs="Helvetica"/>
              </w:rPr>
            </w:pPr>
            <w:r w:rsidRPr="003C12F4">
              <w:rPr>
                <w:rFonts w:ascii="Helvetica" w:hAnsi="Helvetica" w:cs="Helvetica"/>
                <w:color w:val="000000"/>
              </w:rPr>
              <w:t>1.28(0.90-1.83)</w:t>
            </w:r>
          </w:p>
        </w:tc>
        <w:tc>
          <w:tcPr>
            <w:tcW w:w="541" w:type="pct"/>
            <w:vAlign w:val="center"/>
            <w:hideMark/>
          </w:tcPr>
          <w:p w14:paraId="1EB52822" w14:textId="77777777" w:rsidR="003C12F4" w:rsidRPr="003C12F4" w:rsidRDefault="003C12F4" w:rsidP="003C12F4">
            <w:pPr>
              <w:rPr>
                <w:rFonts w:ascii="Helvetica" w:hAnsi="Helvetica" w:cs="Helvetica"/>
              </w:rPr>
            </w:pPr>
            <w:r w:rsidRPr="003C12F4">
              <w:rPr>
                <w:rFonts w:ascii="Helvetica" w:hAnsi="Helvetica" w:cs="Helvetica"/>
                <w:color w:val="000000"/>
              </w:rPr>
              <w:t>0.172</w:t>
            </w:r>
          </w:p>
        </w:tc>
      </w:tr>
      <w:tr w:rsidR="003C12F4" w:rsidRPr="003C12F4" w14:paraId="6B7A2253" w14:textId="77777777" w:rsidTr="003C12F4">
        <w:tc>
          <w:tcPr>
            <w:tcW w:w="1087" w:type="pct"/>
            <w:hideMark/>
          </w:tcPr>
          <w:p w14:paraId="47AC3C23" w14:textId="77777777" w:rsidR="003C12F4" w:rsidRPr="003C12F4" w:rsidRDefault="003C12F4" w:rsidP="003C12F4">
            <w:pPr>
              <w:rPr>
                <w:rFonts w:ascii="Helvetica" w:hAnsi="Helvetica" w:cs="Helvetica"/>
              </w:rPr>
            </w:pPr>
            <w:r w:rsidRPr="003C12F4">
              <w:rPr>
                <w:rFonts w:ascii="Helvetica" w:hAnsi="Helvetica" w:cs="Helvetica"/>
              </w:rPr>
              <w:t>No religion</w:t>
            </w:r>
          </w:p>
        </w:tc>
        <w:tc>
          <w:tcPr>
            <w:tcW w:w="690" w:type="pct"/>
            <w:hideMark/>
          </w:tcPr>
          <w:p w14:paraId="358BD904" w14:textId="77777777" w:rsidR="003C12F4" w:rsidRPr="003C12F4" w:rsidRDefault="003C12F4" w:rsidP="003C12F4">
            <w:pPr>
              <w:rPr>
                <w:rFonts w:ascii="Helvetica" w:hAnsi="Helvetica" w:cs="Helvetica"/>
              </w:rPr>
            </w:pPr>
            <w:r w:rsidRPr="003C12F4">
              <w:rPr>
                <w:rFonts w:ascii="Helvetica" w:hAnsi="Helvetica" w:cs="Helvetica"/>
              </w:rPr>
              <w:t>1.33(1.04-1.70)</w:t>
            </w:r>
          </w:p>
        </w:tc>
        <w:tc>
          <w:tcPr>
            <w:tcW w:w="410" w:type="pct"/>
            <w:hideMark/>
          </w:tcPr>
          <w:p w14:paraId="5111412C"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hideMark/>
          </w:tcPr>
          <w:p w14:paraId="1DFE2335" w14:textId="77777777" w:rsidR="003C12F4" w:rsidRPr="003C12F4" w:rsidRDefault="003C12F4" w:rsidP="003C12F4">
            <w:pPr>
              <w:rPr>
                <w:rFonts w:ascii="Helvetica" w:hAnsi="Helvetica" w:cs="Helvetica"/>
              </w:rPr>
            </w:pPr>
            <w:r w:rsidRPr="003C12F4">
              <w:rPr>
                <w:rFonts w:ascii="Helvetica" w:hAnsi="Helvetica" w:cs="Helvetica"/>
              </w:rPr>
              <w:t>1.01(0.76-1.34)</w:t>
            </w:r>
          </w:p>
        </w:tc>
        <w:tc>
          <w:tcPr>
            <w:tcW w:w="481" w:type="pct"/>
            <w:vAlign w:val="center"/>
            <w:hideMark/>
          </w:tcPr>
          <w:p w14:paraId="39996326" w14:textId="77777777" w:rsidR="003C12F4" w:rsidRPr="003C12F4" w:rsidRDefault="003C12F4" w:rsidP="003C12F4">
            <w:pPr>
              <w:rPr>
                <w:rFonts w:ascii="Helvetica" w:hAnsi="Helvetica" w:cs="Helvetica"/>
              </w:rPr>
            </w:pPr>
            <w:r w:rsidRPr="003C12F4">
              <w:rPr>
                <w:rFonts w:ascii="Helvetica" w:hAnsi="Helvetica" w:cs="Helvetica"/>
                <w:color w:val="000000"/>
              </w:rPr>
              <w:t>0.933</w:t>
            </w:r>
          </w:p>
        </w:tc>
        <w:tc>
          <w:tcPr>
            <w:tcW w:w="923" w:type="pct"/>
            <w:vAlign w:val="center"/>
            <w:hideMark/>
          </w:tcPr>
          <w:p w14:paraId="4C7D79CD" w14:textId="77777777" w:rsidR="003C12F4" w:rsidRPr="003C12F4" w:rsidRDefault="003C12F4" w:rsidP="003C12F4">
            <w:pPr>
              <w:rPr>
                <w:rFonts w:ascii="Helvetica" w:hAnsi="Helvetica" w:cs="Helvetica"/>
              </w:rPr>
            </w:pPr>
            <w:r w:rsidRPr="003C12F4">
              <w:rPr>
                <w:rFonts w:ascii="Helvetica" w:hAnsi="Helvetica" w:cs="Helvetica"/>
                <w:color w:val="000000"/>
              </w:rPr>
              <w:t>0.90(0.57-1.42)</w:t>
            </w:r>
          </w:p>
        </w:tc>
        <w:tc>
          <w:tcPr>
            <w:tcW w:w="541" w:type="pct"/>
            <w:vAlign w:val="center"/>
            <w:hideMark/>
          </w:tcPr>
          <w:p w14:paraId="04B694E1" w14:textId="77777777" w:rsidR="003C12F4" w:rsidRPr="003C12F4" w:rsidRDefault="003C12F4" w:rsidP="003C12F4">
            <w:pPr>
              <w:rPr>
                <w:rFonts w:ascii="Helvetica" w:hAnsi="Helvetica" w:cs="Helvetica"/>
              </w:rPr>
            </w:pPr>
            <w:r w:rsidRPr="003C12F4">
              <w:rPr>
                <w:rFonts w:ascii="Helvetica" w:hAnsi="Helvetica" w:cs="Helvetica"/>
                <w:color w:val="000000"/>
              </w:rPr>
              <w:t>0.648</w:t>
            </w:r>
          </w:p>
        </w:tc>
      </w:tr>
      <w:tr w:rsidR="003C12F4" w:rsidRPr="003C12F4" w14:paraId="4896F919" w14:textId="77777777" w:rsidTr="003C12F4">
        <w:tc>
          <w:tcPr>
            <w:tcW w:w="1087" w:type="pct"/>
            <w:hideMark/>
          </w:tcPr>
          <w:p w14:paraId="4783B8E5"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90" w:type="pct"/>
            <w:hideMark/>
          </w:tcPr>
          <w:p w14:paraId="23591504" w14:textId="77777777" w:rsidR="003C12F4" w:rsidRPr="003C12F4" w:rsidRDefault="003C12F4" w:rsidP="003C12F4">
            <w:pPr>
              <w:rPr>
                <w:rFonts w:ascii="Helvetica" w:hAnsi="Helvetica" w:cs="Helvetica"/>
              </w:rPr>
            </w:pPr>
            <w:r w:rsidRPr="003C12F4">
              <w:rPr>
                <w:rFonts w:ascii="Helvetica" w:hAnsi="Helvetica" w:cs="Helvetica"/>
              </w:rPr>
              <w:t>2.22(0.44-11.32)</w:t>
            </w:r>
          </w:p>
        </w:tc>
        <w:tc>
          <w:tcPr>
            <w:tcW w:w="410" w:type="pct"/>
            <w:hideMark/>
          </w:tcPr>
          <w:p w14:paraId="2B87FC8B" w14:textId="77777777" w:rsidR="003C12F4" w:rsidRPr="003C12F4" w:rsidRDefault="003C12F4" w:rsidP="003C12F4">
            <w:pPr>
              <w:rPr>
                <w:rFonts w:ascii="Helvetica" w:hAnsi="Helvetica" w:cs="Helvetica"/>
              </w:rPr>
            </w:pPr>
            <w:r w:rsidRPr="003C12F4">
              <w:rPr>
                <w:rFonts w:ascii="Helvetica" w:hAnsi="Helvetica" w:cs="Helvetica"/>
              </w:rPr>
              <w:t>0.337</w:t>
            </w:r>
          </w:p>
        </w:tc>
        <w:tc>
          <w:tcPr>
            <w:tcW w:w="868" w:type="pct"/>
            <w:hideMark/>
          </w:tcPr>
          <w:p w14:paraId="1AF01BEB" w14:textId="77777777" w:rsidR="003C12F4" w:rsidRPr="003C12F4" w:rsidRDefault="003C12F4" w:rsidP="003C12F4">
            <w:pPr>
              <w:rPr>
                <w:rFonts w:ascii="Helvetica" w:hAnsi="Helvetica" w:cs="Helvetica"/>
              </w:rPr>
            </w:pPr>
            <w:r w:rsidRPr="003C12F4">
              <w:rPr>
                <w:rFonts w:ascii="Helvetica" w:hAnsi="Helvetica" w:cs="Helvetica"/>
              </w:rPr>
              <w:t>18.69(4.00-87.32)</w:t>
            </w:r>
          </w:p>
        </w:tc>
        <w:tc>
          <w:tcPr>
            <w:tcW w:w="481" w:type="pct"/>
            <w:vAlign w:val="center"/>
            <w:hideMark/>
          </w:tcPr>
          <w:p w14:paraId="086BBB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2801E8CA" w14:textId="77777777" w:rsidR="003C12F4" w:rsidRPr="003C12F4" w:rsidRDefault="003C12F4" w:rsidP="003C12F4">
            <w:pPr>
              <w:rPr>
                <w:rFonts w:ascii="Helvetica" w:hAnsi="Helvetica" w:cs="Helvetica"/>
              </w:rPr>
            </w:pPr>
            <w:r w:rsidRPr="003C12F4">
              <w:rPr>
                <w:rFonts w:ascii="Helvetica" w:hAnsi="Helvetica" w:cs="Helvetica"/>
                <w:color w:val="000000"/>
              </w:rPr>
              <w:t>15.80(3.44-72.53)</w:t>
            </w:r>
          </w:p>
        </w:tc>
        <w:tc>
          <w:tcPr>
            <w:tcW w:w="541" w:type="pct"/>
            <w:vAlign w:val="center"/>
            <w:hideMark/>
          </w:tcPr>
          <w:p w14:paraId="6C4C5CF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258D34E" w14:textId="77777777" w:rsidTr="003C12F4">
        <w:tc>
          <w:tcPr>
            <w:tcW w:w="1087" w:type="pct"/>
            <w:hideMark/>
          </w:tcPr>
          <w:p w14:paraId="62DF02AE" w14:textId="77777777" w:rsidR="003C12F4" w:rsidRPr="003C12F4" w:rsidRDefault="003C12F4" w:rsidP="003C12F4">
            <w:pPr>
              <w:rPr>
                <w:rFonts w:ascii="Helvetica" w:hAnsi="Helvetica" w:cs="Helvetica"/>
              </w:rPr>
            </w:pPr>
            <w:r w:rsidRPr="003C12F4">
              <w:rPr>
                <w:rFonts w:ascii="Helvetica" w:hAnsi="Helvetica" w:cs="Helvetica"/>
              </w:rPr>
              <w:t>Roman catholic</w:t>
            </w:r>
          </w:p>
        </w:tc>
        <w:tc>
          <w:tcPr>
            <w:tcW w:w="690" w:type="pct"/>
            <w:hideMark/>
          </w:tcPr>
          <w:p w14:paraId="2076BBCF" w14:textId="2EC7A8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60FAB93" w14:textId="77777777" w:rsidR="003C12F4" w:rsidRPr="003C12F4" w:rsidRDefault="003C12F4" w:rsidP="003C12F4">
            <w:pPr>
              <w:rPr>
                <w:rFonts w:ascii="Helvetica" w:hAnsi="Helvetica" w:cs="Helvetica"/>
              </w:rPr>
            </w:pPr>
          </w:p>
        </w:tc>
        <w:tc>
          <w:tcPr>
            <w:tcW w:w="868" w:type="pct"/>
            <w:hideMark/>
          </w:tcPr>
          <w:p w14:paraId="2235E2CC" w14:textId="0ED5B0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84A6F06" w14:textId="77777777" w:rsidR="003C12F4" w:rsidRPr="003C12F4" w:rsidRDefault="003C12F4" w:rsidP="003C12F4">
            <w:pPr>
              <w:rPr>
                <w:rFonts w:ascii="Helvetica" w:hAnsi="Helvetica" w:cs="Helvetica"/>
              </w:rPr>
            </w:pPr>
          </w:p>
        </w:tc>
        <w:tc>
          <w:tcPr>
            <w:tcW w:w="923" w:type="pct"/>
            <w:hideMark/>
          </w:tcPr>
          <w:p w14:paraId="2A91F486" w14:textId="6287D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3C5E8D20" w14:textId="77777777" w:rsidR="003C12F4" w:rsidRPr="003C12F4" w:rsidRDefault="003C12F4" w:rsidP="003C12F4">
            <w:pPr>
              <w:rPr>
                <w:rFonts w:ascii="Helvetica" w:hAnsi="Helvetica" w:cs="Helvetica"/>
              </w:rPr>
            </w:pPr>
          </w:p>
        </w:tc>
      </w:tr>
      <w:tr w:rsidR="003C12F4" w:rsidRPr="003C12F4" w14:paraId="0C912CC3" w14:textId="77777777" w:rsidTr="003C12F4">
        <w:tc>
          <w:tcPr>
            <w:tcW w:w="1087" w:type="pct"/>
            <w:hideMark/>
          </w:tcPr>
          <w:p w14:paraId="74AF002B" w14:textId="77777777" w:rsidR="003C12F4" w:rsidRPr="003C12F4" w:rsidRDefault="003C12F4" w:rsidP="003C12F4">
            <w:pPr>
              <w:rPr>
                <w:rFonts w:ascii="Helvetica" w:hAnsi="Helvetica" w:cs="Helvetica"/>
                <w:b/>
                <w:bCs/>
              </w:rPr>
            </w:pPr>
            <w:r w:rsidRPr="003C12F4">
              <w:rPr>
                <w:rFonts w:ascii="Helvetica" w:hAnsi="Helvetica" w:cs="Helvetica"/>
                <w:b/>
                <w:bCs/>
              </w:rPr>
              <w:t>Mother’s education level</w:t>
            </w:r>
          </w:p>
        </w:tc>
        <w:tc>
          <w:tcPr>
            <w:tcW w:w="690" w:type="pct"/>
          </w:tcPr>
          <w:p w14:paraId="78A67198" w14:textId="77777777" w:rsidR="003C12F4" w:rsidRPr="003C12F4" w:rsidRDefault="003C12F4" w:rsidP="003C12F4">
            <w:pPr>
              <w:rPr>
                <w:rFonts w:ascii="Helvetica" w:hAnsi="Helvetica" w:cs="Helvetica"/>
              </w:rPr>
            </w:pPr>
          </w:p>
        </w:tc>
        <w:tc>
          <w:tcPr>
            <w:tcW w:w="410" w:type="pct"/>
          </w:tcPr>
          <w:p w14:paraId="2460DDB7" w14:textId="77777777" w:rsidR="003C12F4" w:rsidRPr="003C12F4" w:rsidRDefault="003C12F4" w:rsidP="003C12F4">
            <w:pPr>
              <w:rPr>
                <w:rFonts w:ascii="Helvetica" w:hAnsi="Helvetica" w:cs="Helvetica"/>
              </w:rPr>
            </w:pPr>
          </w:p>
        </w:tc>
        <w:tc>
          <w:tcPr>
            <w:tcW w:w="868" w:type="pct"/>
          </w:tcPr>
          <w:p w14:paraId="332674F2" w14:textId="77777777" w:rsidR="003C12F4" w:rsidRPr="003C12F4" w:rsidRDefault="003C12F4" w:rsidP="003C12F4">
            <w:pPr>
              <w:rPr>
                <w:rFonts w:ascii="Helvetica" w:hAnsi="Helvetica" w:cs="Helvetica"/>
              </w:rPr>
            </w:pPr>
          </w:p>
        </w:tc>
        <w:tc>
          <w:tcPr>
            <w:tcW w:w="481" w:type="pct"/>
          </w:tcPr>
          <w:p w14:paraId="65613BFB" w14:textId="77777777" w:rsidR="003C12F4" w:rsidRPr="003C12F4" w:rsidRDefault="003C12F4" w:rsidP="003C12F4">
            <w:pPr>
              <w:rPr>
                <w:rFonts w:ascii="Helvetica" w:hAnsi="Helvetica" w:cs="Helvetica"/>
              </w:rPr>
            </w:pPr>
          </w:p>
        </w:tc>
        <w:tc>
          <w:tcPr>
            <w:tcW w:w="923" w:type="pct"/>
          </w:tcPr>
          <w:p w14:paraId="5E4704BE" w14:textId="77777777" w:rsidR="003C12F4" w:rsidRPr="003C12F4" w:rsidRDefault="003C12F4" w:rsidP="003C12F4">
            <w:pPr>
              <w:rPr>
                <w:rFonts w:ascii="Helvetica" w:hAnsi="Helvetica" w:cs="Helvetica"/>
              </w:rPr>
            </w:pPr>
          </w:p>
        </w:tc>
        <w:tc>
          <w:tcPr>
            <w:tcW w:w="541" w:type="pct"/>
          </w:tcPr>
          <w:p w14:paraId="658DD0D3" w14:textId="77777777" w:rsidR="003C12F4" w:rsidRPr="003C12F4" w:rsidRDefault="003C12F4" w:rsidP="003C12F4">
            <w:pPr>
              <w:rPr>
                <w:rFonts w:ascii="Helvetica" w:hAnsi="Helvetica" w:cs="Helvetica"/>
              </w:rPr>
            </w:pPr>
          </w:p>
        </w:tc>
      </w:tr>
      <w:tr w:rsidR="003C12F4" w:rsidRPr="003C12F4" w14:paraId="79DBE1D0" w14:textId="77777777" w:rsidTr="003C12F4">
        <w:tc>
          <w:tcPr>
            <w:tcW w:w="1087" w:type="pct"/>
            <w:hideMark/>
          </w:tcPr>
          <w:p w14:paraId="386EDCDA" w14:textId="77777777" w:rsidR="003C12F4" w:rsidRPr="003C12F4" w:rsidRDefault="003C12F4" w:rsidP="003C12F4">
            <w:pPr>
              <w:rPr>
                <w:rFonts w:ascii="Helvetica" w:hAnsi="Helvetica" w:cs="Helvetica"/>
              </w:rPr>
            </w:pPr>
            <w:r w:rsidRPr="003C12F4">
              <w:rPr>
                <w:rFonts w:ascii="Helvetica" w:hAnsi="Helvetica" w:cs="Helvetica"/>
              </w:rPr>
              <w:t>No education/preschool</w:t>
            </w:r>
          </w:p>
        </w:tc>
        <w:tc>
          <w:tcPr>
            <w:tcW w:w="690" w:type="pct"/>
            <w:hideMark/>
          </w:tcPr>
          <w:p w14:paraId="101B70E3" w14:textId="77777777" w:rsidR="003C12F4" w:rsidRPr="003C12F4" w:rsidRDefault="003C12F4" w:rsidP="003C12F4">
            <w:pPr>
              <w:rPr>
                <w:rFonts w:ascii="Helvetica" w:hAnsi="Helvetica" w:cs="Helvetica"/>
              </w:rPr>
            </w:pPr>
            <w:r w:rsidRPr="003C12F4">
              <w:rPr>
                <w:rFonts w:ascii="Helvetica" w:hAnsi="Helvetica" w:cs="Helvetica"/>
              </w:rPr>
              <w:t>1.29(0.93-1.81)</w:t>
            </w:r>
          </w:p>
        </w:tc>
        <w:tc>
          <w:tcPr>
            <w:tcW w:w="410" w:type="pct"/>
            <w:hideMark/>
          </w:tcPr>
          <w:p w14:paraId="07C67834" w14:textId="77777777" w:rsidR="003C12F4" w:rsidRPr="003C12F4" w:rsidRDefault="003C12F4" w:rsidP="003C12F4">
            <w:pPr>
              <w:rPr>
                <w:rFonts w:ascii="Helvetica" w:hAnsi="Helvetica" w:cs="Helvetica"/>
              </w:rPr>
            </w:pPr>
            <w:r w:rsidRPr="003C12F4">
              <w:rPr>
                <w:rFonts w:ascii="Helvetica" w:hAnsi="Helvetica" w:cs="Helvetica"/>
              </w:rPr>
              <w:t>0.129</w:t>
            </w:r>
          </w:p>
        </w:tc>
        <w:tc>
          <w:tcPr>
            <w:tcW w:w="868" w:type="pct"/>
            <w:vAlign w:val="center"/>
            <w:hideMark/>
          </w:tcPr>
          <w:p w14:paraId="63FE1E28" w14:textId="77777777" w:rsidR="003C12F4" w:rsidRPr="003C12F4" w:rsidRDefault="003C12F4" w:rsidP="003C12F4">
            <w:pPr>
              <w:rPr>
                <w:rFonts w:ascii="Helvetica" w:hAnsi="Helvetica" w:cs="Helvetica"/>
              </w:rPr>
            </w:pPr>
            <w:r w:rsidRPr="003C12F4">
              <w:rPr>
                <w:rFonts w:ascii="Helvetica" w:hAnsi="Helvetica" w:cs="Helvetica"/>
                <w:color w:val="000000"/>
              </w:rPr>
              <w:t>2.68(1.63-4.41)</w:t>
            </w:r>
          </w:p>
        </w:tc>
        <w:tc>
          <w:tcPr>
            <w:tcW w:w="481" w:type="pct"/>
            <w:vAlign w:val="center"/>
            <w:hideMark/>
          </w:tcPr>
          <w:p w14:paraId="26D7D85F"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4194874F" w14:textId="77777777" w:rsidR="003C12F4" w:rsidRPr="003C12F4" w:rsidRDefault="003C12F4" w:rsidP="003C12F4">
            <w:pPr>
              <w:rPr>
                <w:rFonts w:ascii="Helvetica" w:hAnsi="Helvetica" w:cs="Helvetica"/>
              </w:rPr>
            </w:pPr>
            <w:r w:rsidRPr="003C12F4">
              <w:rPr>
                <w:rFonts w:ascii="Helvetica" w:hAnsi="Helvetica" w:cs="Helvetica"/>
                <w:color w:val="000000"/>
              </w:rPr>
              <w:t>5.72(2.47-13.26)</w:t>
            </w:r>
          </w:p>
        </w:tc>
        <w:tc>
          <w:tcPr>
            <w:tcW w:w="541" w:type="pct"/>
            <w:vAlign w:val="center"/>
            <w:hideMark/>
          </w:tcPr>
          <w:p w14:paraId="7A17B08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6ADA41" w14:textId="77777777" w:rsidTr="003C12F4">
        <w:tc>
          <w:tcPr>
            <w:tcW w:w="1087" w:type="pct"/>
            <w:hideMark/>
          </w:tcPr>
          <w:p w14:paraId="0372E060" w14:textId="77777777" w:rsidR="003C12F4" w:rsidRPr="003C12F4" w:rsidRDefault="003C12F4" w:rsidP="003C12F4">
            <w:pPr>
              <w:rPr>
                <w:rFonts w:ascii="Helvetica" w:hAnsi="Helvetica" w:cs="Helvetica"/>
              </w:rPr>
            </w:pPr>
            <w:r w:rsidRPr="003C12F4">
              <w:rPr>
                <w:rFonts w:ascii="Helvetica" w:hAnsi="Helvetica" w:cs="Helvetica"/>
              </w:rPr>
              <w:t>Primary</w:t>
            </w:r>
          </w:p>
        </w:tc>
        <w:tc>
          <w:tcPr>
            <w:tcW w:w="690" w:type="pct"/>
            <w:hideMark/>
          </w:tcPr>
          <w:p w14:paraId="6916876F" w14:textId="77777777" w:rsidR="003C12F4" w:rsidRPr="003C12F4" w:rsidRDefault="003C12F4" w:rsidP="003C12F4">
            <w:pPr>
              <w:rPr>
                <w:rFonts w:ascii="Helvetica" w:hAnsi="Helvetica" w:cs="Helvetica"/>
              </w:rPr>
            </w:pPr>
            <w:r w:rsidRPr="003C12F4">
              <w:rPr>
                <w:rFonts w:ascii="Helvetica" w:hAnsi="Helvetica" w:cs="Helvetica"/>
              </w:rPr>
              <w:t>1.43(1.04-1.96)</w:t>
            </w:r>
          </w:p>
        </w:tc>
        <w:tc>
          <w:tcPr>
            <w:tcW w:w="410" w:type="pct"/>
            <w:hideMark/>
          </w:tcPr>
          <w:p w14:paraId="20568EE2" w14:textId="77777777" w:rsidR="003C12F4" w:rsidRPr="003C12F4" w:rsidRDefault="003C12F4" w:rsidP="003C12F4">
            <w:pPr>
              <w:rPr>
                <w:rFonts w:ascii="Helvetica" w:hAnsi="Helvetica" w:cs="Helvetica"/>
              </w:rPr>
            </w:pPr>
            <w:r w:rsidRPr="003C12F4">
              <w:rPr>
                <w:rFonts w:ascii="Helvetica" w:hAnsi="Helvetica" w:cs="Helvetica"/>
              </w:rPr>
              <w:t>0.027</w:t>
            </w:r>
          </w:p>
        </w:tc>
        <w:tc>
          <w:tcPr>
            <w:tcW w:w="868" w:type="pct"/>
            <w:vAlign w:val="center"/>
            <w:hideMark/>
          </w:tcPr>
          <w:p w14:paraId="33B43A9C" w14:textId="77777777" w:rsidR="003C12F4" w:rsidRPr="003C12F4" w:rsidRDefault="003C12F4" w:rsidP="003C12F4">
            <w:pPr>
              <w:rPr>
                <w:rFonts w:ascii="Helvetica" w:hAnsi="Helvetica" w:cs="Helvetica"/>
              </w:rPr>
            </w:pPr>
            <w:r w:rsidRPr="003C12F4">
              <w:rPr>
                <w:rFonts w:ascii="Helvetica" w:hAnsi="Helvetica" w:cs="Helvetica"/>
                <w:color w:val="000000"/>
              </w:rPr>
              <w:t>1.79(1.11-2.90)</w:t>
            </w:r>
          </w:p>
        </w:tc>
        <w:tc>
          <w:tcPr>
            <w:tcW w:w="481" w:type="pct"/>
            <w:vAlign w:val="center"/>
            <w:hideMark/>
          </w:tcPr>
          <w:p w14:paraId="24394997" w14:textId="77777777" w:rsidR="003C12F4" w:rsidRPr="003C12F4" w:rsidRDefault="003C12F4" w:rsidP="003C12F4">
            <w:pPr>
              <w:rPr>
                <w:rFonts w:ascii="Helvetica" w:hAnsi="Helvetica" w:cs="Helvetica"/>
              </w:rPr>
            </w:pPr>
            <w:r w:rsidRPr="003C12F4">
              <w:rPr>
                <w:rFonts w:ascii="Helvetica" w:hAnsi="Helvetica" w:cs="Helvetica"/>
                <w:color w:val="000000"/>
              </w:rPr>
              <w:t>0.018</w:t>
            </w:r>
          </w:p>
        </w:tc>
        <w:tc>
          <w:tcPr>
            <w:tcW w:w="923" w:type="pct"/>
            <w:vAlign w:val="center"/>
            <w:hideMark/>
          </w:tcPr>
          <w:p w14:paraId="44C8F44E" w14:textId="77777777" w:rsidR="003C12F4" w:rsidRPr="003C12F4" w:rsidRDefault="003C12F4" w:rsidP="003C12F4">
            <w:pPr>
              <w:rPr>
                <w:rFonts w:ascii="Helvetica" w:hAnsi="Helvetica" w:cs="Helvetica"/>
              </w:rPr>
            </w:pPr>
            <w:r w:rsidRPr="003C12F4">
              <w:rPr>
                <w:rFonts w:ascii="Helvetica" w:hAnsi="Helvetica" w:cs="Helvetica"/>
                <w:color w:val="000000"/>
              </w:rPr>
              <w:t>2.85(1.26-6.48)</w:t>
            </w:r>
          </w:p>
        </w:tc>
        <w:tc>
          <w:tcPr>
            <w:tcW w:w="541" w:type="pct"/>
            <w:vAlign w:val="center"/>
            <w:hideMark/>
          </w:tcPr>
          <w:p w14:paraId="6C5134FE" w14:textId="77777777" w:rsidR="003C12F4" w:rsidRPr="003C12F4" w:rsidRDefault="003C12F4" w:rsidP="003C12F4">
            <w:pPr>
              <w:rPr>
                <w:rFonts w:ascii="Helvetica" w:hAnsi="Helvetica" w:cs="Helvetica"/>
              </w:rPr>
            </w:pPr>
            <w:r w:rsidRPr="003C12F4">
              <w:rPr>
                <w:rFonts w:ascii="Helvetica" w:hAnsi="Helvetica" w:cs="Helvetica"/>
                <w:color w:val="000000"/>
              </w:rPr>
              <w:t>0.012</w:t>
            </w:r>
          </w:p>
        </w:tc>
      </w:tr>
      <w:tr w:rsidR="003C12F4" w:rsidRPr="003C12F4" w14:paraId="44AF311D" w14:textId="77777777" w:rsidTr="003C12F4">
        <w:tc>
          <w:tcPr>
            <w:tcW w:w="1087" w:type="pct"/>
            <w:hideMark/>
          </w:tcPr>
          <w:p w14:paraId="5843AB54" w14:textId="77777777" w:rsidR="003C12F4" w:rsidRPr="003C12F4" w:rsidRDefault="003C12F4" w:rsidP="003C12F4">
            <w:pPr>
              <w:rPr>
                <w:rFonts w:ascii="Helvetica" w:hAnsi="Helvetica" w:cs="Helvetica"/>
              </w:rPr>
            </w:pPr>
            <w:r w:rsidRPr="003C12F4">
              <w:rPr>
                <w:rFonts w:ascii="Helvetica" w:hAnsi="Helvetica" w:cs="Helvetica"/>
              </w:rPr>
              <w:t>Secondary</w:t>
            </w:r>
          </w:p>
        </w:tc>
        <w:tc>
          <w:tcPr>
            <w:tcW w:w="690" w:type="pct"/>
            <w:hideMark/>
          </w:tcPr>
          <w:p w14:paraId="3710ACCE" w14:textId="77777777" w:rsidR="003C12F4" w:rsidRPr="003C12F4" w:rsidRDefault="003C12F4" w:rsidP="003C12F4">
            <w:pPr>
              <w:rPr>
                <w:rFonts w:ascii="Helvetica" w:hAnsi="Helvetica" w:cs="Helvetica"/>
              </w:rPr>
            </w:pPr>
            <w:r w:rsidRPr="003C12F4">
              <w:rPr>
                <w:rFonts w:ascii="Helvetica" w:hAnsi="Helvetica" w:cs="Helvetica"/>
              </w:rPr>
              <w:t>1.02(0.74-1.41)</w:t>
            </w:r>
          </w:p>
        </w:tc>
        <w:tc>
          <w:tcPr>
            <w:tcW w:w="410" w:type="pct"/>
            <w:hideMark/>
          </w:tcPr>
          <w:p w14:paraId="15C22BE9" w14:textId="77777777" w:rsidR="003C12F4" w:rsidRPr="003C12F4" w:rsidRDefault="003C12F4" w:rsidP="003C12F4">
            <w:pPr>
              <w:rPr>
                <w:rFonts w:ascii="Helvetica" w:hAnsi="Helvetica" w:cs="Helvetica"/>
              </w:rPr>
            </w:pPr>
            <w:r w:rsidRPr="003C12F4">
              <w:rPr>
                <w:rFonts w:ascii="Helvetica" w:hAnsi="Helvetica" w:cs="Helvetica"/>
              </w:rPr>
              <w:t>0.901</w:t>
            </w:r>
          </w:p>
        </w:tc>
        <w:tc>
          <w:tcPr>
            <w:tcW w:w="868" w:type="pct"/>
            <w:vAlign w:val="center"/>
            <w:hideMark/>
          </w:tcPr>
          <w:p w14:paraId="551B51A6" w14:textId="77777777" w:rsidR="003C12F4" w:rsidRPr="003C12F4" w:rsidRDefault="003C12F4" w:rsidP="003C12F4">
            <w:pPr>
              <w:rPr>
                <w:rFonts w:ascii="Helvetica" w:hAnsi="Helvetica" w:cs="Helvetica"/>
              </w:rPr>
            </w:pPr>
            <w:r w:rsidRPr="003C12F4">
              <w:rPr>
                <w:rFonts w:ascii="Helvetica" w:hAnsi="Helvetica" w:cs="Helvetica"/>
                <w:color w:val="000000"/>
              </w:rPr>
              <w:t>1.19(0.73-1.96)</w:t>
            </w:r>
          </w:p>
        </w:tc>
        <w:tc>
          <w:tcPr>
            <w:tcW w:w="481" w:type="pct"/>
            <w:vAlign w:val="center"/>
            <w:hideMark/>
          </w:tcPr>
          <w:p w14:paraId="14183C80" w14:textId="77777777" w:rsidR="003C12F4" w:rsidRPr="003C12F4" w:rsidRDefault="003C12F4" w:rsidP="003C12F4">
            <w:pPr>
              <w:rPr>
                <w:rFonts w:ascii="Helvetica" w:hAnsi="Helvetica" w:cs="Helvetica"/>
              </w:rPr>
            </w:pPr>
            <w:r w:rsidRPr="003C12F4">
              <w:rPr>
                <w:rFonts w:ascii="Helvetica" w:hAnsi="Helvetica" w:cs="Helvetica"/>
                <w:color w:val="000000"/>
              </w:rPr>
              <w:t>0.488</w:t>
            </w:r>
          </w:p>
        </w:tc>
        <w:tc>
          <w:tcPr>
            <w:tcW w:w="923" w:type="pct"/>
            <w:vAlign w:val="center"/>
            <w:hideMark/>
          </w:tcPr>
          <w:p w14:paraId="00D5C342" w14:textId="77777777" w:rsidR="003C12F4" w:rsidRPr="003C12F4" w:rsidRDefault="003C12F4" w:rsidP="003C12F4">
            <w:pPr>
              <w:rPr>
                <w:rFonts w:ascii="Helvetica" w:hAnsi="Helvetica" w:cs="Helvetica"/>
              </w:rPr>
            </w:pPr>
            <w:r w:rsidRPr="003C12F4">
              <w:rPr>
                <w:rFonts w:ascii="Helvetica" w:hAnsi="Helvetica" w:cs="Helvetica"/>
                <w:color w:val="000000"/>
              </w:rPr>
              <w:t>3.02(1.32-6.88)</w:t>
            </w:r>
          </w:p>
        </w:tc>
        <w:tc>
          <w:tcPr>
            <w:tcW w:w="541" w:type="pct"/>
            <w:vAlign w:val="center"/>
            <w:hideMark/>
          </w:tcPr>
          <w:p w14:paraId="23B07CC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0C2E81D1" w14:textId="77777777" w:rsidTr="003C12F4">
        <w:tc>
          <w:tcPr>
            <w:tcW w:w="1087" w:type="pct"/>
            <w:hideMark/>
          </w:tcPr>
          <w:p w14:paraId="0FFBF693" w14:textId="77777777" w:rsidR="003C12F4" w:rsidRPr="003C12F4" w:rsidRDefault="003C12F4" w:rsidP="003C12F4">
            <w:pPr>
              <w:rPr>
                <w:rFonts w:ascii="Helvetica" w:hAnsi="Helvetica" w:cs="Helvetica"/>
              </w:rPr>
            </w:pPr>
            <w:r w:rsidRPr="003C12F4">
              <w:rPr>
                <w:rFonts w:ascii="Helvetica" w:hAnsi="Helvetica" w:cs="Helvetica"/>
              </w:rPr>
              <w:t>Higher</w:t>
            </w:r>
          </w:p>
        </w:tc>
        <w:tc>
          <w:tcPr>
            <w:tcW w:w="690" w:type="pct"/>
            <w:hideMark/>
          </w:tcPr>
          <w:p w14:paraId="502F16B4" w14:textId="2164AD0A"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3986E529" w14:textId="77777777" w:rsidR="003C12F4" w:rsidRPr="003C12F4" w:rsidRDefault="003C12F4" w:rsidP="003C12F4">
            <w:pPr>
              <w:rPr>
                <w:rFonts w:ascii="Helvetica" w:hAnsi="Helvetica" w:cs="Helvetica"/>
              </w:rPr>
            </w:pPr>
          </w:p>
        </w:tc>
        <w:tc>
          <w:tcPr>
            <w:tcW w:w="868" w:type="pct"/>
            <w:vAlign w:val="center"/>
            <w:hideMark/>
          </w:tcPr>
          <w:p w14:paraId="071233B5" w14:textId="4446B1C6"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vAlign w:val="center"/>
          </w:tcPr>
          <w:p w14:paraId="60566A1D" w14:textId="77777777" w:rsidR="003C12F4" w:rsidRPr="003C12F4" w:rsidRDefault="003C12F4" w:rsidP="003C12F4">
            <w:pPr>
              <w:rPr>
                <w:rFonts w:ascii="Helvetica" w:hAnsi="Helvetica" w:cs="Helvetica"/>
              </w:rPr>
            </w:pPr>
          </w:p>
        </w:tc>
        <w:tc>
          <w:tcPr>
            <w:tcW w:w="923" w:type="pct"/>
            <w:vAlign w:val="center"/>
            <w:hideMark/>
          </w:tcPr>
          <w:p w14:paraId="6E31BFB0" w14:textId="01AF86C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vAlign w:val="center"/>
          </w:tcPr>
          <w:p w14:paraId="0593A506" w14:textId="77777777" w:rsidR="003C12F4" w:rsidRPr="003C12F4" w:rsidRDefault="003C12F4" w:rsidP="003C12F4">
            <w:pPr>
              <w:rPr>
                <w:rFonts w:ascii="Helvetica" w:hAnsi="Helvetica" w:cs="Helvetica"/>
              </w:rPr>
            </w:pPr>
          </w:p>
        </w:tc>
      </w:tr>
      <w:tr w:rsidR="003C12F4" w:rsidRPr="003C12F4" w14:paraId="764A0ED7" w14:textId="77777777" w:rsidTr="003C12F4">
        <w:tc>
          <w:tcPr>
            <w:tcW w:w="1087" w:type="pct"/>
            <w:hideMark/>
          </w:tcPr>
          <w:p w14:paraId="6F36EFF6" w14:textId="77777777" w:rsidR="003C12F4" w:rsidRPr="003C12F4" w:rsidRDefault="003C12F4" w:rsidP="003C12F4">
            <w:pPr>
              <w:rPr>
                <w:rFonts w:ascii="Helvetica" w:hAnsi="Helvetica" w:cs="Helvetica"/>
                <w:b/>
                <w:bCs/>
              </w:rPr>
            </w:pPr>
            <w:r w:rsidRPr="003C12F4">
              <w:rPr>
                <w:rFonts w:ascii="Helvetica" w:hAnsi="Helvetica" w:cs="Helvetica"/>
                <w:b/>
                <w:bCs/>
              </w:rPr>
              <w:t>Birth order</w:t>
            </w:r>
          </w:p>
        </w:tc>
        <w:tc>
          <w:tcPr>
            <w:tcW w:w="690" w:type="pct"/>
            <w:hideMark/>
          </w:tcPr>
          <w:p w14:paraId="29A0A3AF" w14:textId="77777777" w:rsidR="003C12F4" w:rsidRPr="003C12F4" w:rsidRDefault="003C12F4" w:rsidP="003C12F4">
            <w:pPr>
              <w:rPr>
                <w:rFonts w:ascii="Helvetica" w:hAnsi="Helvetica" w:cs="Helvetica"/>
              </w:rPr>
            </w:pPr>
            <w:r w:rsidRPr="003C12F4">
              <w:rPr>
                <w:rFonts w:ascii="Helvetica" w:hAnsi="Helvetica" w:cs="Helvetica"/>
              </w:rPr>
              <w:t>1.02(1.01-1.04)</w:t>
            </w:r>
          </w:p>
        </w:tc>
        <w:tc>
          <w:tcPr>
            <w:tcW w:w="410" w:type="pct"/>
            <w:hideMark/>
          </w:tcPr>
          <w:p w14:paraId="12B43908"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vAlign w:val="center"/>
            <w:hideMark/>
          </w:tcPr>
          <w:p w14:paraId="26FCB42F" w14:textId="77777777" w:rsidR="003C12F4" w:rsidRPr="003C12F4" w:rsidRDefault="003C12F4" w:rsidP="003C12F4">
            <w:pPr>
              <w:rPr>
                <w:rFonts w:ascii="Helvetica" w:hAnsi="Helvetica" w:cs="Helvetica"/>
              </w:rPr>
            </w:pPr>
            <w:r w:rsidRPr="003C12F4">
              <w:rPr>
                <w:rFonts w:ascii="Helvetica" w:hAnsi="Helvetica" w:cs="Helvetica"/>
                <w:color w:val="000000"/>
              </w:rPr>
              <w:t>1.03(1.01-1.05)</w:t>
            </w:r>
          </w:p>
        </w:tc>
        <w:tc>
          <w:tcPr>
            <w:tcW w:w="481" w:type="pct"/>
            <w:vAlign w:val="center"/>
            <w:hideMark/>
          </w:tcPr>
          <w:p w14:paraId="47994577" w14:textId="77777777" w:rsidR="003C12F4" w:rsidRPr="003C12F4" w:rsidRDefault="003C12F4" w:rsidP="003C12F4">
            <w:pPr>
              <w:rPr>
                <w:rFonts w:ascii="Helvetica" w:hAnsi="Helvetica" w:cs="Helvetica"/>
              </w:rPr>
            </w:pPr>
            <w:r w:rsidRPr="003C12F4">
              <w:rPr>
                <w:rFonts w:ascii="Helvetica" w:hAnsi="Helvetica" w:cs="Helvetica"/>
                <w:color w:val="000000"/>
              </w:rPr>
              <w:t>0.026</w:t>
            </w:r>
          </w:p>
        </w:tc>
        <w:tc>
          <w:tcPr>
            <w:tcW w:w="923" w:type="pct"/>
            <w:vAlign w:val="center"/>
            <w:hideMark/>
          </w:tcPr>
          <w:p w14:paraId="5E0AD0A1" w14:textId="77777777" w:rsidR="003C12F4" w:rsidRPr="003C12F4" w:rsidRDefault="003C12F4" w:rsidP="003C12F4">
            <w:pPr>
              <w:rPr>
                <w:rFonts w:ascii="Helvetica" w:hAnsi="Helvetica" w:cs="Helvetica"/>
              </w:rPr>
            </w:pPr>
            <w:r w:rsidRPr="003C12F4">
              <w:rPr>
                <w:rFonts w:ascii="Helvetica" w:hAnsi="Helvetica" w:cs="Helvetica"/>
                <w:color w:val="000000"/>
              </w:rPr>
              <w:t>1.00(0.96-1.04)</w:t>
            </w:r>
          </w:p>
        </w:tc>
        <w:tc>
          <w:tcPr>
            <w:tcW w:w="541" w:type="pct"/>
            <w:vAlign w:val="center"/>
            <w:hideMark/>
          </w:tcPr>
          <w:p w14:paraId="5FF287A1" w14:textId="77777777" w:rsidR="003C12F4" w:rsidRPr="003C12F4" w:rsidRDefault="003C12F4" w:rsidP="003C12F4">
            <w:pPr>
              <w:rPr>
                <w:rFonts w:ascii="Helvetica" w:hAnsi="Helvetica" w:cs="Helvetica"/>
              </w:rPr>
            </w:pPr>
            <w:r w:rsidRPr="003C12F4">
              <w:rPr>
                <w:rFonts w:ascii="Helvetica" w:hAnsi="Helvetica" w:cs="Helvetica"/>
                <w:color w:val="000000"/>
              </w:rPr>
              <w:t>0.951</w:t>
            </w:r>
          </w:p>
        </w:tc>
      </w:tr>
      <w:tr w:rsidR="003C12F4" w:rsidRPr="003C12F4" w14:paraId="2E7C4804" w14:textId="77777777" w:rsidTr="003C12F4">
        <w:tc>
          <w:tcPr>
            <w:tcW w:w="5000" w:type="pct"/>
            <w:gridSpan w:val="7"/>
            <w:tcBorders>
              <w:bottom w:val="single" w:sz="4" w:space="0" w:color="auto"/>
            </w:tcBorders>
          </w:tcPr>
          <w:p w14:paraId="122848C4" w14:textId="0C9E538B"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FC049B">
              <w:rPr>
                <w:rFonts w:ascii="Helvetica" w:hAnsi="Helvetica" w:cs="Helvetica"/>
              </w:rPr>
              <w:t>A</w:t>
            </w:r>
            <w:r w:rsidRPr="003C12F4">
              <w:rPr>
                <w:rFonts w:ascii="Helvetica" w:hAnsi="Helvetica" w:cs="Helvetica"/>
              </w:rPr>
              <w:t xml:space="preserve">OR: </w:t>
            </w:r>
            <w:r w:rsidR="00FC049B">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all stunting, wasting, and underweight.</w:t>
            </w:r>
          </w:p>
        </w:tc>
      </w:tr>
    </w:tbl>
    <w:p w14:paraId="70E39FDC" w14:textId="77777777"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5.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61C20EEF" w14:textId="77777777" w:rsidTr="003C12F4">
        <w:trPr>
          <w:trHeight w:val="178"/>
        </w:trPr>
        <w:tc>
          <w:tcPr>
            <w:tcW w:w="1087" w:type="pct"/>
            <w:tcBorders>
              <w:top w:val="single" w:sz="4" w:space="0" w:color="auto"/>
            </w:tcBorders>
          </w:tcPr>
          <w:p w14:paraId="6778B607"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1CEC152B" w14:textId="77777777" w:rsidR="003C12F4" w:rsidRPr="003C12F4" w:rsidRDefault="003C12F4" w:rsidP="003C12F4">
            <w:pPr>
              <w:jc w:val="center"/>
              <w:rPr>
                <w:rFonts w:ascii="Helvetica" w:hAnsi="Helvetica" w:cs="Helvetica"/>
                <w:b/>
                <w:bCs/>
              </w:rPr>
            </w:pPr>
            <w:proofErr w:type="gramStart"/>
            <w:r w:rsidRPr="003C12F4">
              <w:rPr>
                <w:rFonts w:ascii="Helvetica" w:hAnsi="Helvetica" w:cs="Helvetica"/>
                <w:b/>
                <w:bCs/>
              </w:rPr>
              <w:t>Stunting(</w:t>
            </w:r>
            <w:proofErr w:type="gramEnd"/>
            <w:r w:rsidRPr="003C12F4">
              <w:rPr>
                <w:rFonts w:ascii="Helvetica" w:hAnsi="Helvetica" w:cs="Helvetica"/>
                <w:b/>
                <w:bCs/>
              </w:rPr>
              <w:t>height for age, &lt;2SD)</w:t>
            </w:r>
          </w:p>
        </w:tc>
        <w:tc>
          <w:tcPr>
            <w:tcW w:w="1349" w:type="pct"/>
            <w:gridSpan w:val="2"/>
            <w:tcBorders>
              <w:top w:val="single" w:sz="4" w:space="0" w:color="auto"/>
            </w:tcBorders>
            <w:hideMark/>
          </w:tcPr>
          <w:p w14:paraId="27F4D84E" w14:textId="77777777" w:rsidR="003C12F4" w:rsidRPr="003C12F4" w:rsidRDefault="003C12F4" w:rsidP="003C12F4">
            <w:pPr>
              <w:jc w:val="center"/>
              <w:rPr>
                <w:rFonts w:ascii="Helvetica" w:hAnsi="Helvetica" w:cs="Helvetica"/>
                <w:b/>
                <w:bCs/>
              </w:rPr>
            </w:pPr>
            <w:proofErr w:type="gramStart"/>
            <w:r w:rsidRPr="003C12F4">
              <w:rPr>
                <w:rFonts w:ascii="Helvetica" w:hAnsi="Helvetica" w:cs="Helvetica"/>
                <w:b/>
                <w:bCs/>
              </w:rPr>
              <w:t>Underweight(</w:t>
            </w:r>
            <w:proofErr w:type="gramEnd"/>
            <w:r w:rsidRPr="003C12F4">
              <w:rPr>
                <w:rFonts w:ascii="Helvetica" w:hAnsi="Helvetica" w:cs="Helvetica"/>
                <w:b/>
                <w:bCs/>
              </w:rPr>
              <w:t>weight for age, &lt;2SD)</w:t>
            </w:r>
          </w:p>
        </w:tc>
        <w:tc>
          <w:tcPr>
            <w:tcW w:w="1464" w:type="pct"/>
            <w:gridSpan w:val="2"/>
            <w:tcBorders>
              <w:top w:val="single" w:sz="4" w:space="0" w:color="auto"/>
            </w:tcBorders>
            <w:hideMark/>
          </w:tcPr>
          <w:p w14:paraId="771AFF53" w14:textId="77777777" w:rsidR="003C12F4" w:rsidRPr="003C12F4" w:rsidRDefault="003C12F4" w:rsidP="003C12F4">
            <w:pPr>
              <w:jc w:val="center"/>
              <w:rPr>
                <w:rFonts w:ascii="Helvetica" w:hAnsi="Helvetica" w:cs="Helvetica"/>
                <w:b/>
                <w:bCs/>
              </w:rPr>
            </w:pPr>
            <w:proofErr w:type="gramStart"/>
            <w:r w:rsidRPr="003C12F4">
              <w:rPr>
                <w:rFonts w:ascii="Helvetica" w:hAnsi="Helvetica" w:cs="Helvetica"/>
                <w:b/>
                <w:bCs/>
              </w:rPr>
              <w:t>Wasting(</w:t>
            </w:r>
            <w:proofErr w:type="gramEnd"/>
            <w:r w:rsidRPr="003C12F4">
              <w:rPr>
                <w:rFonts w:ascii="Helvetica" w:hAnsi="Helvetica" w:cs="Helvetica"/>
                <w:b/>
                <w:bCs/>
              </w:rPr>
              <w:t>weight for height, &lt;2SD)</w:t>
            </w:r>
          </w:p>
        </w:tc>
      </w:tr>
      <w:tr w:rsidR="003C12F4" w:rsidRPr="003C12F4" w14:paraId="5C744865" w14:textId="77777777" w:rsidTr="003C12F4">
        <w:tc>
          <w:tcPr>
            <w:tcW w:w="1087" w:type="pct"/>
          </w:tcPr>
          <w:p w14:paraId="6CC3C35C" w14:textId="77777777" w:rsidR="003C12F4" w:rsidRPr="003C12F4" w:rsidRDefault="003C12F4" w:rsidP="003C12F4">
            <w:pPr>
              <w:rPr>
                <w:rFonts w:ascii="Helvetica" w:hAnsi="Helvetica" w:cs="Helvetica"/>
              </w:rPr>
            </w:pPr>
          </w:p>
        </w:tc>
        <w:tc>
          <w:tcPr>
            <w:tcW w:w="637" w:type="pct"/>
            <w:hideMark/>
          </w:tcPr>
          <w:p w14:paraId="2D2A86C7" w14:textId="4E2CE282"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3813890"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1F63D5F7" w14:textId="2AFA755C"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54141C8D"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2298336D" w14:textId="657525FB"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43F9AD25"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5FB7DE69" w14:textId="77777777" w:rsidTr="003C12F4">
        <w:tc>
          <w:tcPr>
            <w:tcW w:w="1087" w:type="pct"/>
            <w:hideMark/>
          </w:tcPr>
          <w:p w14:paraId="740A305E" w14:textId="77777777" w:rsidR="003C12F4" w:rsidRPr="003C12F4" w:rsidRDefault="003C12F4" w:rsidP="003C12F4">
            <w:pPr>
              <w:rPr>
                <w:rFonts w:ascii="Helvetica" w:hAnsi="Helvetica" w:cs="Helvetica"/>
                <w:b/>
                <w:bCs/>
              </w:rPr>
            </w:pPr>
            <w:r w:rsidRPr="003C12F4">
              <w:rPr>
                <w:rFonts w:ascii="Helvetica" w:hAnsi="Helvetica" w:cs="Helvetica"/>
                <w:b/>
                <w:bCs/>
              </w:rPr>
              <w:t>Region</w:t>
            </w:r>
          </w:p>
        </w:tc>
        <w:tc>
          <w:tcPr>
            <w:tcW w:w="637" w:type="pct"/>
          </w:tcPr>
          <w:p w14:paraId="45EE72A5" w14:textId="77777777" w:rsidR="003C12F4" w:rsidRPr="003C12F4" w:rsidRDefault="003C12F4" w:rsidP="003C12F4">
            <w:pPr>
              <w:rPr>
                <w:rFonts w:ascii="Helvetica" w:hAnsi="Helvetica" w:cs="Helvetica"/>
              </w:rPr>
            </w:pPr>
          </w:p>
        </w:tc>
        <w:tc>
          <w:tcPr>
            <w:tcW w:w="463" w:type="pct"/>
          </w:tcPr>
          <w:p w14:paraId="67B0FE61" w14:textId="77777777" w:rsidR="003C12F4" w:rsidRPr="003C12F4" w:rsidRDefault="003C12F4" w:rsidP="003C12F4">
            <w:pPr>
              <w:rPr>
                <w:rFonts w:ascii="Helvetica" w:hAnsi="Helvetica" w:cs="Helvetica"/>
              </w:rPr>
            </w:pPr>
          </w:p>
        </w:tc>
        <w:tc>
          <w:tcPr>
            <w:tcW w:w="868" w:type="pct"/>
          </w:tcPr>
          <w:p w14:paraId="0C1BB24C" w14:textId="77777777" w:rsidR="003C12F4" w:rsidRPr="003C12F4" w:rsidRDefault="003C12F4" w:rsidP="003C12F4">
            <w:pPr>
              <w:rPr>
                <w:rFonts w:ascii="Helvetica" w:hAnsi="Helvetica" w:cs="Helvetica"/>
              </w:rPr>
            </w:pPr>
          </w:p>
        </w:tc>
        <w:tc>
          <w:tcPr>
            <w:tcW w:w="481" w:type="pct"/>
          </w:tcPr>
          <w:p w14:paraId="1D93C608" w14:textId="77777777" w:rsidR="003C12F4" w:rsidRPr="003C12F4" w:rsidRDefault="003C12F4" w:rsidP="003C12F4">
            <w:pPr>
              <w:rPr>
                <w:rFonts w:ascii="Helvetica" w:hAnsi="Helvetica" w:cs="Helvetica"/>
              </w:rPr>
            </w:pPr>
          </w:p>
        </w:tc>
        <w:tc>
          <w:tcPr>
            <w:tcW w:w="923" w:type="pct"/>
          </w:tcPr>
          <w:p w14:paraId="4920F221" w14:textId="77777777" w:rsidR="003C12F4" w:rsidRPr="003C12F4" w:rsidRDefault="003C12F4" w:rsidP="003C12F4">
            <w:pPr>
              <w:rPr>
                <w:rFonts w:ascii="Helvetica" w:hAnsi="Helvetica" w:cs="Helvetica"/>
              </w:rPr>
            </w:pPr>
          </w:p>
        </w:tc>
        <w:tc>
          <w:tcPr>
            <w:tcW w:w="541" w:type="pct"/>
          </w:tcPr>
          <w:p w14:paraId="0FF5B1EF" w14:textId="77777777" w:rsidR="003C12F4" w:rsidRPr="003C12F4" w:rsidRDefault="003C12F4" w:rsidP="003C12F4">
            <w:pPr>
              <w:rPr>
                <w:rFonts w:ascii="Helvetica" w:hAnsi="Helvetica" w:cs="Helvetica"/>
              </w:rPr>
            </w:pPr>
          </w:p>
        </w:tc>
      </w:tr>
      <w:tr w:rsidR="003C12F4" w:rsidRPr="003C12F4" w14:paraId="77847478" w14:textId="77777777" w:rsidTr="003C12F4">
        <w:tc>
          <w:tcPr>
            <w:tcW w:w="1087" w:type="pct"/>
            <w:hideMark/>
          </w:tcPr>
          <w:p w14:paraId="2BDC5204" w14:textId="77777777" w:rsidR="003C12F4" w:rsidRPr="003C12F4" w:rsidRDefault="003C12F4" w:rsidP="003C12F4">
            <w:pPr>
              <w:rPr>
                <w:rFonts w:ascii="Helvetica" w:hAnsi="Helvetica" w:cs="Helvetica"/>
              </w:rPr>
            </w:pPr>
            <w:r w:rsidRPr="003C12F4">
              <w:rPr>
                <w:rFonts w:ascii="Helvetica" w:hAnsi="Helvetica" w:cs="Helvetica"/>
              </w:rPr>
              <w:t>Central</w:t>
            </w:r>
          </w:p>
        </w:tc>
        <w:tc>
          <w:tcPr>
            <w:tcW w:w="637" w:type="pct"/>
            <w:hideMark/>
          </w:tcPr>
          <w:p w14:paraId="3E431E33" w14:textId="77777777" w:rsidR="003C12F4" w:rsidRPr="003C12F4" w:rsidRDefault="003C12F4" w:rsidP="003C12F4">
            <w:pPr>
              <w:rPr>
                <w:rFonts w:ascii="Helvetica" w:hAnsi="Helvetica" w:cs="Helvetica"/>
              </w:rPr>
            </w:pPr>
            <w:r w:rsidRPr="003C12F4">
              <w:rPr>
                <w:rFonts w:ascii="Helvetica" w:hAnsi="Helvetica" w:cs="Helvetica"/>
              </w:rPr>
              <w:t>0.82(0.66-1.00)</w:t>
            </w:r>
          </w:p>
        </w:tc>
        <w:tc>
          <w:tcPr>
            <w:tcW w:w="463" w:type="pct"/>
            <w:hideMark/>
          </w:tcPr>
          <w:p w14:paraId="2FEA4D97" w14:textId="77777777" w:rsidR="003C12F4" w:rsidRPr="003C12F4" w:rsidRDefault="003C12F4" w:rsidP="003C12F4">
            <w:pPr>
              <w:rPr>
                <w:rFonts w:ascii="Helvetica" w:hAnsi="Helvetica" w:cs="Helvetica"/>
              </w:rPr>
            </w:pPr>
            <w:r w:rsidRPr="003C12F4">
              <w:rPr>
                <w:rFonts w:ascii="Helvetica" w:hAnsi="Helvetica" w:cs="Helvetica"/>
              </w:rPr>
              <w:t>0.060</w:t>
            </w:r>
          </w:p>
        </w:tc>
        <w:tc>
          <w:tcPr>
            <w:tcW w:w="868" w:type="pct"/>
            <w:hideMark/>
          </w:tcPr>
          <w:p w14:paraId="4AAF6323" w14:textId="77777777" w:rsidR="003C12F4" w:rsidRPr="003C12F4" w:rsidRDefault="003C12F4" w:rsidP="003C12F4">
            <w:pPr>
              <w:rPr>
                <w:rFonts w:ascii="Helvetica" w:hAnsi="Helvetica" w:cs="Helvetica"/>
              </w:rPr>
            </w:pPr>
            <w:r w:rsidRPr="003C12F4">
              <w:rPr>
                <w:rFonts w:ascii="Helvetica" w:hAnsi="Helvetica" w:cs="Helvetica"/>
                <w:color w:val="000000"/>
              </w:rPr>
              <w:t>0.91(0.70-1.19)</w:t>
            </w:r>
          </w:p>
        </w:tc>
        <w:tc>
          <w:tcPr>
            <w:tcW w:w="481" w:type="pct"/>
            <w:hideMark/>
          </w:tcPr>
          <w:p w14:paraId="457B01EB" w14:textId="77777777" w:rsidR="003C12F4" w:rsidRPr="003C12F4" w:rsidRDefault="003C12F4" w:rsidP="003C12F4">
            <w:pPr>
              <w:rPr>
                <w:rFonts w:ascii="Helvetica" w:hAnsi="Helvetica" w:cs="Helvetica"/>
              </w:rPr>
            </w:pPr>
            <w:r w:rsidRPr="003C12F4">
              <w:rPr>
                <w:rFonts w:ascii="Helvetica" w:hAnsi="Helvetica" w:cs="Helvetica"/>
                <w:color w:val="000000"/>
              </w:rPr>
              <w:t>0.509</w:t>
            </w:r>
          </w:p>
        </w:tc>
        <w:tc>
          <w:tcPr>
            <w:tcW w:w="923" w:type="pct"/>
            <w:hideMark/>
          </w:tcPr>
          <w:p w14:paraId="1B0563CC" w14:textId="77777777" w:rsidR="003C12F4" w:rsidRPr="003C12F4" w:rsidRDefault="003C12F4" w:rsidP="003C12F4">
            <w:pPr>
              <w:rPr>
                <w:rFonts w:ascii="Helvetica" w:hAnsi="Helvetica" w:cs="Helvetica"/>
              </w:rPr>
            </w:pPr>
            <w:r w:rsidRPr="003C12F4">
              <w:rPr>
                <w:rFonts w:ascii="Helvetica" w:hAnsi="Helvetica" w:cs="Helvetica"/>
                <w:color w:val="000000"/>
              </w:rPr>
              <w:t>1.71(1.15-2.56)</w:t>
            </w:r>
          </w:p>
        </w:tc>
        <w:tc>
          <w:tcPr>
            <w:tcW w:w="541" w:type="pct"/>
            <w:hideMark/>
          </w:tcPr>
          <w:p w14:paraId="38D2514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55BE2D49" w14:textId="77777777" w:rsidTr="003C12F4">
        <w:tc>
          <w:tcPr>
            <w:tcW w:w="1087" w:type="pct"/>
            <w:hideMark/>
          </w:tcPr>
          <w:p w14:paraId="2F750679" w14:textId="77777777" w:rsidR="003C12F4" w:rsidRPr="003C12F4" w:rsidRDefault="003C12F4" w:rsidP="003C12F4">
            <w:pPr>
              <w:rPr>
                <w:rFonts w:ascii="Helvetica" w:hAnsi="Helvetica" w:cs="Helvetica"/>
              </w:rPr>
            </w:pPr>
            <w:r w:rsidRPr="003C12F4">
              <w:rPr>
                <w:rFonts w:ascii="Helvetica" w:hAnsi="Helvetica" w:cs="Helvetica"/>
              </w:rPr>
              <w:t>Coast</w:t>
            </w:r>
          </w:p>
        </w:tc>
        <w:tc>
          <w:tcPr>
            <w:tcW w:w="637" w:type="pct"/>
            <w:hideMark/>
          </w:tcPr>
          <w:p w14:paraId="37861292" w14:textId="77777777" w:rsidR="003C12F4" w:rsidRPr="003C12F4" w:rsidRDefault="003C12F4" w:rsidP="003C12F4">
            <w:pPr>
              <w:rPr>
                <w:rFonts w:ascii="Helvetica" w:hAnsi="Helvetica" w:cs="Helvetica"/>
              </w:rPr>
            </w:pPr>
            <w:r w:rsidRPr="003C12F4">
              <w:rPr>
                <w:rFonts w:ascii="Helvetica" w:hAnsi="Helvetica" w:cs="Helvetica"/>
              </w:rPr>
              <w:t>1.08(0.89-1.29)</w:t>
            </w:r>
          </w:p>
        </w:tc>
        <w:tc>
          <w:tcPr>
            <w:tcW w:w="463" w:type="pct"/>
            <w:hideMark/>
          </w:tcPr>
          <w:p w14:paraId="2D8330E0" w14:textId="77777777" w:rsidR="003C12F4" w:rsidRPr="003C12F4" w:rsidRDefault="003C12F4" w:rsidP="003C12F4">
            <w:pPr>
              <w:rPr>
                <w:rFonts w:ascii="Helvetica" w:hAnsi="Helvetica" w:cs="Helvetica"/>
              </w:rPr>
            </w:pPr>
            <w:r w:rsidRPr="003C12F4">
              <w:rPr>
                <w:rFonts w:ascii="Helvetica" w:hAnsi="Helvetica" w:cs="Helvetica"/>
              </w:rPr>
              <w:t>0.437</w:t>
            </w:r>
          </w:p>
        </w:tc>
        <w:tc>
          <w:tcPr>
            <w:tcW w:w="868" w:type="pct"/>
            <w:hideMark/>
          </w:tcPr>
          <w:p w14:paraId="1CF6BFF1" w14:textId="77777777" w:rsidR="003C12F4" w:rsidRPr="003C12F4" w:rsidRDefault="003C12F4" w:rsidP="003C12F4">
            <w:pPr>
              <w:rPr>
                <w:rFonts w:ascii="Helvetica" w:hAnsi="Helvetica" w:cs="Helvetica"/>
              </w:rPr>
            </w:pPr>
            <w:r w:rsidRPr="003C12F4">
              <w:rPr>
                <w:rFonts w:ascii="Helvetica" w:hAnsi="Helvetica" w:cs="Helvetica"/>
                <w:color w:val="000000"/>
              </w:rPr>
              <w:t>1.28(0.99-1.64)</w:t>
            </w:r>
          </w:p>
        </w:tc>
        <w:tc>
          <w:tcPr>
            <w:tcW w:w="481" w:type="pct"/>
            <w:hideMark/>
          </w:tcPr>
          <w:p w14:paraId="412E4DBA" w14:textId="77777777" w:rsidR="003C12F4" w:rsidRPr="003C12F4" w:rsidRDefault="003C12F4" w:rsidP="003C12F4">
            <w:pPr>
              <w:rPr>
                <w:rFonts w:ascii="Helvetica" w:hAnsi="Helvetica" w:cs="Helvetica"/>
              </w:rPr>
            </w:pPr>
            <w:r w:rsidRPr="003C12F4">
              <w:rPr>
                <w:rFonts w:ascii="Helvetica" w:hAnsi="Helvetica" w:cs="Helvetica"/>
                <w:color w:val="000000"/>
              </w:rPr>
              <w:t>0.055</w:t>
            </w:r>
          </w:p>
        </w:tc>
        <w:tc>
          <w:tcPr>
            <w:tcW w:w="923" w:type="pct"/>
            <w:hideMark/>
          </w:tcPr>
          <w:p w14:paraId="2868B5DC" w14:textId="77777777" w:rsidR="003C12F4" w:rsidRPr="003C12F4" w:rsidRDefault="003C12F4" w:rsidP="003C12F4">
            <w:pPr>
              <w:rPr>
                <w:rFonts w:ascii="Helvetica" w:hAnsi="Helvetica" w:cs="Helvetica"/>
              </w:rPr>
            </w:pPr>
            <w:r w:rsidRPr="003C12F4">
              <w:rPr>
                <w:rFonts w:ascii="Helvetica" w:hAnsi="Helvetica" w:cs="Helvetica"/>
                <w:color w:val="000000"/>
              </w:rPr>
              <w:t>1.68(1.06-2.67)</w:t>
            </w:r>
          </w:p>
        </w:tc>
        <w:tc>
          <w:tcPr>
            <w:tcW w:w="541" w:type="pct"/>
            <w:hideMark/>
          </w:tcPr>
          <w:p w14:paraId="541571DE" w14:textId="77777777" w:rsidR="003C12F4" w:rsidRPr="003C12F4" w:rsidRDefault="003C12F4" w:rsidP="003C12F4">
            <w:pPr>
              <w:rPr>
                <w:rFonts w:ascii="Helvetica" w:hAnsi="Helvetica" w:cs="Helvetica"/>
              </w:rPr>
            </w:pPr>
            <w:r w:rsidRPr="003C12F4">
              <w:rPr>
                <w:rFonts w:ascii="Helvetica" w:hAnsi="Helvetica" w:cs="Helvetica"/>
                <w:color w:val="000000"/>
              </w:rPr>
              <w:t>0.029</w:t>
            </w:r>
          </w:p>
        </w:tc>
      </w:tr>
      <w:tr w:rsidR="003C12F4" w:rsidRPr="003C12F4" w14:paraId="21E66418" w14:textId="77777777" w:rsidTr="003C12F4">
        <w:tc>
          <w:tcPr>
            <w:tcW w:w="1087" w:type="pct"/>
            <w:hideMark/>
          </w:tcPr>
          <w:p w14:paraId="7BDC28FA" w14:textId="77777777" w:rsidR="003C12F4" w:rsidRPr="003C12F4" w:rsidRDefault="003C12F4" w:rsidP="003C12F4">
            <w:pPr>
              <w:rPr>
                <w:rFonts w:ascii="Helvetica" w:hAnsi="Helvetica" w:cs="Helvetica"/>
              </w:rPr>
            </w:pPr>
            <w:r w:rsidRPr="003C12F4">
              <w:rPr>
                <w:rFonts w:ascii="Helvetica" w:hAnsi="Helvetica" w:cs="Helvetica"/>
              </w:rPr>
              <w:t>Eastern</w:t>
            </w:r>
          </w:p>
        </w:tc>
        <w:tc>
          <w:tcPr>
            <w:tcW w:w="637" w:type="pct"/>
            <w:hideMark/>
          </w:tcPr>
          <w:p w14:paraId="481CE865" w14:textId="77777777" w:rsidR="003C12F4" w:rsidRPr="003C12F4" w:rsidRDefault="003C12F4" w:rsidP="003C12F4">
            <w:pPr>
              <w:rPr>
                <w:rFonts w:ascii="Helvetica" w:hAnsi="Helvetica" w:cs="Helvetica"/>
              </w:rPr>
            </w:pPr>
            <w:r w:rsidRPr="003C12F4">
              <w:rPr>
                <w:rFonts w:ascii="Helvetica" w:hAnsi="Helvetica" w:cs="Helvetica"/>
              </w:rPr>
              <w:t>0.85(0.69-1.06)</w:t>
            </w:r>
          </w:p>
        </w:tc>
        <w:tc>
          <w:tcPr>
            <w:tcW w:w="463" w:type="pct"/>
            <w:hideMark/>
          </w:tcPr>
          <w:p w14:paraId="180C41FC" w14:textId="77777777" w:rsidR="003C12F4" w:rsidRPr="003C12F4" w:rsidRDefault="003C12F4" w:rsidP="003C12F4">
            <w:pPr>
              <w:rPr>
                <w:rFonts w:ascii="Helvetica" w:hAnsi="Helvetica" w:cs="Helvetica"/>
              </w:rPr>
            </w:pPr>
            <w:r w:rsidRPr="003C12F4">
              <w:rPr>
                <w:rFonts w:ascii="Helvetica" w:hAnsi="Helvetica" w:cs="Helvetica"/>
              </w:rPr>
              <w:t>0.149</w:t>
            </w:r>
          </w:p>
        </w:tc>
        <w:tc>
          <w:tcPr>
            <w:tcW w:w="868" w:type="pct"/>
            <w:hideMark/>
          </w:tcPr>
          <w:p w14:paraId="294C2B7A" w14:textId="77777777" w:rsidR="003C12F4" w:rsidRPr="003C12F4" w:rsidRDefault="003C12F4" w:rsidP="003C12F4">
            <w:pPr>
              <w:rPr>
                <w:rFonts w:ascii="Helvetica" w:hAnsi="Helvetica" w:cs="Helvetica"/>
              </w:rPr>
            </w:pPr>
            <w:r w:rsidRPr="003C12F4">
              <w:rPr>
                <w:rFonts w:ascii="Helvetica" w:hAnsi="Helvetica" w:cs="Helvetica"/>
                <w:color w:val="000000"/>
              </w:rPr>
              <w:t>1.01(0.74-1.38)</w:t>
            </w:r>
          </w:p>
        </w:tc>
        <w:tc>
          <w:tcPr>
            <w:tcW w:w="481" w:type="pct"/>
            <w:hideMark/>
          </w:tcPr>
          <w:p w14:paraId="6A2CB35F" w14:textId="77777777" w:rsidR="003C12F4" w:rsidRPr="003C12F4" w:rsidRDefault="003C12F4" w:rsidP="003C12F4">
            <w:pPr>
              <w:rPr>
                <w:rFonts w:ascii="Helvetica" w:hAnsi="Helvetica" w:cs="Helvetica"/>
              </w:rPr>
            </w:pPr>
            <w:r w:rsidRPr="003C12F4">
              <w:rPr>
                <w:rFonts w:ascii="Helvetica" w:hAnsi="Helvetica" w:cs="Helvetica"/>
                <w:color w:val="000000"/>
              </w:rPr>
              <w:t>0.939</w:t>
            </w:r>
          </w:p>
        </w:tc>
        <w:tc>
          <w:tcPr>
            <w:tcW w:w="923" w:type="pct"/>
            <w:hideMark/>
          </w:tcPr>
          <w:p w14:paraId="4FEA2B5D" w14:textId="77777777" w:rsidR="003C12F4" w:rsidRPr="003C12F4" w:rsidRDefault="003C12F4" w:rsidP="003C12F4">
            <w:pPr>
              <w:rPr>
                <w:rFonts w:ascii="Helvetica" w:hAnsi="Helvetica" w:cs="Helvetica"/>
              </w:rPr>
            </w:pPr>
            <w:r w:rsidRPr="003C12F4">
              <w:rPr>
                <w:rFonts w:ascii="Helvetica" w:hAnsi="Helvetica" w:cs="Helvetica"/>
                <w:color w:val="000000"/>
              </w:rPr>
              <w:t>1.16(0.65-2.08)</w:t>
            </w:r>
          </w:p>
        </w:tc>
        <w:tc>
          <w:tcPr>
            <w:tcW w:w="541" w:type="pct"/>
            <w:hideMark/>
          </w:tcPr>
          <w:p w14:paraId="658E5F2E" w14:textId="77777777" w:rsidR="003C12F4" w:rsidRPr="003C12F4" w:rsidRDefault="003C12F4" w:rsidP="003C12F4">
            <w:pPr>
              <w:rPr>
                <w:rFonts w:ascii="Helvetica" w:hAnsi="Helvetica" w:cs="Helvetica"/>
              </w:rPr>
            </w:pPr>
            <w:r w:rsidRPr="003C12F4">
              <w:rPr>
                <w:rFonts w:ascii="Helvetica" w:hAnsi="Helvetica" w:cs="Helvetica"/>
                <w:color w:val="000000"/>
              </w:rPr>
              <w:t>0.622</w:t>
            </w:r>
          </w:p>
        </w:tc>
      </w:tr>
      <w:tr w:rsidR="003C12F4" w:rsidRPr="003C12F4" w14:paraId="4377C6E6" w14:textId="77777777" w:rsidTr="003C12F4">
        <w:tc>
          <w:tcPr>
            <w:tcW w:w="1087" w:type="pct"/>
            <w:hideMark/>
          </w:tcPr>
          <w:p w14:paraId="1E9AB447" w14:textId="77777777" w:rsidR="003C12F4" w:rsidRPr="003C12F4" w:rsidRDefault="003C12F4" w:rsidP="003C12F4">
            <w:pPr>
              <w:rPr>
                <w:rFonts w:ascii="Helvetica" w:hAnsi="Helvetica" w:cs="Helvetica"/>
              </w:rPr>
            </w:pPr>
            <w:r w:rsidRPr="003C12F4">
              <w:rPr>
                <w:rFonts w:ascii="Helvetica" w:hAnsi="Helvetica" w:cs="Helvetica"/>
              </w:rPr>
              <w:t>Nyanza</w:t>
            </w:r>
          </w:p>
        </w:tc>
        <w:tc>
          <w:tcPr>
            <w:tcW w:w="637" w:type="pct"/>
            <w:hideMark/>
          </w:tcPr>
          <w:p w14:paraId="3002CD2E" w14:textId="77777777" w:rsidR="003C12F4" w:rsidRPr="003C12F4" w:rsidRDefault="003C12F4" w:rsidP="003C12F4">
            <w:pPr>
              <w:rPr>
                <w:rFonts w:ascii="Helvetica" w:hAnsi="Helvetica" w:cs="Helvetica"/>
              </w:rPr>
            </w:pPr>
            <w:r w:rsidRPr="003C12F4">
              <w:rPr>
                <w:rFonts w:ascii="Helvetica" w:hAnsi="Helvetica" w:cs="Helvetica"/>
              </w:rPr>
              <w:t>0.97(0.82-1.15)</w:t>
            </w:r>
          </w:p>
        </w:tc>
        <w:tc>
          <w:tcPr>
            <w:tcW w:w="463" w:type="pct"/>
            <w:hideMark/>
          </w:tcPr>
          <w:p w14:paraId="768618D4" w14:textId="77777777" w:rsidR="003C12F4" w:rsidRPr="003C12F4" w:rsidRDefault="003C12F4" w:rsidP="003C12F4">
            <w:pPr>
              <w:rPr>
                <w:rFonts w:ascii="Helvetica" w:hAnsi="Helvetica" w:cs="Helvetica"/>
              </w:rPr>
            </w:pPr>
            <w:r w:rsidRPr="003C12F4">
              <w:rPr>
                <w:rFonts w:ascii="Helvetica" w:hAnsi="Helvetica" w:cs="Helvetica"/>
              </w:rPr>
              <w:t>0.733</w:t>
            </w:r>
          </w:p>
        </w:tc>
        <w:tc>
          <w:tcPr>
            <w:tcW w:w="868" w:type="pct"/>
            <w:hideMark/>
          </w:tcPr>
          <w:p w14:paraId="117362EC" w14:textId="77777777" w:rsidR="003C12F4" w:rsidRPr="003C12F4" w:rsidRDefault="003C12F4" w:rsidP="003C12F4">
            <w:pPr>
              <w:rPr>
                <w:rFonts w:ascii="Helvetica" w:hAnsi="Helvetica" w:cs="Helvetica"/>
              </w:rPr>
            </w:pPr>
            <w:r w:rsidRPr="003C12F4">
              <w:rPr>
                <w:rFonts w:ascii="Helvetica" w:hAnsi="Helvetica" w:cs="Helvetica"/>
                <w:color w:val="000000"/>
              </w:rPr>
              <w:t>1.47(1.16-1.85)</w:t>
            </w:r>
          </w:p>
        </w:tc>
        <w:tc>
          <w:tcPr>
            <w:tcW w:w="481" w:type="pct"/>
            <w:hideMark/>
          </w:tcPr>
          <w:p w14:paraId="12A6AC6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F310639" w14:textId="77777777" w:rsidR="003C12F4" w:rsidRPr="003C12F4" w:rsidRDefault="003C12F4" w:rsidP="003C12F4">
            <w:pPr>
              <w:rPr>
                <w:rFonts w:ascii="Helvetica" w:hAnsi="Helvetica" w:cs="Helvetica"/>
              </w:rPr>
            </w:pPr>
            <w:r w:rsidRPr="003C12F4">
              <w:rPr>
                <w:rFonts w:ascii="Helvetica" w:hAnsi="Helvetica" w:cs="Helvetica"/>
                <w:color w:val="000000"/>
              </w:rPr>
              <w:t>2.21(1.43-3.42)</w:t>
            </w:r>
          </w:p>
        </w:tc>
        <w:tc>
          <w:tcPr>
            <w:tcW w:w="541" w:type="pct"/>
            <w:hideMark/>
          </w:tcPr>
          <w:p w14:paraId="36C8768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F8493C" w14:textId="77777777" w:rsidTr="003C12F4">
        <w:tc>
          <w:tcPr>
            <w:tcW w:w="1087" w:type="pct"/>
            <w:hideMark/>
          </w:tcPr>
          <w:p w14:paraId="651645B0" w14:textId="77777777" w:rsidR="003C12F4" w:rsidRPr="003C12F4" w:rsidRDefault="003C12F4" w:rsidP="003C12F4">
            <w:pPr>
              <w:rPr>
                <w:rFonts w:ascii="Helvetica" w:hAnsi="Helvetica" w:cs="Helvetica"/>
              </w:rPr>
            </w:pPr>
            <w:r w:rsidRPr="003C12F4">
              <w:rPr>
                <w:rFonts w:ascii="Helvetica" w:hAnsi="Helvetica" w:cs="Helvetica"/>
              </w:rPr>
              <w:t>Rift Valley</w:t>
            </w:r>
          </w:p>
        </w:tc>
        <w:tc>
          <w:tcPr>
            <w:tcW w:w="637" w:type="pct"/>
            <w:hideMark/>
          </w:tcPr>
          <w:p w14:paraId="227C4C81" w14:textId="77777777" w:rsidR="003C12F4" w:rsidRPr="003C12F4" w:rsidRDefault="003C12F4" w:rsidP="003C12F4">
            <w:pPr>
              <w:rPr>
                <w:rFonts w:ascii="Helvetica" w:hAnsi="Helvetica" w:cs="Helvetica"/>
              </w:rPr>
            </w:pPr>
            <w:r w:rsidRPr="003C12F4">
              <w:rPr>
                <w:rFonts w:ascii="Helvetica" w:hAnsi="Helvetica" w:cs="Helvetica"/>
              </w:rPr>
              <w:t>0.88(0.68-1.14)</w:t>
            </w:r>
          </w:p>
        </w:tc>
        <w:tc>
          <w:tcPr>
            <w:tcW w:w="463" w:type="pct"/>
            <w:hideMark/>
          </w:tcPr>
          <w:p w14:paraId="158FA2FE" w14:textId="77777777" w:rsidR="003C12F4" w:rsidRPr="003C12F4" w:rsidRDefault="003C12F4" w:rsidP="003C12F4">
            <w:pPr>
              <w:rPr>
                <w:rFonts w:ascii="Helvetica" w:hAnsi="Helvetica" w:cs="Helvetica"/>
              </w:rPr>
            </w:pPr>
            <w:r w:rsidRPr="003C12F4">
              <w:rPr>
                <w:rFonts w:ascii="Helvetica" w:hAnsi="Helvetica" w:cs="Helvetica"/>
              </w:rPr>
              <w:t>0.336</w:t>
            </w:r>
          </w:p>
        </w:tc>
        <w:tc>
          <w:tcPr>
            <w:tcW w:w="868" w:type="pct"/>
            <w:hideMark/>
          </w:tcPr>
          <w:p w14:paraId="426CB19B" w14:textId="77777777" w:rsidR="003C12F4" w:rsidRPr="003C12F4" w:rsidRDefault="003C12F4" w:rsidP="003C12F4">
            <w:pPr>
              <w:rPr>
                <w:rFonts w:ascii="Helvetica" w:hAnsi="Helvetica" w:cs="Helvetica"/>
              </w:rPr>
            </w:pPr>
            <w:r w:rsidRPr="003C12F4">
              <w:rPr>
                <w:rFonts w:ascii="Helvetica" w:hAnsi="Helvetica" w:cs="Helvetica"/>
                <w:color w:val="000000"/>
              </w:rPr>
              <w:t>1.65(1.19-2.29)</w:t>
            </w:r>
          </w:p>
        </w:tc>
        <w:tc>
          <w:tcPr>
            <w:tcW w:w="481" w:type="pct"/>
            <w:hideMark/>
          </w:tcPr>
          <w:p w14:paraId="5EE65E26" w14:textId="77777777" w:rsidR="003C12F4" w:rsidRPr="003C12F4" w:rsidRDefault="003C12F4" w:rsidP="003C12F4">
            <w:pPr>
              <w:rPr>
                <w:rFonts w:ascii="Helvetica" w:hAnsi="Helvetica" w:cs="Helvetica"/>
              </w:rPr>
            </w:pPr>
            <w:r w:rsidRPr="003C12F4">
              <w:rPr>
                <w:rFonts w:ascii="Helvetica" w:hAnsi="Helvetica" w:cs="Helvetica"/>
                <w:color w:val="000000"/>
              </w:rPr>
              <w:t>0.003</w:t>
            </w:r>
          </w:p>
        </w:tc>
        <w:tc>
          <w:tcPr>
            <w:tcW w:w="923" w:type="pct"/>
            <w:hideMark/>
          </w:tcPr>
          <w:p w14:paraId="46B6C5A6" w14:textId="77777777" w:rsidR="003C12F4" w:rsidRPr="003C12F4" w:rsidRDefault="003C12F4" w:rsidP="003C12F4">
            <w:pPr>
              <w:rPr>
                <w:rFonts w:ascii="Helvetica" w:hAnsi="Helvetica" w:cs="Helvetica"/>
              </w:rPr>
            </w:pPr>
            <w:r w:rsidRPr="003C12F4">
              <w:rPr>
                <w:rFonts w:ascii="Helvetica" w:hAnsi="Helvetica" w:cs="Helvetica"/>
                <w:color w:val="000000"/>
              </w:rPr>
              <w:t>2.58(1.50-4.43)</w:t>
            </w:r>
          </w:p>
        </w:tc>
        <w:tc>
          <w:tcPr>
            <w:tcW w:w="541" w:type="pct"/>
            <w:hideMark/>
          </w:tcPr>
          <w:p w14:paraId="6CC95615"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1ED0BE4E" w14:textId="77777777" w:rsidTr="003C12F4">
        <w:tc>
          <w:tcPr>
            <w:tcW w:w="1087" w:type="pct"/>
            <w:hideMark/>
          </w:tcPr>
          <w:p w14:paraId="0A1E41F7" w14:textId="77777777" w:rsidR="003C12F4" w:rsidRPr="003C12F4" w:rsidRDefault="003C12F4" w:rsidP="003C12F4">
            <w:pPr>
              <w:rPr>
                <w:rFonts w:ascii="Helvetica" w:hAnsi="Helvetica" w:cs="Helvetica"/>
              </w:rPr>
            </w:pPr>
            <w:r w:rsidRPr="003C12F4">
              <w:rPr>
                <w:rFonts w:ascii="Helvetica" w:hAnsi="Helvetica" w:cs="Helvetica"/>
              </w:rPr>
              <w:t>Western</w:t>
            </w:r>
          </w:p>
        </w:tc>
        <w:tc>
          <w:tcPr>
            <w:tcW w:w="637" w:type="pct"/>
            <w:hideMark/>
          </w:tcPr>
          <w:p w14:paraId="45D558EE" w14:textId="77777777" w:rsidR="003C12F4" w:rsidRPr="003C12F4" w:rsidRDefault="003C12F4" w:rsidP="003C12F4">
            <w:pPr>
              <w:rPr>
                <w:rFonts w:ascii="Helvetica" w:hAnsi="Helvetica" w:cs="Helvetica"/>
              </w:rPr>
            </w:pPr>
            <w:r w:rsidRPr="003C12F4">
              <w:rPr>
                <w:rFonts w:ascii="Helvetica" w:hAnsi="Helvetica" w:cs="Helvetica"/>
              </w:rPr>
              <w:t>0.69(0.56-0.84)</w:t>
            </w:r>
          </w:p>
        </w:tc>
        <w:tc>
          <w:tcPr>
            <w:tcW w:w="463" w:type="pct"/>
            <w:hideMark/>
          </w:tcPr>
          <w:p w14:paraId="24C175C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CCFF6E3" w14:textId="77777777" w:rsidR="003C12F4" w:rsidRPr="003C12F4" w:rsidRDefault="003C12F4" w:rsidP="003C12F4">
            <w:pPr>
              <w:rPr>
                <w:rFonts w:ascii="Helvetica" w:hAnsi="Helvetica" w:cs="Helvetica"/>
              </w:rPr>
            </w:pPr>
            <w:r w:rsidRPr="003C12F4">
              <w:rPr>
                <w:rFonts w:ascii="Helvetica" w:hAnsi="Helvetica" w:cs="Helvetica"/>
                <w:color w:val="000000"/>
              </w:rPr>
              <w:t>0.85(0.63-1.13)</w:t>
            </w:r>
          </w:p>
        </w:tc>
        <w:tc>
          <w:tcPr>
            <w:tcW w:w="481" w:type="pct"/>
            <w:hideMark/>
          </w:tcPr>
          <w:p w14:paraId="413F20A8" w14:textId="77777777" w:rsidR="003C12F4" w:rsidRPr="003C12F4" w:rsidRDefault="003C12F4" w:rsidP="003C12F4">
            <w:pPr>
              <w:rPr>
                <w:rFonts w:ascii="Helvetica" w:hAnsi="Helvetica" w:cs="Helvetica"/>
              </w:rPr>
            </w:pPr>
            <w:r w:rsidRPr="003C12F4">
              <w:rPr>
                <w:rFonts w:ascii="Helvetica" w:hAnsi="Helvetica" w:cs="Helvetica"/>
                <w:color w:val="000000"/>
              </w:rPr>
              <w:t>0.252</w:t>
            </w:r>
          </w:p>
        </w:tc>
        <w:tc>
          <w:tcPr>
            <w:tcW w:w="923" w:type="pct"/>
            <w:hideMark/>
          </w:tcPr>
          <w:p w14:paraId="2DD49DBB" w14:textId="77777777" w:rsidR="003C12F4" w:rsidRPr="003C12F4" w:rsidRDefault="003C12F4" w:rsidP="003C12F4">
            <w:pPr>
              <w:rPr>
                <w:rFonts w:ascii="Helvetica" w:hAnsi="Helvetica" w:cs="Helvetica"/>
              </w:rPr>
            </w:pPr>
            <w:r w:rsidRPr="003C12F4">
              <w:rPr>
                <w:rFonts w:ascii="Helvetica" w:hAnsi="Helvetica" w:cs="Helvetica"/>
                <w:color w:val="000000"/>
              </w:rPr>
              <w:t>1.36(0.82-2.25)</w:t>
            </w:r>
          </w:p>
        </w:tc>
        <w:tc>
          <w:tcPr>
            <w:tcW w:w="541" w:type="pct"/>
            <w:hideMark/>
          </w:tcPr>
          <w:p w14:paraId="50B3DA76" w14:textId="77777777" w:rsidR="003C12F4" w:rsidRPr="003C12F4" w:rsidRDefault="003C12F4" w:rsidP="003C12F4">
            <w:pPr>
              <w:rPr>
                <w:rFonts w:ascii="Helvetica" w:hAnsi="Helvetica" w:cs="Helvetica"/>
              </w:rPr>
            </w:pPr>
            <w:r w:rsidRPr="003C12F4">
              <w:rPr>
                <w:rFonts w:ascii="Helvetica" w:hAnsi="Helvetica" w:cs="Helvetica"/>
                <w:color w:val="000000"/>
              </w:rPr>
              <w:t>0.228</w:t>
            </w:r>
          </w:p>
        </w:tc>
      </w:tr>
      <w:tr w:rsidR="003C12F4" w:rsidRPr="003C12F4" w14:paraId="557D4EC1" w14:textId="77777777" w:rsidTr="003C12F4">
        <w:tc>
          <w:tcPr>
            <w:tcW w:w="1087" w:type="pct"/>
            <w:hideMark/>
          </w:tcPr>
          <w:p w14:paraId="49217D38" w14:textId="77777777" w:rsidR="003C12F4" w:rsidRPr="003C12F4" w:rsidRDefault="003C12F4" w:rsidP="003C12F4">
            <w:pPr>
              <w:rPr>
                <w:rFonts w:ascii="Helvetica" w:hAnsi="Helvetica" w:cs="Helvetica"/>
              </w:rPr>
            </w:pPr>
            <w:proofErr w:type="gramStart"/>
            <w:r w:rsidRPr="003C12F4">
              <w:rPr>
                <w:rFonts w:ascii="Helvetica" w:hAnsi="Helvetica" w:cs="Helvetica"/>
              </w:rPr>
              <w:t>North Eastern</w:t>
            </w:r>
            <w:proofErr w:type="gramEnd"/>
          </w:p>
        </w:tc>
        <w:tc>
          <w:tcPr>
            <w:tcW w:w="637" w:type="pct"/>
            <w:hideMark/>
          </w:tcPr>
          <w:p w14:paraId="24CDA0BE" w14:textId="77777777" w:rsidR="003C12F4" w:rsidRPr="003C12F4" w:rsidRDefault="003C12F4" w:rsidP="003C12F4">
            <w:pPr>
              <w:rPr>
                <w:rFonts w:ascii="Helvetica" w:hAnsi="Helvetica" w:cs="Helvetica"/>
              </w:rPr>
            </w:pPr>
            <w:r w:rsidRPr="003C12F4">
              <w:rPr>
                <w:rFonts w:ascii="Helvetica" w:hAnsi="Helvetica" w:cs="Helvetica"/>
              </w:rPr>
              <w:t>0.63(0.52-0.76)</w:t>
            </w:r>
          </w:p>
        </w:tc>
        <w:tc>
          <w:tcPr>
            <w:tcW w:w="463" w:type="pct"/>
            <w:hideMark/>
          </w:tcPr>
          <w:p w14:paraId="7F9C52D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B23F12E" w14:textId="77777777" w:rsidR="003C12F4" w:rsidRPr="003C12F4" w:rsidRDefault="003C12F4" w:rsidP="003C12F4">
            <w:pPr>
              <w:rPr>
                <w:rFonts w:ascii="Helvetica" w:hAnsi="Helvetica" w:cs="Helvetica"/>
              </w:rPr>
            </w:pPr>
            <w:r w:rsidRPr="003C12F4">
              <w:rPr>
                <w:rFonts w:ascii="Helvetica" w:hAnsi="Helvetica" w:cs="Helvetica"/>
                <w:color w:val="000000"/>
              </w:rPr>
              <w:t>0.88(0.67-1.14)</w:t>
            </w:r>
          </w:p>
        </w:tc>
        <w:tc>
          <w:tcPr>
            <w:tcW w:w="481" w:type="pct"/>
            <w:hideMark/>
          </w:tcPr>
          <w:p w14:paraId="1CE84628" w14:textId="77777777" w:rsidR="003C12F4" w:rsidRPr="003C12F4" w:rsidRDefault="003C12F4" w:rsidP="003C12F4">
            <w:pPr>
              <w:rPr>
                <w:rFonts w:ascii="Helvetica" w:hAnsi="Helvetica" w:cs="Helvetica"/>
              </w:rPr>
            </w:pPr>
            <w:r w:rsidRPr="003C12F4">
              <w:rPr>
                <w:rFonts w:ascii="Helvetica" w:hAnsi="Helvetica" w:cs="Helvetica"/>
                <w:color w:val="000000"/>
              </w:rPr>
              <w:t>0.331</w:t>
            </w:r>
          </w:p>
        </w:tc>
        <w:tc>
          <w:tcPr>
            <w:tcW w:w="923" w:type="pct"/>
            <w:hideMark/>
          </w:tcPr>
          <w:p w14:paraId="15D83B35" w14:textId="77777777" w:rsidR="003C12F4" w:rsidRPr="003C12F4" w:rsidRDefault="003C12F4" w:rsidP="003C12F4">
            <w:pPr>
              <w:rPr>
                <w:rFonts w:ascii="Helvetica" w:hAnsi="Helvetica" w:cs="Helvetica"/>
              </w:rPr>
            </w:pPr>
            <w:r w:rsidRPr="003C12F4">
              <w:rPr>
                <w:rFonts w:ascii="Helvetica" w:hAnsi="Helvetica" w:cs="Helvetica"/>
                <w:color w:val="000000"/>
              </w:rPr>
              <w:t>1.24(0.79-1.96)</w:t>
            </w:r>
          </w:p>
        </w:tc>
        <w:tc>
          <w:tcPr>
            <w:tcW w:w="541" w:type="pct"/>
            <w:hideMark/>
          </w:tcPr>
          <w:p w14:paraId="23642F75" w14:textId="77777777" w:rsidR="003C12F4" w:rsidRPr="003C12F4" w:rsidRDefault="003C12F4" w:rsidP="003C12F4">
            <w:pPr>
              <w:rPr>
                <w:rFonts w:ascii="Helvetica" w:hAnsi="Helvetica" w:cs="Helvetica"/>
              </w:rPr>
            </w:pPr>
            <w:r w:rsidRPr="003C12F4">
              <w:rPr>
                <w:rFonts w:ascii="Helvetica" w:hAnsi="Helvetica" w:cs="Helvetica"/>
                <w:color w:val="000000"/>
              </w:rPr>
              <w:t>0.348</w:t>
            </w:r>
          </w:p>
        </w:tc>
      </w:tr>
      <w:tr w:rsidR="003C12F4" w:rsidRPr="003C12F4" w14:paraId="722DB522" w14:textId="77777777" w:rsidTr="003C12F4">
        <w:tc>
          <w:tcPr>
            <w:tcW w:w="1087" w:type="pct"/>
            <w:hideMark/>
          </w:tcPr>
          <w:p w14:paraId="4343253E" w14:textId="77777777" w:rsidR="003C12F4" w:rsidRPr="003C12F4" w:rsidRDefault="003C12F4" w:rsidP="003C12F4">
            <w:pPr>
              <w:rPr>
                <w:rFonts w:ascii="Helvetica" w:hAnsi="Helvetica" w:cs="Helvetica"/>
              </w:rPr>
            </w:pPr>
            <w:r w:rsidRPr="003C12F4">
              <w:rPr>
                <w:rFonts w:ascii="Helvetica" w:hAnsi="Helvetica" w:cs="Helvetica"/>
              </w:rPr>
              <w:t>Nairobi</w:t>
            </w:r>
          </w:p>
        </w:tc>
        <w:tc>
          <w:tcPr>
            <w:tcW w:w="637" w:type="pct"/>
            <w:hideMark/>
          </w:tcPr>
          <w:p w14:paraId="01F8A148" w14:textId="5F83BD4B"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63" w:type="pct"/>
          </w:tcPr>
          <w:p w14:paraId="3A4FEDE5" w14:textId="77777777" w:rsidR="003C12F4" w:rsidRPr="003C12F4" w:rsidRDefault="003C12F4" w:rsidP="003C12F4">
            <w:pPr>
              <w:rPr>
                <w:rFonts w:ascii="Helvetica" w:hAnsi="Helvetica" w:cs="Helvetica"/>
              </w:rPr>
            </w:pPr>
          </w:p>
        </w:tc>
        <w:tc>
          <w:tcPr>
            <w:tcW w:w="868" w:type="pct"/>
            <w:hideMark/>
          </w:tcPr>
          <w:p w14:paraId="27664083" w14:textId="126FB367"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81" w:type="pct"/>
          </w:tcPr>
          <w:p w14:paraId="18C5B5A9" w14:textId="77777777" w:rsidR="003C12F4" w:rsidRPr="003C12F4" w:rsidRDefault="003C12F4" w:rsidP="003C12F4">
            <w:pPr>
              <w:rPr>
                <w:rFonts w:ascii="Helvetica" w:hAnsi="Helvetica" w:cs="Helvetica"/>
              </w:rPr>
            </w:pPr>
          </w:p>
        </w:tc>
        <w:tc>
          <w:tcPr>
            <w:tcW w:w="923" w:type="pct"/>
            <w:hideMark/>
          </w:tcPr>
          <w:p w14:paraId="73D6E697" w14:textId="18F3D9E4"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541" w:type="pct"/>
          </w:tcPr>
          <w:p w14:paraId="165912AA" w14:textId="77777777" w:rsidR="003C12F4" w:rsidRPr="003C12F4" w:rsidRDefault="003C12F4" w:rsidP="003C12F4">
            <w:pPr>
              <w:rPr>
                <w:rFonts w:ascii="Helvetica" w:hAnsi="Helvetica" w:cs="Helvetica"/>
              </w:rPr>
            </w:pPr>
          </w:p>
        </w:tc>
      </w:tr>
      <w:tr w:rsidR="003C12F4" w:rsidRPr="003C12F4" w14:paraId="1341FF22" w14:textId="77777777" w:rsidTr="003C12F4">
        <w:tc>
          <w:tcPr>
            <w:tcW w:w="1087" w:type="pct"/>
            <w:hideMark/>
          </w:tcPr>
          <w:p w14:paraId="5E8ACE17" w14:textId="77777777" w:rsidR="003C12F4" w:rsidRPr="003C12F4" w:rsidRDefault="003C12F4" w:rsidP="003C12F4">
            <w:pPr>
              <w:rPr>
                <w:rFonts w:ascii="Helvetica" w:hAnsi="Helvetica" w:cs="Helvetica"/>
                <w:b/>
                <w:bCs/>
              </w:rPr>
            </w:pPr>
            <w:r w:rsidRPr="003C12F4">
              <w:rPr>
                <w:rFonts w:ascii="Helvetica" w:hAnsi="Helvetica" w:cs="Helvetica"/>
                <w:b/>
                <w:bCs/>
              </w:rPr>
              <w:t>Delivery place</w:t>
            </w:r>
          </w:p>
        </w:tc>
        <w:tc>
          <w:tcPr>
            <w:tcW w:w="637" w:type="pct"/>
          </w:tcPr>
          <w:p w14:paraId="0E112233" w14:textId="77777777" w:rsidR="003C12F4" w:rsidRPr="003C12F4" w:rsidRDefault="003C12F4" w:rsidP="003C12F4">
            <w:pPr>
              <w:rPr>
                <w:rFonts w:ascii="Helvetica" w:hAnsi="Helvetica" w:cs="Helvetica"/>
              </w:rPr>
            </w:pPr>
          </w:p>
        </w:tc>
        <w:tc>
          <w:tcPr>
            <w:tcW w:w="463" w:type="pct"/>
          </w:tcPr>
          <w:p w14:paraId="4259A9D6" w14:textId="77777777" w:rsidR="003C12F4" w:rsidRPr="003C12F4" w:rsidRDefault="003C12F4" w:rsidP="003C12F4">
            <w:pPr>
              <w:rPr>
                <w:rFonts w:ascii="Helvetica" w:hAnsi="Helvetica" w:cs="Helvetica"/>
              </w:rPr>
            </w:pPr>
          </w:p>
        </w:tc>
        <w:tc>
          <w:tcPr>
            <w:tcW w:w="868" w:type="pct"/>
          </w:tcPr>
          <w:p w14:paraId="04D55023" w14:textId="77777777" w:rsidR="003C12F4" w:rsidRPr="003C12F4" w:rsidRDefault="003C12F4" w:rsidP="003C12F4">
            <w:pPr>
              <w:rPr>
                <w:rFonts w:ascii="Helvetica" w:hAnsi="Helvetica" w:cs="Helvetica"/>
              </w:rPr>
            </w:pPr>
          </w:p>
        </w:tc>
        <w:tc>
          <w:tcPr>
            <w:tcW w:w="481" w:type="pct"/>
          </w:tcPr>
          <w:p w14:paraId="066FF695" w14:textId="77777777" w:rsidR="003C12F4" w:rsidRPr="003C12F4" w:rsidRDefault="003C12F4" w:rsidP="003C12F4">
            <w:pPr>
              <w:rPr>
                <w:rFonts w:ascii="Helvetica" w:hAnsi="Helvetica" w:cs="Helvetica"/>
              </w:rPr>
            </w:pPr>
          </w:p>
        </w:tc>
        <w:tc>
          <w:tcPr>
            <w:tcW w:w="923" w:type="pct"/>
          </w:tcPr>
          <w:p w14:paraId="10535785" w14:textId="77777777" w:rsidR="003C12F4" w:rsidRPr="003C12F4" w:rsidRDefault="003C12F4" w:rsidP="003C12F4">
            <w:pPr>
              <w:rPr>
                <w:rFonts w:ascii="Helvetica" w:hAnsi="Helvetica" w:cs="Helvetica"/>
              </w:rPr>
            </w:pPr>
          </w:p>
        </w:tc>
        <w:tc>
          <w:tcPr>
            <w:tcW w:w="541" w:type="pct"/>
          </w:tcPr>
          <w:p w14:paraId="6851554B" w14:textId="77777777" w:rsidR="003C12F4" w:rsidRPr="003C12F4" w:rsidRDefault="003C12F4" w:rsidP="003C12F4">
            <w:pPr>
              <w:rPr>
                <w:rFonts w:ascii="Helvetica" w:hAnsi="Helvetica" w:cs="Helvetica"/>
              </w:rPr>
            </w:pPr>
          </w:p>
        </w:tc>
      </w:tr>
      <w:tr w:rsidR="003C12F4" w:rsidRPr="003C12F4" w14:paraId="01325539" w14:textId="77777777" w:rsidTr="003C12F4">
        <w:tc>
          <w:tcPr>
            <w:tcW w:w="1087" w:type="pct"/>
            <w:hideMark/>
          </w:tcPr>
          <w:p w14:paraId="65E56981" w14:textId="77777777" w:rsidR="003C12F4" w:rsidRPr="003C12F4" w:rsidRDefault="003C12F4" w:rsidP="003C12F4">
            <w:pPr>
              <w:rPr>
                <w:rFonts w:ascii="Helvetica" w:hAnsi="Helvetica" w:cs="Helvetica"/>
              </w:rPr>
            </w:pPr>
            <w:r w:rsidRPr="003C12F4">
              <w:rPr>
                <w:rFonts w:ascii="Helvetica" w:hAnsi="Helvetica" w:cs="Helvetica"/>
              </w:rPr>
              <w:t>Respondent’s home</w:t>
            </w:r>
          </w:p>
        </w:tc>
        <w:tc>
          <w:tcPr>
            <w:tcW w:w="637" w:type="pct"/>
            <w:hideMark/>
          </w:tcPr>
          <w:p w14:paraId="2D0D75DF" w14:textId="77777777" w:rsidR="003C12F4" w:rsidRPr="003C12F4" w:rsidRDefault="003C12F4" w:rsidP="003C12F4">
            <w:pPr>
              <w:rPr>
                <w:rFonts w:ascii="Helvetica" w:hAnsi="Helvetica" w:cs="Helvetica"/>
              </w:rPr>
            </w:pPr>
            <w:r w:rsidRPr="003C12F4">
              <w:rPr>
                <w:rFonts w:ascii="Helvetica" w:hAnsi="Helvetica" w:cs="Helvetica"/>
              </w:rPr>
              <w:t>0.29(0.17-0.51)</w:t>
            </w:r>
          </w:p>
        </w:tc>
        <w:tc>
          <w:tcPr>
            <w:tcW w:w="463" w:type="pct"/>
            <w:hideMark/>
          </w:tcPr>
          <w:p w14:paraId="786FB71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0CFC757" w14:textId="77777777" w:rsidR="003C12F4" w:rsidRPr="003C12F4" w:rsidRDefault="003C12F4" w:rsidP="003C12F4">
            <w:pPr>
              <w:rPr>
                <w:rFonts w:ascii="Helvetica" w:hAnsi="Helvetica" w:cs="Helvetica"/>
              </w:rPr>
            </w:pPr>
            <w:r w:rsidRPr="003C12F4">
              <w:rPr>
                <w:rFonts w:ascii="Helvetica" w:hAnsi="Helvetica" w:cs="Helvetica"/>
                <w:color w:val="000000"/>
              </w:rPr>
              <w:t>0.03()0.01-0.06</w:t>
            </w:r>
          </w:p>
        </w:tc>
        <w:tc>
          <w:tcPr>
            <w:tcW w:w="481" w:type="pct"/>
            <w:hideMark/>
          </w:tcPr>
          <w:p w14:paraId="6E1F5AA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3E590DC"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541" w:type="pct"/>
            <w:hideMark/>
          </w:tcPr>
          <w:p w14:paraId="58F319D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FD15127" w14:textId="77777777" w:rsidTr="003C12F4">
        <w:tc>
          <w:tcPr>
            <w:tcW w:w="1087" w:type="pct"/>
            <w:hideMark/>
          </w:tcPr>
          <w:p w14:paraId="02FC2D93" w14:textId="77777777" w:rsidR="003C12F4" w:rsidRPr="003C12F4" w:rsidRDefault="003C12F4" w:rsidP="003C12F4">
            <w:pPr>
              <w:rPr>
                <w:rFonts w:ascii="Helvetica" w:hAnsi="Helvetica" w:cs="Helvetica"/>
              </w:rPr>
            </w:pPr>
            <w:r w:rsidRPr="003C12F4">
              <w:rPr>
                <w:rFonts w:ascii="Helvetica" w:hAnsi="Helvetica" w:cs="Helvetica"/>
              </w:rPr>
              <w:t>Other home</w:t>
            </w:r>
          </w:p>
        </w:tc>
        <w:tc>
          <w:tcPr>
            <w:tcW w:w="637" w:type="pct"/>
            <w:hideMark/>
          </w:tcPr>
          <w:p w14:paraId="1F6D06EB" w14:textId="77777777" w:rsidR="003C12F4" w:rsidRPr="003C12F4" w:rsidRDefault="003C12F4" w:rsidP="003C12F4">
            <w:pPr>
              <w:rPr>
                <w:rFonts w:ascii="Helvetica" w:hAnsi="Helvetica" w:cs="Helvetica"/>
              </w:rPr>
            </w:pPr>
            <w:r w:rsidRPr="003C12F4">
              <w:rPr>
                <w:rFonts w:ascii="Helvetica" w:hAnsi="Helvetica" w:cs="Helvetica"/>
              </w:rPr>
              <w:t>0.30(0.17-0.53)</w:t>
            </w:r>
          </w:p>
        </w:tc>
        <w:tc>
          <w:tcPr>
            <w:tcW w:w="463" w:type="pct"/>
            <w:hideMark/>
          </w:tcPr>
          <w:p w14:paraId="34AF3249"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028DB98"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7A7D39D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3120A035"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4BAEE69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613A1346" w14:textId="77777777" w:rsidTr="003C12F4">
        <w:tc>
          <w:tcPr>
            <w:tcW w:w="1087" w:type="pct"/>
            <w:hideMark/>
          </w:tcPr>
          <w:p w14:paraId="6C230947" w14:textId="77777777" w:rsidR="003C12F4" w:rsidRPr="003C12F4" w:rsidRDefault="003C12F4" w:rsidP="003C12F4">
            <w:pPr>
              <w:rPr>
                <w:rFonts w:ascii="Helvetica" w:hAnsi="Helvetica" w:cs="Helvetica"/>
              </w:rPr>
            </w:pPr>
            <w:r w:rsidRPr="003C12F4">
              <w:rPr>
                <w:rFonts w:ascii="Helvetica" w:hAnsi="Helvetica" w:cs="Helvetica"/>
              </w:rPr>
              <w:t>Govt. hospital</w:t>
            </w:r>
          </w:p>
        </w:tc>
        <w:tc>
          <w:tcPr>
            <w:tcW w:w="637" w:type="pct"/>
            <w:hideMark/>
          </w:tcPr>
          <w:p w14:paraId="1727C6E8" w14:textId="77777777" w:rsidR="003C12F4" w:rsidRPr="003C12F4" w:rsidRDefault="003C12F4" w:rsidP="003C12F4">
            <w:pPr>
              <w:rPr>
                <w:rFonts w:ascii="Helvetica" w:hAnsi="Helvetica" w:cs="Helvetica"/>
              </w:rPr>
            </w:pPr>
            <w:r w:rsidRPr="003C12F4">
              <w:rPr>
                <w:rFonts w:ascii="Helvetica" w:hAnsi="Helvetica" w:cs="Helvetica"/>
              </w:rPr>
              <w:t>0.24(0.14-0.41)</w:t>
            </w:r>
          </w:p>
        </w:tc>
        <w:tc>
          <w:tcPr>
            <w:tcW w:w="463" w:type="pct"/>
            <w:hideMark/>
          </w:tcPr>
          <w:p w14:paraId="6C066B2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D498BD6"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986747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562F16BB"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6787D6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F00E7C5" w14:textId="77777777" w:rsidTr="003C12F4">
        <w:tc>
          <w:tcPr>
            <w:tcW w:w="1087" w:type="pct"/>
            <w:hideMark/>
          </w:tcPr>
          <w:p w14:paraId="0C02520E" w14:textId="77777777" w:rsidR="003C12F4" w:rsidRPr="003C12F4" w:rsidRDefault="003C12F4" w:rsidP="003C12F4">
            <w:pPr>
              <w:rPr>
                <w:rFonts w:ascii="Helvetica" w:hAnsi="Helvetica" w:cs="Helvetica"/>
              </w:rPr>
            </w:pPr>
            <w:r w:rsidRPr="003C12F4">
              <w:rPr>
                <w:rFonts w:ascii="Helvetica" w:hAnsi="Helvetica" w:cs="Helvetica"/>
              </w:rPr>
              <w:t>Govt. health center</w:t>
            </w:r>
          </w:p>
        </w:tc>
        <w:tc>
          <w:tcPr>
            <w:tcW w:w="637" w:type="pct"/>
            <w:hideMark/>
          </w:tcPr>
          <w:p w14:paraId="50128C98" w14:textId="77777777" w:rsidR="003C12F4" w:rsidRPr="003C12F4" w:rsidRDefault="003C12F4" w:rsidP="003C12F4">
            <w:pPr>
              <w:rPr>
                <w:rFonts w:ascii="Helvetica" w:hAnsi="Helvetica" w:cs="Helvetica"/>
              </w:rPr>
            </w:pPr>
            <w:r w:rsidRPr="003C12F4">
              <w:rPr>
                <w:rFonts w:ascii="Helvetica" w:hAnsi="Helvetica" w:cs="Helvetica"/>
              </w:rPr>
              <w:t>0.27(0.15-0.46)</w:t>
            </w:r>
          </w:p>
        </w:tc>
        <w:tc>
          <w:tcPr>
            <w:tcW w:w="463" w:type="pct"/>
            <w:hideMark/>
          </w:tcPr>
          <w:p w14:paraId="72A8952F"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870107A"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0E35017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2854630"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6DE255C2"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39E7317" w14:textId="77777777" w:rsidTr="003C12F4">
        <w:tc>
          <w:tcPr>
            <w:tcW w:w="1087" w:type="pct"/>
            <w:hideMark/>
          </w:tcPr>
          <w:p w14:paraId="00C82073" w14:textId="77777777" w:rsidR="003C12F4" w:rsidRPr="003C12F4" w:rsidRDefault="003C12F4" w:rsidP="003C12F4">
            <w:pPr>
              <w:rPr>
                <w:rFonts w:ascii="Helvetica" w:hAnsi="Helvetica" w:cs="Helvetica"/>
              </w:rPr>
            </w:pPr>
            <w:r w:rsidRPr="003C12F4">
              <w:rPr>
                <w:rFonts w:ascii="Helvetica" w:hAnsi="Helvetica" w:cs="Helvetica"/>
              </w:rPr>
              <w:t>Govt. health post</w:t>
            </w:r>
          </w:p>
        </w:tc>
        <w:tc>
          <w:tcPr>
            <w:tcW w:w="637" w:type="pct"/>
            <w:hideMark/>
          </w:tcPr>
          <w:p w14:paraId="189191E1" w14:textId="77777777" w:rsidR="003C12F4" w:rsidRPr="003C12F4" w:rsidRDefault="003C12F4" w:rsidP="003C12F4">
            <w:pPr>
              <w:rPr>
                <w:rFonts w:ascii="Helvetica" w:hAnsi="Helvetica" w:cs="Helvetica"/>
              </w:rPr>
            </w:pPr>
            <w:r w:rsidRPr="003C12F4">
              <w:rPr>
                <w:rFonts w:ascii="Helvetica" w:hAnsi="Helvetica" w:cs="Helvetica"/>
              </w:rPr>
              <w:t>0.22(0.12-0.39)</w:t>
            </w:r>
          </w:p>
        </w:tc>
        <w:tc>
          <w:tcPr>
            <w:tcW w:w="463" w:type="pct"/>
            <w:hideMark/>
          </w:tcPr>
          <w:p w14:paraId="23961DC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1008995"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CAB031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67A359EE" w14:textId="77777777" w:rsidR="003C12F4" w:rsidRPr="003C12F4" w:rsidRDefault="003C12F4" w:rsidP="003C12F4">
            <w:pPr>
              <w:rPr>
                <w:rFonts w:ascii="Helvetica" w:hAnsi="Helvetica" w:cs="Helvetica"/>
              </w:rPr>
            </w:pPr>
            <w:r w:rsidRPr="003C12F4">
              <w:rPr>
                <w:rFonts w:ascii="Helvetica" w:hAnsi="Helvetica" w:cs="Helvetica"/>
                <w:color w:val="000000"/>
              </w:rPr>
              <w:t>0.02(0.01-0.08)</w:t>
            </w:r>
          </w:p>
        </w:tc>
        <w:tc>
          <w:tcPr>
            <w:tcW w:w="541" w:type="pct"/>
            <w:hideMark/>
          </w:tcPr>
          <w:p w14:paraId="00BDFCF8"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7FE729EA" w14:textId="77777777" w:rsidTr="003C12F4">
        <w:tc>
          <w:tcPr>
            <w:tcW w:w="1087" w:type="pct"/>
            <w:hideMark/>
          </w:tcPr>
          <w:p w14:paraId="40B1E74A" w14:textId="77777777" w:rsidR="003C12F4" w:rsidRPr="003C12F4" w:rsidRDefault="003C12F4" w:rsidP="003C12F4">
            <w:pPr>
              <w:rPr>
                <w:rFonts w:ascii="Helvetica" w:hAnsi="Helvetica" w:cs="Helvetica"/>
              </w:rPr>
            </w:pPr>
            <w:r w:rsidRPr="003C12F4">
              <w:rPr>
                <w:rFonts w:ascii="Helvetica" w:hAnsi="Helvetica" w:cs="Helvetica"/>
              </w:rPr>
              <w:t>Govt. dispensary</w:t>
            </w:r>
          </w:p>
        </w:tc>
        <w:tc>
          <w:tcPr>
            <w:tcW w:w="637" w:type="pct"/>
            <w:hideMark/>
          </w:tcPr>
          <w:p w14:paraId="0402CE20" w14:textId="77777777" w:rsidR="003C12F4" w:rsidRPr="003C12F4" w:rsidRDefault="003C12F4" w:rsidP="003C12F4">
            <w:pPr>
              <w:rPr>
                <w:rFonts w:ascii="Helvetica" w:hAnsi="Helvetica" w:cs="Helvetica"/>
              </w:rPr>
            </w:pPr>
            <w:r w:rsidRPr="003C12F4">
              <w:rPr>
                <w:rFonts w:ascii="Helvetica" w:hAnsi="Helvetica" w:cs="Helvetica"/>
              </w:rPr>
              <w:t>0.19(0.07-0.49)</w:t>
            </w:r>
          </w:p>
        </w:tc>
        <w:tc>
          <w:tcPr>
            <w:tcW w:w="463" w:type="pct"/>
            <w:hideMark/>
          </w:tcPr>
          <w:p w14:paraId="7AAA61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5642309"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1DA0FC8B"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405261B"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493A9D6" w14:textId="77777777" w:rsidR="003C12F4" w:rsidRPr="003C12F4" w:rsidRDefault="003C12F4" w:rsidP="003C12F4">
            <w:pPr>
              <w:rPr>
                <w:rFonts w:ascii="Helvetica" w:hAnsi="Helvetica" w:cs="Helvetica"/>
              </w:rPr>
            </w:pPr>
          </w:p>
        </w:tc>
      </w:tr>
      <w:tr w:rsidR="003C12F4" w:rsidRPr="003C12F4" w14:paraId="74397AC2" w14:textId="77777777" w:rsidTr="003C12F4">
        <w:tc>
          <w:tcPr>
            <w:tcW w:w="1087" w:type="pct"/>
            <w:hideMark/>
          </w:tcPr>
          <w:p w14:paraId="623FF888" w14:textId="77777777" w:rsidR="003C12F4" w:rsidRPr="003C12F4" w:rsidRDefault="003C12F4" w:rsidP="003C12F4">
            <w:pPr>
              <w:rPr>
                <w:rFonts w:ascii="Helvetica" w:hAnsi="Helvetica" w:cs="Helvetica"/>
              </w:rPr>
            </w:pPr>
            <w:r w:rsidRPr="003C12F4">
              <w:rPr>
                <w:rFonts w:ascii="Helvetica" w:hAnsi="Helvetica" w:cs="Helvetica"/>
              </w:rPr>
              <w:t>Other public</w:t>
            </w:r>
          </w:p>
        </w:tc>
        <w:tc>
          <w:tcPr>
            <w:tcW w:w="637" w:type="pct"/>
            <w:hideMark/>
          </w:tcPr>
          <w:p w14:paraId="4B2E636E" w14:textId="77777777" w:rsidR="003C12F4" w:rsidRPr="003C12F4" w:rsidRDefault="003C12F4" w:rsidP="003C12F4">
            <w:pPr>
              <w:rPr>
                <w:rFonts w:ascii="Helvetica" w:hAnsi="Helvetica" w:cs="Helvetica"/>
              </w:rPr>
            </w:pPr>
            <w:r w:rsidRPr="003C12F4">
              <w:rPr>
                <w:rFonts w:ascii="Helvetica" w:hAnsi="Helvetica" w:cs="Helvetica"/>
              </w:rPr>
              <w:t>0.78(0.22-2.86)</w:t>
            </w:r>
          </w:p>
        </w:tc>
        <w:tc>
          <w:tcPr>
            <w:tcW w:w="463" w:type="pct"/>
            <w:hideMark/>
          </w:tcPr>
          <w:p w14:paraId="4DA94DA0" w14:textId="77777777" w:rsidR="003C12F4" w:rsidRPr="003C12F4" w:rsidRDefault="003C12F4" w:rsidP="003C12F4">
            <w:pPr>
              <w:rPr>
                <w:rFonts w:ascii="Helvetica" w:hAnsi="Helvetica" w:cs="Helvetica"/>
              </w:rPr>
            </w:pPr>
            <w:r w:rsidRPr="003C12F4">
              <w:rPr>
                <w:rFonts w:ascii="Helvetica" w:hAnsi="Helvetica" w:cs="Helvetica"/>
              </w:rPr>
              <w:t>0.718</w:t>
            </w:r>
          </w:p>
        </w:tc>
        <w:tc>
          <w:tcPr>
            <w:tcW w:w="868" w:type="pct"/>
            <w:hideMark/>
          </w:tcPr>
          <w:p w14:paraId="7313C4B8" w14:textId="77777777" w:rsidR="003C12F4" w:rsidRPr="003C12F4" w:rsidRDefault="003C12F4" w:rsidP="003C12F4">
            <w:pPr>
              <w:rPr>
                <w:rFonts w:ascii="Helvetica" w:hAnsi="Helvetica" w:cs="Helvetica"/>
              </w:rPr>
            </w:pPr>
            <w:r w:rsidRPr="003C12F4">
              <w:rPr>
                <w:rFonts w:ascii="Helvetica" w:hAnsi="Helvetica" w:cs="Helvetica"/>
                <w:color w:val="000000"/>
              </w:rPr>
              <w:t>0.07(0.02-0.32)</w:t>
            </w:r>
          </w:p>
        </w:tc>
        <w:tc>
          <w:tcPr>
            <w:tcW w:w="481" w:type="pct"/>
            <w:hideMark/>
          </w:tcPr>
          <w:p w14:paraId="586EBFA1"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c>
          <w:tcPr>
            <w:tcW w:w="923" w:type="pct"/>
            <w:hideMark/>
          </w:tcPr>
          <w:p w14:paraId="2BBA55D6" w14:textId="77777777" w:rsidR="003C12F4" w:rsidRPr="003C12F4" w:rsidRDefault="003C12F4" w:rsidP="003C12F4">
            <w:pPr>
              <w:rPr>
                <w:rFonts w:ascii="Helvetica" w:hAnsi="Helvetica" w:cs="Helvetica"/>
              </w:rPr>
            </w:pPr>
            <w:r w:rsidRPr="003C12F4">
              <w:rPr>
                <w:rFonts w:ascii="Helvetica" w:hAnsi="Helvetica" w:cs="Helvetica"/>
                <w:color w:val="000000"/>
              </w:rPr>
              <w:t>0.03(0.00-0.22)</w:t>
            </w:r>
          </w:p>
        </w:tc>
        <w:tc>
          <w:tcPr>
            <w:tcW w:w="541" w:type="pct"/>
            <w:hideMark/>
          </w:tcPr>
          <w:p w14:paraId="267BBE1F"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65BD3869" w14:textId="77777777" w:rsidTr="003C12F4">
        <w:tc>
          <w:tcPr>
            <w:tcW w:w="1087" w:type="pct"/>
            <w:hideMark/>
          </w:tcPr>
          <w:p w14:paraId="5C2759F6" w14:textId="77777777" w:rsidR="003C12F4" w:rsidRPr="003C12F4" w:rsidRDefault="003C12F4" w:rsidP="003C12F4">
            <w:pPr>
              <w:rPr>
                <w:rFonts w:ascii="Helvetica" w:hAnsi="Helvetica" w:cs="Helvetica"/>
              </w:rPr>
            </w:pPr>
            <w:r w:rsidRPr="003C12F4">
              <w:rPr>
                <w:rFonts w:ascii="Helvetica" w:hAnsi="Helvetica" w:cs="Helvetica"/>
              </w:rPr>
              <w:t>Private hospital/clinic</w:t>
            </w:r>
          </w:p>
        </w:tc>
        <w:tc>
          <w:tcPr>
            <w:tcW w:w="637" w:type="pct"/>
            <w:hideMark/>
          </w:tcPr>
          <w:p w14:paraId="6CB32B60" w14:textId="77777777" w:rsidR="003C12F4" w:rsidRPr="003C12F4" w:rsidRDefault="003C12F4" w:rsidP="003C12F4">
            <w:pPr>
              <w:rPr>
                <w:rFonts w:ascii="Helvetica" w:hAnsi="Helvetica" w:cs="Helvetica"/>
              </w:rPr>
            </w:pPr>
            <w:r w:rsidRPr="003C12F4">
              <w:rPr>
                <w:rFonts w:ascii="Helvetica" w:hAnsi="Helvetica" w:cs="Helvetica"/>
              </w:rPr>
              <w:t>0.21(0.12-0.36)</w:t>
            </w:r>
          </w:p>
        </w:tc>
        <w:tc>
          <w:tcPr>
            <w:tcW w:w="463" w:type="pct"/>
            <w:hideMark/>
          </w:tcPr>
          <w:p w14:paraId="3093E921"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35635627"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3EECF4B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756641" w14:textId="77777777" w:rsidR="003C12F4" w:rsidRPr="003C12F4" w:rsidRDefault="003C12F4" w:rsidP="003C12F4">
            <w:pPr>
              <w:rPr>
                <w:rFonts w:ascii="Helvetica" w:hAnsi="Helvetica" w:cs="Helvetica"/>
              </w:rPr>
            </w:pPr>
            <w:r w:rsidRPr="003C12F4">
              <w:rPr>
                <w:rFonts w:ascii="Helvetica" w:hAnsi="Helvetica" w:cs="Helvetica"/>
                <w:color w:val="000000"/>
              </w:rPr>
              <w:t>0.01(0.00-0.03)</w:t>
            </w:r>
          </w:p>
        </w:tc>
        <w:tc>
          <w:tcPr>
            <w:tcW w:w="541" w:type="pct"/>
            <w:hideMark/>
          </w:tcPr>
          <w:p w14:paraId="69E0878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43012069" w14:textId="77777777" w:rsidTr="003C12F4">
        <w:tc>
          <w:tcPr>
            <w:tcW w:w="1087" w:type="pct"/>
            <w:hideMark/>
          </w:tcPr>
          <w:p w14:paraId="272A0E94" w14:textId="77777777" w:rsidR="003C12F4" w:rsidRPr="003C12F4" w:rsidRDefault="003C12F4" w:rsidP="003C12F4">
            <w:pPr>
              <w:rPr>
                <w:rFonts w:ascii="Helvetica" w:hAnsi="Helvetica" w:cs="Helvetica"/>
              </w:rPr>
            </w:pPr>
            <w:r w:rsidRPr="003C12F4">
              <w:rPr>
                <w:rFonts w:ascii="Helvetica" w:hAnsi="Helvetica" w:cs="Helvetica"/>
              </w:rPr>
              <w:t>Mission Hospital/clinic</w:t>
            </w:r>
          </w:p>
        </w:tc>
        <w:tc>
          <w:tcPr>
            <w:tcW w:w="637" w:type="pct"/>
            <w:hideMark/>
          </w:tcPr>
          <w:p w14:paraId="137E15F7" w14:textId="77777777" w:rsidR="003C12F4" w:rsidRPr="003C12F4" w:rsidRDefault="003C12F4" w:rsidP="003C12F4">
            <w:pPr>
              <w:rPr>
                <w:rFonts w:ascii="Helvetica" w:hAnsi="Helvetica" w:cs="Helvetica"/>
              </w:rPr>
            </w:pPr>
            <w:r w:rsidRPr="003C12F4">
              <w:rPr>
                <w:rFonts w:ascii="Helvetica" w:hAnsi="Helvetica" w:cs="Helvetica"/>
              </w:rPr>
              <w:t>0.26(0.14-0.45)</w:t>
            </w:r>
          </w:p>
        </w:tc>
        <w:tc>
          <w:tcPr>
            <w:tcW w:w="463" w:type="pct"/>
            <w:hideMark/>
          </w:tcPr>
          <w:p w14:paraId="671D622B"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6D4C09B9"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191DF2F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CFE07C1"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287C48C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C649B04" w14:textId="77777777" w:rsidTr="003C12F4">
        <w:tc>
          <w:tcPr>
            <w:tcW w:w="1087" w:type="pct"/>
            <w:hideMark/>
          </w:tcPr>
          <w:p w14:paraId="1D452A5F" w14:textId="77777777" w:rsidR="003C12F4" w:rsidRPr="003C12F4" w:rsidRDefault="003C12F4" w:rsidP="003C12F4">
            <w:pPr>
              <w:rPr>
                <w:rFonts w:ascii="Helvetica" w:hAnsi="Helvetica" w:cs="Helvetica"/>
              </w:rPr>
            </w:pPr>
            <w:r w:rsidRPr="003C12F4">
              <w:rPr>
                <w:rFonts w:ascii="Helvetica" w:hAnsi="Helvetica" w:cs="Helvetica"/>
              </w:rPr>
              <w:t>Nursing/maternity home</w:t>
            </w:r>
          </w:p>
        </w:tc>
        <w:tc>
          <w:tcPr>
            <w:tcW w:w="637" w:type="pct"/>
            <w:hideMark/>
          </w:tcPr>
          <w:p w14:paraId="01774A45" w14:textId="77777777" w:rsidR="003C12F4" w:rsidRPr="003C12F4" w:rsidRDefault="003C12F4" w:rsidP="003C12F4">
            <w:pPr>
              <w:rPr>
                <w:rFonts w:ascii="Helvetica" w:hAnsi="Helvetica" w:cs="Helvetica"/>
              </w:rPr>
            </w:pPr>
            <w:r w:rsidRPr="003C12F4">
              <w:rPr>
                <w:rFonts w:ascii="Helvetica" w:hAnsi="Helvetica" w:cs="Helvetica"/>
              </w:rPr>
              <w:t>0.27(0.11-0.64)</w:t>
            </w:r>
          </w:p>
        </w:tc>
        <w:tc>
          <w:tcPr>
            <w:tcW w:w="463" w:type="pct"/>
            <w:hideMark/>
          </w:tcPr>
          <w:p w14:paraId="5868DEAE" w14:textId="77777777" w:rsidR="003C12F4" w:rsidRPr="003C12F4" w:rsidRDefault="003C12F4" w:rsidP="003C12F4">
            <w:pPr>
              <w:rPr>
                <w:rFonts w:ascii="Helvetica" w:hAnsi="Helvetica" w:cs="Helvetica"/>
              </w:rPr>
            </w:pPr>
            <w:r w:rsidRPr="003C12F4">
              <w:rPr>
                <w:rFonts w:ascii="Helvetica" w:hAnsi="Helvetica" w:cs="Helvetica"/>
              </w:rPr>
              <w:t>&lt;0.003</w:t>
            </w:r>
          </w:p>
        </w:tc>
        <w:tc>
          <w:tcPr>
            <w:tcW w:w="868" w:type="pct"/>
            <w:hideMark/>
          </w:tcPr>
          <w:p w14:paraId="4A339A18"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38AB6AB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294905" w14:textId="77777777" w:rsidR="003C12F4" w:rsidRPr="003C12F4" w:rsidRDefault="003C12F4" w:rsidP="003C12F4">
            <w:pPr>
              <w:rPr>
                <w:rFonts w:ascii="Helvetica" w:hAnsi="Helvetica" w:cs="Helvetica"/>
              </w:rPr>
            </w:pPr>
            <w:r w:rsidRPr="003C12F4">
              <w:rPr>
                <w:rFonts w:ascii="Helvetica" w:hAnsi="Helvetica" w:cs="Helvetica"/>
                <w:color w:val="000000"/>
              </w:rPr>
              <w:t>0.00(0.00-0.00)</w:t>
            </w:r>
          </w:p>
        </w:tc>
        <w:tc>
          <w:tcPr>
            <w:tcW w:w="541" w:type="pct"/>
            <w:hideMark/>
          </w:tcPr>
          <w:p w14:paraId="01E2FF3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0B70473" w14:textId="77777777" w:rsidTr="003C12F4">
        <w:tc>
          <w:tcPr>
            <w:tcW w:w="1087" w:type="pct"/>
            <w:hideMark/>
          </w:tcPr>
          <w:p w14:paraId="3A9BECB4" w14:textId="77777777" w:rsidR="003C12F4" w:rsidRPr="003C12F4" w:rsidRDefault="003C12F4" w:rsidP="003C12F4">
            <w:pPr>
              <w:rPr>
                <w:rFonts w:ascii="Helvetica" w:hAnsi="Helvetica" w:cs="Helvetica"/>
              </w:rPr>
            </w:pPr>
            <w:r w:rsidRPr="003C12F4">
              <w:rPr>
                <w:rFonts w:ascii="Helvetica" w:hAnsi="Helvetica" w:cs="Helvetica"/>
              </w:rPr>
              <w:t>Other private medica</w:t>
            </w:r>
          </w:p>
        </w:tc>
        <w:tc>
          <w:tcPr>
            <w:tcW w:w="637" w:type="pct"/>
            <w:hideMark/>
          </w:tcPr>
          <w:p w14:paraId="0AD496BA" w14:textId="77777777" w:rsidR="003C12F4" w:rsidRPr="003C12F4" w:rsidRDefault="003C12F4" w:rsidP="003C12F4">
            <w:pPr>
              <w:rPr>
                <w:rFonts w:ascii="Helvetica" w:hAnsi="Helvetica" w:cs="Helvetica"/>
              </w:rPr>
            </w:pPr>
            <w:r w:rsidRPr="003C12F4">
              <w:rPr>
                <w:rFonts w:ascii="Helvetica" w:hAnsi="Helvetica" w:cs="Helvetica"/>
              </w:rPr>
              <w:t>0.35(0.05-2.51)</w:t>
            </w:r>
          </w:p>
        </w:tc>
        <w:tc>
          <w:tcPr>
            <w:tcW w:w="463" w:type="pct"/>
            <w:hideMark/>
          </w:tcPr>
          <w:p w14:paraId="18A70F2D" w14:textId="77777777" w:rsidR="003C12F4" w:rsidRPr="003C12F4" w:rsidRDefault="003C12F4" w:rsidP="003C12F4">
            <w:pPr>
              <w:rPr>
                <w:rFonts w:ascii="Helvetica" w:hAnsi="Helvetica" w:cs="Helvetica"/>
              </w:rPr>
            </w:pPr>
            <w:r w:rsidRPr="003C12F4">
              <w:rPr>
                <w:rFonts w:ascii="Helvetica" w:hAnsi="Helvetica" w:cs="Helvetica"/>
              </w:rPr>
              <w:t>0.294</w:t>
            </w:r>
          </w:p>
        </w:tc>
        <w:tc>
          <w:tcPr>
            <w:tcW w:w="868" w:type="pct"/>
            <w:hideMark/>
          </w:tcPr>
          <w:p w14:paraId="5BFDEE43"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481" w:type="pct"/>
            <w:hideMark/>
          </w:tcPr>
          <w:p w14:paraId="37AA7408"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1321BC4"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A600546" w14:textId="77777777" w:rsidR="003C12F4" w:rsidRPr="003C12F4" w:rsidRDefault="003C12F4" w:rsidP="003C12F4">
            <w:pPr>
              <w:rPr>
                <w:rFonts w:ascii="Helvetica" w:hAnsi="Helvetica" w:cs="Helvetica"/>
              </w:rPr>
            </w:pPr>
          </w:p>
        </w:tc>
      </w:tr>
      <w:tr w:rsidR="003C12F4" w:rsidRPr="003C12F4" w14:paraId="38C01C54" w14:textId="77777777" w:rsidTr="003C12F4">
        <w:tc>
          <w:tcPr>
            <w:tcW w:w="1087" w:type="pct"/>
            <w:hideMark/>
          </w:tcPr>
          <w:p w14:paraId="3832AE8F"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37" w:type="pct"/>
            <w:hideMark/>
          </w:tcPr>
          <w:p w14:paraId="0B5F6451" w14:textId="77777777" w:rsidR="003C12F4" w:rsidRPr="003C12F4" w:rsidRDefault="003C12F4" w:rsidP="003C12F4">
            <w:pPr>
              <w:rPr>
                <w:rFonts w:ascii="Helvetica" w:hAnsi="Helvetica" w:cs="Helvetica"/>
              </w:rPr>
            </w:pPr>
            <w:r w:rsidRPr="003C12F4">
              <w:rPr>
                <w:rFonts w:ascii="Helvetica" w:hAnsi="Helvetica" w:cs="Helvetica"/>
              </w:rPr>
              <w:t>0.26(0.13-0.51)</w:t>
            </w:r>
          </w:p>
        </w:tc>
        <w:tc>
          <w:tcPr>
            <w:tcW w:w="463" w:type="pct"/>
            <w:hideMark/>
          </w:tcPr>
          <w:p w14:paraId="65982C06" w14:textId="77777777" w:rsidR="003C12F4" w:rsidRPr="003C12F4" w:rsidRDefault="003C12F4" w:rsidP="003C12F4">
            <w:pPr>
              <w:rPr>
                <w:rFonts w:ascii="Helvetica" w:hAnsi="Helvetica" w:cs="Helvetica"/>
              </w:rPr>
            </w:pPr>
            <w:r w:rsidRPr="003C12F4">
              <w:rPr>
                <w:rFonts w:ascii="Helvetica" w:hAnsi="Helvetica" w:cs="Helvetica"/>
              </w:rPr>
              <w:t>&lt;0.000</w:t>
            </w:r>
          </w:p>
        </w:tc>
        <w:tc>
          <w:tcPr>
            <w:tcW w:w="868" w:type="pct"/>
            <w:hideMark/>
          </w:tcPr>
          <w:p w14:paraId="19DDCFA7"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481" w:type="pct"/>
            <w:hideMark/>
          </w:tcPr>
          <w:p w14:paraId="6D73FB9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5883D28"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541" w:type="pct"/>
            <w:hideMark/>
          </w:tcPr>
          <w:p w14:paraId="269EE4E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0606D69" w14:textId="77777777" w:rsidTr="003C12F4">
        <w:tc>
          <w:tcPr>
            <w:tcW w:w="5000" w:type="pct"/>
            <w:gridSpan w:val="7"/>
            <w:tcBorders>
              <w:bottom w:val="single" w:sz="4" w:space="0" w:color="auto"/>
            </w:tcBorders>
          </w:tcPr>
          <w:p w14:paraId="3D0B9503" w14:textId="0D48B0BA"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9C1588">
              <w:rPr>
                <w:rFonts w:ascii="Helvetica" w:hAnsi="Helvetica" w:cs="Helvetica"/>
              </w:rPr>
              <w:t>A</w:t>
            </w:r>
            <w:r w:rsidRPr="003C12F4">
              <w:rPr>
                <w:rFonts w:ascii="Helvetica" w:hAnsi="Helvetica" w:cs="Helvetica"/>
              </w:rPr>
              <w:t xml:space="preserve">OR: 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all stunting, wasting, and underweight.</w:t>
            </w:r>
          </w:p>
        </w:tc>
      </w:tr>
    </w:tbl>
    <w:p w14:paraId="0E51F60B"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7958AD81" w14:textId="77777777"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t xml:space="preserve">Table 6.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03244E87" w14:textId="77777777" w:rsidTr="003C12F4">
        <w:trPr>
          <w:trHeight w:val="366"/>
        </w:trPr>
        <w:tc>
          <w:tcPr>
            <w:tcW w:w="1087" w:type="pct"/>
            <w:tcBorders>
              <w:top w:val="single" w:sz="4" w:space="0" w:color="auto"/>
            </w:tcBorders>
          </w:tcPr>
          <w:p w14:paraId="5A052E32" w14:textId="77777777" w:rsidR="003C12F4" w:rsidRPr="003C12F4" w:rsidRDefault="003C12F4" w:rsidP="003C12F4">
            <w:pPr>
              <w:spacing w:line="360" w:lineRule="auto"/>
              <w:rPr>
                <w:rFonts w:ascii="Helvetica" w:hAnsi="Helvetica" w:cs="Helvetica"/>
              </w:rPr>
            </w:pPr>
          </w:p>
        </w:tc>
        <w:tc>
          <w:tcPr>
            <w:tcW w:w="1100" w:type="pct"/>
            <w:gridSpan w:val="2"/>
            <w:tcBorders>
              <w:top w:val="single" w:sz="4" w:space="0" w:color="auto"/>
            </w:tcBorders>
            <w:hideMark/>
          </w:tcPr>
          <w:p w14:paraId="13CA1BA5" w14:textId="77777777" w:rsidR="003C12F4" w:rsidRPr="003C12F4" w:rsidRDefault="003C12F4" w:rsidP="003C12F4">
            <w:pPr>
              <w:spacing w:line="360" w:lineRule="auto"/>
              <w:jc w:val="center"/>
              <w:rPr>
                <w:rFonts w:ascii="Helvetica" w:hAnsi="Helvetica" w:cs="Helvetica"/>
                <w:b/>
                <w:bCs/>
              </w:rPr>
            </w:pPr>
            <w:proofErr w:type="gramStart"/>
            <w:r w:rsidRPr="003C12F4">
              <w:rPr>
                <w:rFonts w:ascii="Helvetica" w:hAnsi="Helvetica" w:cs="Helvetica"/>
                <w:b/>
                <w:bCs/>
              </w:rPr>
              <w:t>Stunting(</w:t>
            </w:r>
            <w:proofErr w:type="gramEnd"/>
            <w:r w:rsidRPr="003C12F4">
              <w:rPr>
                <w:rFonts w:ascii="Helvetica" w:hAnsi="Helvetica" w:cs="Helvetica"/>
                <w:b/>
                <w:bCs/>
              </w:rPr>
              <w:t>height for age, &lt;2SD)</w:t>
            </w:r>
          </w:p>
        </w:tc>
        <w:tc>
          <w:tcPr>
            <w:tcW w:w="1349" w:type="pct"/>
            <w:gridSpan w:val="2"/>
            <w:tcBorders>
              <w:top w:val="single" w:sz="4" w:space="0" w:color="auto"/>
            </w:tcBorders>
            <w:hideMark/>
          </w:tcPr>
          <w:p w14:paraId="4B93367F" w14:textId="77777777" w:rsidR="003C12F4" w:rsidRPr="003C12F4" w:rsidRDefault="003C12F4" w:rsidP="003C12F4">
            <w:pPr>
              <w:spacing w:line="360" w:lineRule="auto"/>
              <w:jc w:val="center"/>
              <w:rPr>
                <w:rFonts w:ascii="Helvetica" w:hAnsi="Helvetica" w:cs="Helvetica"/>
                <w:b/>
                <w:bCs/>
              </w:rPr>
            </w:pPr>
            <w:proofErr w:type="gramStart"/>
            <w:r w:rsidRPr="003C12F4">
              <w:rPr>
                <w:rFonts w:ascii="Helvetica" w:hAnsi="Helvetica" w:cs="Helvetica"/>
                <w:b/>
                <w:bCs/>
              </w:rPr>
              <w:t>Underweight(</w:t>
            </w:r>
            <w:proofErr w:type="gramEnd"/>
            <w:r w:rsidRPr="003C12F4">
              <w:rPr>
                <w:rFonts w:ascii="Helvetica" w:hAnsi="Helvetica" w:cs="Helvetica"/>
                <w:b/>
                <w:bCs/>
              </w:rPr>
              <w:t>weight for age, &lt;2SD)</w:t>
            </w:r>
          </w:p>
        </w:tc>
        <w:tc>
          <w:tcPr>
            <w:tcW w:w="1464" w:type="pct"/>
            <w:gridSpan w:val="2"/>
            <w:tcBorders>
              <w:top w:val="single" w:sz="4" w:space="0" w:color="auto"/>
            </w:tcBorders>
            <w:hideMark/>
          </w:tcPr>
          <w:p w14:paraId="699E90C2" w14:textId="77777777" w:rsidR="003C12F4" w:rsidRPr="003C12F4" w:rsidRDefault="003C12F4" w:rsidP="003C12F4">
            <w:pPr>
              <w:spacing w:line="360" w:lineRule="auto"/>
              <w:jc w:val="center"/>
              <w:rPr>
                <w:rFonts w:ascii="Helvetica" w:hAnsi="Helvetica" w:cs="Helvetica"/>
                <w:b/>
                <w:bCs/>
              </w:rPr>
            </w:pPr>
            <w:proofErr w:type="gramStart"/>
            <w:r w:rsidRPr="003C12F4">
              <w:rPr>
                <w:rFonts w:ascii="Helvetica" w:hAnsi="Helvetica" w:cs="Helvetica"/>
                <w:b/>
                <w:bCs/>
              </w:rPr>
              <w:t>Wasting(</w:t>
            </w:r>
            <w:proofErr w:type="gramEnd"/>
            <w:r w:rsidRPr="003C12F4">
              <w:rPr>
                <w:rFonts w:ascii="Helvetica" w:hAnsi="Helvetica" w:cs="Helvetica"/>
                <w:b/>
                <w:bCs/>
              </w:rPr>
              <w:t>weight for height, &lt;2SD)</w:t>
            </w:r>
          </w:p>
        </w:tc>
      </w:tr>
      <w:tr w:rsidR="003C12F4" w:rsidRPr="003C12F4" w14:paraId="34B26884" w14:textId="77777777" w:rsidTr="003C12F4">
        <w:tc>
          <w:tcPr>
            <w:tcW w:w="1087" w:type="pct"/>
          </w:tcPr>
          <w:p w14:paraId="22E541AC" w14:textId="77777777" w:rsidR="003C12F4" w:rsidRPr="003C12F4" w:rsidRDefault="003C12F4" w:rsidP="003C12F4">
            <w:pPr>
              <w:spacing w:line="360" w:lineRule="auto"/>
              <w:rPr>
                <w:rFonts w:ascii="Helvetica" w:hAnsi="Helvetica" w:cs="Helvetica"/>
              </w:rPr>
            </w:pPr>
          </w:p>
        </w:tc>
        <w:tc>
          <w:tcPr>
            <w:tcW w:w="637" w:type="pct"/>
            <w:hideMark/>
          </w:tcPr>
          <w:p w14:paraId="501538E8" w14:textId="65951225"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934E975"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868" w:type="pct"/>
            <w:hideMark/>
          </w:tcPr>
          <w:p w14:paraId="5DED0ACA" w14:textId="22E5F520"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69C3C6B0"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923" w:type="pct"/>
            <w:hideMark/>
          </w:tcPr>
          <w:p w14:paraId="16AA4FF1" w14:textId="6AF9A4BD"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EC989A6"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r>
      <w:tr w:rsidR="003C12F4" w:rsidRPr="003C12F4" w14:paraId="2F67DAB1" w14:textId="77777777" w:rsidTr="003C12F4">
        <w:tc>
          <w:tcPr>
            <w:tcW w:w="1087" w:type="pct"/>
            <w:hideMark/>
          </w:tcPr>
          <w:p w14:paraId="3B60672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Birth interval</w:t>
            </w:r>
          </w:p>
        </w:tc>
        <w:tc>
          <w:tcPr>
            <w:tcW w:w="637" w:type="pct"/>
            <w:hideMark/>
          </w:tcPr>
          <w:p w14:paraId="7C62C6F1"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63" w:type="pct"/>
            <w:hideMark/>
          </w:tcPr>
          <w:p w14:paraId="7477021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1497ED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81" w:type="pct"/>
            <w:hideMark/>
          </w:tcPr>
          <w:p w14:paraId="2383A855"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923" w:type="pct"/>
            <w:hideMark/>
          </w:tcPr>
          <w:p w14:paraId="0CDD87DE"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1.00(0.99-1.00)</w:t>
            </w:r>
          </w:p>
        </w:tc>
        <w:tc>
          <w:tcPr>
            <w:tcW w:w="541" w:type="pct"/>
            <w:hideMark/>
          </w:tcPr>
          <w:p w14:paraId="29B211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0.411</w:t>
            </w:r>
          </w:p>
        </w:tc>
      </w:tr>
      <w:tr w:rsidR="003C12F4" w:rsidRPr="003C12F4" w14:paraId="008B6B7A" w14:textId="77777777" w:rsidTr="003C12F4">
        <w:tc>
          <w:tcPr>
            <w:tcW w:w="1087" w:type="pct"/>
            <w:hideMark/>
          </w:tcPr>
          <w:p w14:paraId="3E3D875A"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Mother’s age at first birth</w:t>
            </w:r>
          </w:p>
        </w:tc>
        <w:tc>
          <w:tcPr>
            <w:tcW w:w="637" w:type="pct"/>
            <w:hideMark/>
          </w:tcPr>
          <w:p w14:paraId="597E535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0.96(0.96-0.98)</w:t>
            </w:r>
          </w:p>
        </w:tc>
        <w:tc>
          <w:tcPr>
            <w:tcW w:w="463" w:type="pct"/>
            <w:hideMark/>
          </w:tcPr>
          <w:p w14:paraId="5E514EE2"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704C191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1.02(1.01-1.04)</w:t>
            </w:r>
          </w:p>
        </w:tc>
        <w:tc>
          <w:tcPr>
            <w:tcW w:w="481" w:type="pct"/>
            <w:hideMark/>
          </w:tcPr>
          <w:p w14:paraId="326BF4F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0.012</w:t>
            </w:r>
          </w:p>
        </w:tc>
        <w:tc>
          <w:tcPr>
            <w:tcW w:w="923" w:type="pct"/>
            <w:hideMark/>
          </w:tcPr>
          <w:p w14:paraId="72A10DE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1.03(1.00-1.06)</w:t>
            </w:r>
          </w:p>
        </w:tc>
        <w:tc>
          <w:tcPr>
            <w:tcW w:w="541" w:type="pct"/>
            <w:hideMark/>
          </w:tcPr>
          <w:p w14:paraId="279E576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0.075</w:t>
            </w:r>
          </w:p>
        </w:tc>
      </w:tr>
      <w:tr w:rsidR="003C12F4" w:rsidRPr="003C12F4" w14:paraId="02C8EC3A" w14:textId="77777777" w:rsidTr="003C12F4">
        <w:tc>
          <w:tcPr>
            <w:tcW w:w="1087" w:type="pct"/>
            <w:hideMark/>
          </w:tcPr>
          <w:p w14:paraId="7FA6DA1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Wealth index</w:t>
            </w:r>
          </w:p>
        </w:tc>
        <w:tc>
          <w:tcPr>
            <w:tcW w:w="637" w:type="pct"/>
          </w:tcPr>
          <w:p w14:paraId="3F0AB6F2" w14:textId="77777777" w:rsidR="003C12F4" w:rsidRPr="003C12F4" w:rsidRDefault="003C12F4" w:rsidP="003C12F4">
            <w:pPr>
              <w:spacing w:line="360" w:lineRule="auto"/>
              <w:rPr>
                <w:rFonts w:ascii="Helvetica" w:hAnsi="Helvetica" w:cs="Helvetica"/>
              </w:rPr>
            </w:pPr>
          </w:p>
        </w:tc>
        <w:tc>
          <w:tcPr>
            <w:tcW w:w="463" w:type="pct"/>
          </w:tcPr>
          <w:p w14:paraId="191945A5" w14:textId="77777777" w:rsidR="003C12F4" w:rsidRPr="003C12F4" w:rsidRDefault="003C12F4" w:rsidP="003C12F4">
            <w:pPr>
              <w:spacing w:line="360" w:lineRule="auto"/>
              <w:rPr>
                <w:rFonts w:ascii="Helvetica" w:hAnsi="Helvetica" w:cs="Helvetica"/>
              </w:rPr>
            </w:pPr>
          </w:p>
        </w:tc>
        <w:tc>
          <w:tcPr>
            <w:tcW w:w="868" w:type="pct"/>
          </w:tcPr>
          <w:p w14:paraId="79919BB6" w14:textId="77777777" w:rsidR="003C12F4" w:rsidRPr="003C12F4" w:rsidRDefault="003C12F4" w:rsidP="003C12F4">
            <w:pPr>
              <w:spacing w:line="360" w:lineRule="auto"/>
              <w:rPr>
                <w:rFonts w:ascii="Helvetica" w:hAnsi="Helvetica" w:cs="Helvetica"/>
              </w:rPr>
            </w:pPr>
          </w:p>
        </w:tc>
        <w:tc>
          <w:tcPr>
            <w:tcW w:w="481" w:type="pct"/>
          </w:tcPr>
          <w:p w14:paraId="620F8DFA" w14:textId="77777777" w:rsidR="003C12F4" w:rsidRPr="003C12F4" w:rsidRDefault="003C12F4" w:rsidP="003C12F4">
            <w:pPr>
              <w:spacing w:line="360" w:lineRule="auto"/>
              <w:rPr>
                <w:rFonts w:ascii="Helvetica" w:hAnsi="Helvetica" w:cs="Helvetica"/>
              </w:rPr>
            </w:pPr>
          </w:p>
        </w:tc>
        <w:tc>
          <w:tcPr>
            <w:tcW w:w="923" w:type="pct"/>
          </w:tcPr>
          <w:p w14:paraId="09C68937" w14:textId="77777777" w:rsidR="003C12F4" w:rsidRPr="003C12F4" w:rsidRDefault="003C12F4" w:rsidP="003C12F4">
            <w:pPr>
              <w:spacing w:line="360" w:lineRule="auto"/>
              <w:rPr>
                <w:rFonts w:ascii="Helvetica" w:hAnsi="Helvetica" w:cs="Helvetica"/>
              </w:rPr>
            </w:pPr>
          </w:p>
        </w:tc>
        <w:tc>
          <w:tcPr>
            <w:tcW w:w="541" w:type="pct"/>
          </w:tcPr>
          <w:p w14:paraId="208AAAD8" w14:textId="77777777" w:rsidR="003C12F4" w:rsidRPr="003C12F4" w:rsidRDefault="003C12F4" w:rsidP="003C12F4">
            <w:pPr>
              <w:spacing w:line="360" w:lineRule="auto"/>
              <w:rPr>
                <w:rFonts w:ascii="Helvetica" w:hAnsi="Helvetica" w:cs="Helvetica"/>
              </w:rPr>
            </w:pPr>
          </w:p>
        </w:tc>
      </w:tr>
      <w:tr w:rsidR="003C12F4" w:rsidRPr="003C12F4" w14:paraId="4D1BF2CC" w14:textId="77777777" w:rsidTr="003C12F4">
        <w:tc>
          <w:tcPr>
            <w:tcW w:w="1087" w:type="pct"/>
            <w:hideMark/>
          </w:tcPr>
          <w:p w14:paraId="711B12AF"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Poorest</w:t>
            </w:r>
          </w:p>
        </w:tc>
        <w:tc>
          <w:tcPr>
            <w:tcW w:w="637" w:type="pct"/>
            <w:hideMark/>
          </w:tcPr>
          <w:p w14:paraId="36A8A476" w14:textId="77777777" w:rsidR="003C12F4" w:rsidRPr="003C12F4" w:rsidRDefault="003C12F4" w:rsidP="003C12F4">
            <w:pPr>
              <w:spacing w:line="360" w:lineRule="auto"/>
              <w:rPr>
                <w:rFonts w:ascii="Helvetica" w:hAnsi="Helvetica" w:cs="Helvetica"/>
              </w:rPr>
            </w:pPr>
            <w:r w:rsidRPr="003C12F4">
              <w:rPr>
                <w:rFonts w:ascii="Helvetica" w:hAnsi="Helvetica" w:cs="Helvetica"/>
              </w:rPr>
              <w:t>1.82(1.49-2.20)</w:t>
            </w:r>
          </w:p>
        </w:tc>
        <w:tc>
          <w:tcPr>
            <w:tcW w:w="463" w:type="pct"/>
            <w:hideMark/>
          </w:tcPr>
          <w:p w14:paraId="7EBA080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41D2C11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1.74(1.33-2.27)</w:t>
            </w:r>
          </w:p>
        </w:tc>
        <w:tc>
          <w:tcPr>
            <w:tcW w:w="481" w:type="pct"/>
            <w:hideMark/>
          </w:tcPr>
          <w:p w14:paraId="4D478E50"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&lt;0.001</w:t>
            </w:r>
          </w:p>
        </w:tc>
        <w:tc>
          <w:tcPr>
            <w:tcW w:w="923" w:type="pct"/>
            <w:hideMark/>
          </w:tcPr>
          <w:p w14:paraId="4D2B7AEA"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1.16(0.80-1.68)</w:t>
            </w:r>
          </w:p>
        </w:tc>
        <w:tc>
          <w:tcPr>
            <w:tcW w:w="541" w:type="pct"/>
            <w:hideMark/>
          </w:tcPr>
          <w:p w14:paraId="1817336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0.428</w:t>
            </w:r>
          </w:p>
        </w:tc>
      </w:tr>
      <w:tr w:rsidR="003C12F4" w:rsidRPr="003C12F4" w14:paraId="287C3EBC" w14:textId="77777777" w:rsidTr="003C12F4">
        <w:tc>
          <w:tcPr>
            <w:tcW w:w="1087" w:type="pct"/>
            <w:hideMark/>
          </w:tcPr>
          <w:p w14:paraId="443E6A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Poorer</w:t>
            </w:r>
          </w:p>
        </w:tc>
        <w:tc>
          <w:tcPr>
            <w:tcW w:w="637" w:type="pct"/>
            <w:hideMark/>
          </w:tcPr>
          <w:p w14:paraId="29767A4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1.59(1.31-1.92)</w:t>
            </w:r>
          </w:p>
        </w:tc>
        <w:tc>
          <w:tcPr>
            <w:tcW w:w="463" w:type="pct"/>
            <w:hideMark/>
          </w:tcPr>
          <w:p w14:paraId="413E4A5D"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0DB7B7B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1.29(0.99-1.69)</w:t>
            </w:r>
          </w:p>
        </w:tc>
        <w:tc>
          <w:tcPr>
            <w:tcW w:w="481" w:type="pct"/>
            <w:hideMark/>
          </w:tcPr>
          <w:p w14:paraId="5C0EB5F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0.062</w:t>
            </w:r>
          </w:p>
        </w:tc>
        <w:tc>
          <w:tcPr>
            <w:tcW w:w="923" w:type="pct"/>
            <w:hideMark/>
          </w:tcPr>
          <w:p w14:paraId="3B6805E5"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0.71(0.47-1.07)</w:t>
            </w:r>
          </w:p>
        </w:tc>
        <w:tc>
          <w:tcPr>
            <w:tcW w:w="541" w:type="pct"/>
            <w:hideMark/>
          </w:tcPr>
          <w:p w14:paraId="20B7065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0.097</w:t>
            </w:r>
          </w:p>
        </w:tc>
      </w:tr>
      <w:tr w:rsidR="003C12F4" w:rsidRPr="003C12F4" w14:paraId="43F05E30" w14:textId="77777777" w:rsidTr="003C12F4">
        <w:tc>
          <w:tcPr>
            <w:tcW w:w="1087" w:type="pct"/>
            <w:hideMark/>
          </w:tcPr>
          <w:p w14:paraId="417F6C11" w14:textId="77777777" w:rsidR="003C12F4" w:rsidRPr="003C12F4" w:rsidRDefault="003C12F4" w:rsidP="003C12F4">
            <w:pPr>
              <w:spacing w:line="360" w:lineRule="auto"/>
              <w:rPr>
                <w:rFonts w:ascii="Helvetica" w:hAnsi="Helvetica" w:cs="Helvetica"/>
              </w:rPr>
            </w:pPr>
            <w:r w:rsidRPr="003C12F4">
              <w:rPr>
                <w:rFonts w:ascii="Helvetica" w:hAnsi="Helvetica" w:cs="Helvetica"/>
              </w:rPr>
              <w:t>Middle</w:t>
            </w:r>
          </w:p>
        </w:tc>
        <w:tc>
          <w:tcPr>
            <w:tcW w:w="637" w:type="pct"/>
            <w:hideMark/>
          </w:tcPr>
          <w:p w14:paraId="5061A3BD"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1.42(1.17-1.72)</w:t>
            </w:r>
          </w:p>
        </w:tc>
        <w:tc>
          <w:tcPr>
            <w:tcW w:w="463" w:type="pct"/>
            <w:hideMark/>
          </w:tcPr>
          <w:p w14:paraId="4CD362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6469397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1.10(0.84-1.45)</w:t>
            </w:r>
          </w:p>
        </w:tc>
        <w:tc>
          <w:tcPr>
            <w:tcW w:w="481" w:type="pct"/>
            <w:hideMark/>
          </w:tcPr>
          <w:p w14:paraId="33CFBA5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0.490</w:t>
            </w:r>
          </w:p>
        </w:tc>
        <w:tc>
          <w:tcPr>
            <w:tcW w:w="923" w:type="pct"/>
            <w:hideMark/>
          </w:tcPr>
          <w:p w14:paraId="432C8973"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0.95(0.63-1.42)</w:t>
            </w:r>
          </w:p>
        </w:tc>
        <w:tc>
          <w:tcPr>
            <w:tcW w:w="541" w:type="pct"/>
            <w:hideMark/>
          </w:tcPr>
          <w:p w14:paraId="1EA1E58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0.793</w:t>
            </w:r>
          </w:p>
        </w:tc>
      </w:tr>
      <w:tr w:rsidR="003C12F4" w:rsidRPr="003C12F4" w14:paraId="50FDA774" w14:textId="77777777" w:rsidTr="003C12F4">
        <w:tc>
          <w:tcPr>
            <w:tcW w:w="1087" w:type="pct"/>
            <w:hideMark/>
          </w:tcPr>
          <w:p w14:paraId="775A3C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Richer</w:t>
            </w:r>
          </w:p>
        </w:tc>
        <w:tc>
          <w:tcPr>
            <w:tcW w:w="637" w:type="pct"/>
            <w:hideMark/>
          </w:tcPr>
          <w:p w14:paraId="5BE1AE4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1.09(0.89-1.32)</w:t>
            </w:r>
          </w:p>
        </w:tc>
        <w:tc>
          <w:tcPr>
            <w:tcW w:w="463" w:type="pct"/>
            <w:hideMark/>
          </w:tcPr>
          <w:p w14:paraId="7BE82FB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0.390</w:t>
            </w:r>
          </w:p>
        </w:tc>
        <w:tc>
          <w:tcPr>
            <w:tcW w:w="868" w:type="pct"/>
            <w:hideMark/>
          </w:tcPr>
          <w:p w14:paraId="157B495D"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0.89(0.67-1.17)</w:t>
            </w:r>
          </w:p>
        </w:tc>
        <w:tc>
          <w:tcPr>
            <w:tcW w:w="481" w:type="pct"/>
            <w:hideMark/>
          </w:tcPr>
          <w:p w14:paraId="35BA2C2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0.410</w:t>
            </w:r>
          </w:p>
        </w:tc>
        <w:tc>
          <w:tcPr>
            <w:tcW w:w="923" w:type="pct"/>
            <w:hideMark/>
          </w:tcPr>
          <w:p w14:paraId="423CDD4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0.68(0.46-1.00)</w:t>
            </w:r>
          </w:p>
        </w:tc>
        <w:tc>
          <w:tcPr>
            <w:tcW w:w="541" w:type="pct"/>
            <w:hideMark/>
          </w:tcPr>
          <w:p w14:paraId="340222CB"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0.052</w:t>
            </w:r>
          </w:p>
        </w:tc>
      </w:tr>
      <w:tr w:rsidR="003C12F4" w:rsidRPr="003C12F4" w14:paraId="7F72F287" w14:textId="77777777" w:rsidTr="003C12F4">
        <w:tc>
          <w:tcPr>
            <w:tcW w:w="1087" w:type="pct"/>
            <w:hideMark/>
          </w:tcPr>
          <w:p w14:paraId="2E0DE19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Richest</w:t>
            </w:r>
          </w:p>
        </w:tc>
        <w:tc>
          <w:tcPr>
            <w:tcW w:w="637" w:type="pct"/>
            <w:hideMark/>
          </w:tcPr>
          <w:p w14:paraId="6594062A" w14:textId="37A4D6B3"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63" w:type="pct"/>
          </w:tcPr>
          <w:p w14:paraId="7ABD6ED1" w14:textId="77777777" w:rsidR="003C12F4" w:rsidRPr="003C12F4" w:rsidRDefault="003C12F4" w:rsidP="003C12F4">
            <w:pPr>
              <w:spacing w:line="360" w:lineRule="auto"/>
              <w:rPr>
                <w:rFonts w:ascii="Helvetica" w:hAnsi="Helvetica" w:cs="Helvetica"/>
              </w:rPr>
            </w:pPr>
          </w:p>
        </w:tc>
        <w:tc>
          <w:tcPr>
            <w:tcW w:w="868" w:type="pct"/>
            <w:hideMark/>
          </w:tcPr>
          <w:p w14:paraId="505147E7" w14:textId="42B7EA51"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81" w:type="pct"/>
          </w:tcPr>
          <w:p w14:paraId="59404C0C" w14:textId="77777777" w:rsidR="003C12F4" w:rsidRPr="003C12F4" w:rsidRDefault="003C12F4" w:rsidP="003C12F4">
            <w:pPr>
              <w:spacing w:line="360" w:lineRule="auto"/>
              <w:rPr>
                <w:rFonts w:ascii="Helvetica" w:hAnsi="Helvetica" w:cs="Helvetica"/>
              </w:rPr>
            </w:pPr>
          </w:p>
        </w:tc>
        <w:tc>
          <w:tcPr>
            <w:tcW w:w="923" w:type="pct"/>
            <w:hideMark/>
          </w:tcPr>
          <w:p w14:paraId="12B24E1D" w14:textId="4120A3ED"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541" w:type="pct"/>
          </w:tcPr>
          <w:p w14:paraId="5D6B7BA3" w14:textId="77777777" w:rsidR="003C12F4" w:rsidRPr="003C12F4" w:rsidRDefault="003C12F4" w:rsidP="003C12F4">
            <w:pPr>
              <w:spacing w:line="360" w:lineRule="auto"/>
              <w:rPr>
                <w:rFonts w:ascii="Helvetica" w:hAnsi="Helvetica" w:cs="Helvetica"/>
              </w:rPr>
            </w:pPr>
          </w:p>
        </w:tc>
      </w:tr>
      <w:tr w:rsidR="003C12F4" w:rsidRPr="003C12F4" w14:paraId="6244A314" w14:textId="77777777" w:rsidTr="003C12F4">
        <w:tc>
          <w:tcPr>
            <w:tcW w:w="5000" w:type="pct"/>
            <w:gridSpan w:val="7"/>
            <w:tcBorders>
              <w:bottom w:val="single" w:sz="4" w:space="0" w:color="auto"/>
            </w:tcBorders>
          </w:tcPr>
          <w:p w14:paraId="77CF2ED5" w14:textId="5C9FE5B0" w:rsidR="003C12F4" w:rsidRPr="003C12F4" w:rsidRDefault="003C12F4" w:rsidP="003C12F4">
            <w:pPr>
              <w:spacing w:line="360" w:lineRule="auto"/>
              <w:rPr>
                <w:rFonts w:ascii="Helvetica" w:hAnsi="Helvetica" w:cs="Helvetica"/>
              </w:rPr>
            </w:pPr>
            <w:r w:rsidRPr="003C12F4">
              <w:rPr>
                <w:rFonts w:ascii="Helvetica" w:hAnsi="Helvetica" w:cs="Helvetica"/>
              </w:rPr>
              <w:t xml:space="preserve">SD: standard deviation; </w:t>
            </w:r>
            <w:r w:rsidR="004A5805">
              <w:rPr>
                <w:rFonts w:ascii="Helvetica" w:hAnsi="Helvetica" w:cs="Helvetica"/>
              </w:rPr>
              <w:t>A</w:t>
            </w:r>
            <w:r w:rsidRPr="003C12F4">
              <w:rPr>
                <w:rFonts w:ascii="Helvetica" w:hAnsi="Helvetica" w:cs="Helvetica"/>
              </w:rPr>
              <w:t xml:space="preserve">OR: 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all stunting, wasting, and underweight.</w:t>
            </w:r>
          </w:p>
        </w:tc>
      </w:tr>
    </w:tbl>
    <w:p w14:paraId="7E312049"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3DB0918C"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39CC799B"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lastRenderedPageBreak/>
        <w:t xml:space="preserve">Decomposition of the socioeconomic disparities in child malnutrition </w:t>
      </w:r>
    </w:p>
    <w:p w14:paraId="74620FAA"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Oaxaca-Blinder decomposition results revealed the existence of a gap in the nutrition status of children depending on their parent’s socioeconomic status. </w:t>
      </w:r>
      <w:proofErr w:type="gramStart"/>
      <w:r w:rsidRPr="003C12F4">
        <w:rPr>
          <w:rFonts w:ascii="Helvetica" w:eastAsia="MS Mincho" w:hAnsi="Helvetica" w:cs="Helvetica"/>
          <w:sz w:val="24"/>
          <w:szCs w:val="24"/>
          <w:lang w:val="en-GB"/>
        </w:rPr>
        <w:t>In particular, with</w:t>
      </w:r>
      <w:proofErr w:type="gramEnd"/>
      <w:r w:rsidRPr="003C12F4">
        <w:rPr>
          <w:rFonts w:ascii="Helvetica" w:eastAsia="MS Mincho" w:hAnsi="Helvetica" w:cs="Helvetica"/>
          <w:sz w:val="24"/>
          <w:szCs w:val="24"/>
          <w:lang w:val="en-GB"/>
        </w:rPr>
        <w:t xml:space="preserve"> regards to the height for age scores which were multiplied by -1 with larger values suggesting more malnourishment, the gap in the malnutrition status was 0.00 in 2003 but increased to 0.55 in 2014. As seen earlier, the nutrition status of children under five years in Kenya significantly worsened between 2003 and 2014. If children from poor socio-economic backgrounds had the same endowment (or characteristics related to mother’s level of education, residential area, religion, education level, and socioeconomic status) the height for age scores for poor children would increase by at least 0.00 in 2003 and 0.13 in 2014. Applying the coefficients of the rich children to the poor children would result in a significant improvement in the height for age scores in 2014 whereas the following change was not significant in 2003. Similarly, the simultaneous effects of differences in endowment between the rich and the poor children’s households as well as the coefficients were negligible in 2003 but became substantial in 2014. The effect of socioeconomic status remained significant in 2014. </w:t>
      </w:r>
    </w:p>
    <w:p w14:paraId="70FFDD39"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As shown in </w:t>
      </w:r>
      <w:r w:rsidRPr="003C12F4">
        <w:rPr>
          <w:rFonts w:ascii="Helvetica" w:eastAsia="MS Mincho" w:hAnsi="Helvetica" w:cs="Helvetica"/>
          <w:b/>
          <w:bCs/>
          <w:sz w:val="24"/>
          <w:szCs w:val="24"/>
          <w:lang w:val="en-GB"/>
        </w:rPr>
        <w:t>Table 7</w:t>
      </w:r>
      <w:r w:rsidRPr="003C12F4">
        <w:rPr>
          <w:rFonts w:ascii="Helvetica" w:eastAsia="MS Mincho" w:hAnsi="Helvetica" w:cs="Helvetica"/>
          <w:sz w:val="24"/>
          <w:szCs w:val="24"/>
          <w:lang w:val="en-GB"/>
        </w:rPr>
        <w:t xml:space="preserve">, the coefficients of the variables characterizing disparities in endowments between the richest and poorest under-five children’s groups increased (in absolute values) from 2003 to 2014 although </w:t>
      </w:r>
      <w:r w:rsidRPr="003C12F4">
        <w:rPr>
          <w:rFonts w:ascii="Helvetica" w:eastAsia="MS Mincho" w:hAnsi="Helvetica" w:cs="Helvetica"/>
          <w:sz w:val="24"/>
          <w:szCs w:val="24"/>
          <w:lang w:val="en-GB"/>
        </w:rPr>
        <w:lastRenderedPageBreak/>
        <w:t>the increments did not substantially affect the gap in nutrition status between the rich and poor. The mother’s level of education and the socioeconomic status of the household statistically significantly contributed to the increments in the gap in nutrition status between children from the poor and the rich in 2014 whereas only the mother’s level of education contributed significantly to the gap in the nutrition status of the children from the poor backgrounds.</w:t>
      </w:r>
    </w:p>
    <w:p w14:paraId="22D6C646"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weight for age scores for children from poor socio-economic backgrounds was 0.009 in 2003 and 0.822 in 2014. The weight for age z scores (WAZ) was multiplied by -1 with larger values suggesting more malnutrition (underweight). The differences in WAZ attributable to differing endowments between the rich and the poor increased significantly between 2003 and 2014. In 2003, the difference in weight for age z scores was 0.002 whereas the difference increased to 0.522 in 2014. The increase in weight for age z scores in 2003 if both the poor and the rich had the same characteristics in terms of the mother’s level of education, age, residential area, religion as well as wealth were negligible in 2003 whereas these effects </w:t>
      </w:r>
      <w:proofErr w:type="gramStart"/>
      <w:r w:rsidRPr="003C12F4">
        <w:rPr>
          <w:rFonts w:ascii="Helvetica" w:eastAsia="MS Mincho" w:hAnsi="Helvetica" w:cs="Helvetica"/>
          <w:sz w:val="24"/>
          <w:szCs w:val="24"/>
          <w:lang w:val="en-GB"/>
        </w:rPr>
        <w:t>were would result</w:t>
      </w:r>
      <w:proofErr w:type="gramEnd"/>
      <w:r w:rsidRPr="003C12F4">
        <w:rPr>
          <w:rFonts w:ascii="Helvetica" w:eastAsia="MS Mincho" w:hAnsi="Helvetica" w:cs="Helvetica"/>
          <w:sz w:val="24"/>
          <w:szCs w:val="24"/>
          <w:lang w:val="en-GB"/>
        </w:rPr>
        <w:t xml:space="preserve"> in substantial increments in the scores in 2014. Applying the rich children’s coefficients to the poor children’s characteristics did not result in substantial changes in weight for age scores for poor children for both 2003 and 2014 (p&gt;0.05). </w:t>
      </w:r>
    </w:p>
    <w:p w14:paraId="24813AEE" w14:textId="237F7B5E"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Similarly, the simultaneous effects of differences in endowment between the rich and the poor children’s households as well as the coefficients were negligible in both 2003 and 2014. The coefficients of the determinants of underweight increased from 2003 to 2014 with mother’s </w:t>
      </w:r>
      <w:r w:rsidRPr="003C12F4">
        <w:rPr>
          <w:rFonts w:ascii="Helvetica" w:eastAsia="MS Mincho" w:hAnsi="Helvetica" w:cs="Helvetica"/>
          <w:sz w:val="24"/>
          <w:szCs w:val="24"/>
          <w:lang w:val="en-GB"/>
        </w:rPr>
        <w:lastRenderedPageBreak/>
        <w:t xml:space="preserve">education level and the socioeconomic status of the household in which the child is born remaining substantial factors contributing to the increase in the gap in nutrition status between the rich and the poor. The decompositions of the weight for age z scores and the subsequent changes in the coefficients of the determinants of underweight are presented in </w:t>
      </w:r>
      <w:r w:rsidRPr="003C12F4">
        <w:rPr>
          <w:rFonts w:ascii="Helvetica" w:eastAsia="MS Mincho" w:hAnsi="Helvetica" w:cs="Helvetica"/>
          <w:b/>
          <w:bCs/>
          <w:sz w:val="24"/>
          <w:szCs w:val="24"/>
          <w:lang w:val="en-GB"/>
        </w:rPr>
        <w:t>Table 8</w:t>
      </w:r>
      <w:r w:rsidRPr="003C12F4">
        <w:rPr>
          <w:rFonts w:ascii="Helvetica" w:eastAsia="MS Mincho" w:hAnsi="Helvetica" w:cs="Helvetica"/>
          <w:sz w:val="24"/>
          <w:szCs w:val="24"/>
          <w:lang w:val="en-GB"/>
        </w:rPr>
        <w:t xml:space="preserve">. </w:t>
      </w:r>
      <w:r w:rsidR="002832FF">
        <w:rPr>
          <w:rFonts w:ascii="Helvetica" w:eastAsia="MS Mincho" w:hAnsi="Helvetica" w:cs="Helvetica"/>
          <w:sz w:val="24"/>
          <w:szCs w:val="24"/>
          <w:lang w:val="en-GB"/>
        </w:rPr>
        <w:t xml:space="preserve">We did not observe </w:t>
      </w:r>
      <w:r w:rsidRPr="003C12F4">
        <w:rPr>
          <w:rFonts w:ascii="Helvetica" w:eastAsia="MS Mincho" w:hAnsi="Helvetica" w:cs="Helvetica"/>
          <w:sz w:val="24"/>
          <w:szCs w:val="24"/>
          <w:lang w:val="en-GB"/>
        </w:rPr>
        <w:t>substantial and statistically significant differences in wasting concentration indices between 2003 and 2014. As such, the study did not decompose the effects of the determinants in contributing to the observed differences in the recorded scores.</w:t>
      </w:r>
    </w:p>
    <w:p w14:paraId="0CBE8B97"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br w:type="page"/>
      </w:r>
    </w:p>
    <w:p w14:paraId="04FDCC24" w14:textId="77777777" w:rsidR="003C12F4" w:rsidRPr="003C12F4" w:rsidRDefault="003C12F4" w:rsidP="003C12F4">
      <w:pPr>
        <w:keepNext/>
        <w:spacing w:before="0" w:beforeAutospacing="0" w:after="200" w:afterAutospacing="0"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Table 7.</w:t>
      </w:r>
      <w:r w:rsidRPr="003C12F4">
        <w:rPr>
          <w:rFonts w:ascii="Helvetica" w:eastAsia="Times New Roman" w:hAnsi="Helvetica" w:cs="Helvetica"/>
          <w:b/>
          <w:bCs/>
        </w:rPr>
        <w:t xml:space="preserve"> Decompositions of the socioeconomic disparities in under-five child malnutrition</w:t>
      </w:r>
    </w:p>
    <w:tbl>
      <w:tblPr>
        <w:tblW w:w="5000" w:type="pct"/>
        <w:tblCellMar>
          <w:left w:w="0" w:type="dxa"/>
          <w:right w:w="0" w:type="dxa"/>
        </w:tblCellMar>
        <w:tblLook w:val="04A0" w:firstRow="1" w:lastRow="0" w:firstColumn="1" w:lastColumn="0" w:noHBand="0" w:noVBand="1"/>
      </w:tblPr>
      <w:tblGrid>
        <w:gridCol w:w="2011"/>
        <w:gridCol w:w="1050"/>
        <w:gridCol w:w="1050"/>
        <w:gridCol w:w="1050"/>
        <w:gridCol w:w="1050"/>
        <w:gridCol w:w="1050"/>
        <w:gridCol w:w="1045"/>
      </w:tblGrid>
      <w:tr w:rsidR="003C12F4" w:rsidRPr="003C12F4" w14:paraId="646446AB" w14:textId="77777777" w:rsidTr="003C12F4">
        <w:trPr>
          <w:trHeight w:val="300"/>
        </w:trPr>
        <w:tc>
          <w:tcPr>
            <w:tcW w:w="1211" w:type="pct"/>
            <w:tcBorders>
              <w:top w:val="single" w:sz="8" w:space="0" w:color="000000"/>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8D41F8"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1896" w:type="pct"/>
            <w:gridSpan w:val="3"/>
            <w:vMerge w:val="restart"/>
            <w:tcBorders>
              <w:top w:val="single" w:sz="8" w:space="0" w:color="000000"/>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28861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Decomposition of height for age z scores for 2003</w:t>
            </w:r>
          </w:p>
        </w:tc>
        <w:tc>
          <w:tcPr>
            <w:tcW w:w="1893" w:type="pct"/>
            <w:gridSpan w:val="3"/>
            <w:vMerge w:val="restart"/>
            <w:tcBorders>
              <w:top w:val="single" w:sz="8" w:space="0" w:color="000000"/>
              <w:left w:val="single" w:sz="4" w:space="0" w:color="auto"/>
              <w:bottom w:val="single" w:sz="4" w:space="0" w:color="auto"/>
            </w:tcBorders>
            <w:shd w:val="clear" w:color="auto" w:fill="auto"/>
            <w:tcMar>
              <w:top w:w="15" w:type="dxa"/>
              <w:left w:w="15" w:type="dxa"/>
              <w:bottom w:w="0" w:type="dxa"/>
              <w:right w:w="15" w:type="dxa"/>
            </w:tcMar>
            <w:vAlign w:val="center"/>
            <w:hideMark/>
          </w:tcPr>
          <w:p w14:paraId="2AADB0C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Decomposition of height for age z scores for 2014</w:t>
            </w:r>
          </w:p>
        </w:tc>
      </w:tr>
      <w:tr w:rsidR="003C12F4" w:rsidRPr="003C12F4" w14:paraId="5CB61829"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F7EFA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1896" w:type="pct"/>
            <w:gridSpan w:val="3"/>
            <w:vMerge/>
            <w:tcBorders>
              <w:top w:val="single" w:sz="4" w:space="0" w:color="auto"/>
              <w:left w:val="single" w:sz="4" w:space="0" w:color="auto"/>
              <w:bottom w:val="single" w:sz="4" w:space="0" w:color="auto"/>
              <w:right w:val="single" w:sz="4" w:space="0" w:color="auto"/>
            </w:tcBorders>
            <w:vAlign w:val="center"/>
            <w:hideMark/>
          </w:tcPr>
          <w:p w14:paraId="43B2ACB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1893" w:type="pct"/>
            <w:gridSpan w:val="3"/>
            <w:vMerge/>
            <w:tcBorders>
              <w:top w:val="single" w:sz="4" w:space="0" w:color="auto"/>
              <w:left w:val="single" w:sz="4" w:space="0" w:color="auto"/>
              <w:bottom w:val="single" w:sz="4" w:space="0" w:color="auto"/>
            </w:tcBorders>
            <w:vAlign w:val="center"/>
            <w:hideMark/>
          </w:tcPr>
          <w:p w14:paraId="3898E5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42148B86"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C9B96E"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DB975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48B68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Robust</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8FF4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A66B7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7599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Robust</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295A62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68E450A8"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396D99"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Stunting</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B2E4FD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 xml:space="preserve">Coef. </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BA9D7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3893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8C40E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Coef.</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A28E5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B3AC6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r>
      <w:tr w:rsidR="003C12F4" w:rsidRPr="003C12F4" w14:paraId="73128B03"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F72243"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Overall</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8EA270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E80459"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4FB84C7"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02193D8"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3319F3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1B68B81" w14:textId="77777777" w:rsidR="003C12F4" w:rsidRPr="003C12F4" w:rsidRDefault="003C12F4" w:rsidP="003C12F4">
            <w:pPr>
              <w:spacing w:before="0" w:beforeAutospacing="0" w:after="0" w:afterAutospacing="0" w:line="240" w:lineRule="auto"/>
              <w:jc w:val="right"/>
              <w:rPr>
                <w:rFonts w:ascii="Helvetica" w:eastAsia="Times New Roman" w:hAnsi="Helvetica" w:cs="Helvetica"/>
              </w:rPr>
            </w:pPr>
          </w:p>
        </w:tc>
      </w:tr>
      <w:tr w:rsidR="003C12F4" w:rsidRPr="003C12F4" w14:paraId="28E025F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6BD6F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921C84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0.0161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00CEE6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B2308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A16D9A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1.3373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A8A25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0.0155</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5682F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78AEEDCB"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1C233B"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4806D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0.0131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DF08E4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0903A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81D42C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0.7862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96CEF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0.0258</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58DB6E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7E1C2008"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E58D3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Difference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66661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0C2B68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8E08C8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97C78E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0.5512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736150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0.0301</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60D247D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5868F109"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05D3E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Endowments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2A049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A3346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C20812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0.642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607CE0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1.0131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47784A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0.1314</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8282D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1861B4F1"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F3CC8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Coefficients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FFAEE6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897B8B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F95DD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0.189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36B10D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0.1759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70C16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0.0608</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9B8249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w:t>
            </w:r>
          </w:p>
        </w:tc>
      </w:tr>
      <w:tr w:rsidR="003C12F4" w:rsidRPr="003C12F4" w14:paraId="0C5C2C56"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67387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Interaction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DEE594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BE3615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1A261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0.908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331D6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-0.6378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FB364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0.1417</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E5D4CE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4326FC0B"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DA0CE"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Endowments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AED63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C5C5AC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E13BF5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69F484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7A50BC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61C0F94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24F6E3A8"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A00C2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Age(months)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FE61E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8FE7D7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61FE79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1046FE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0.0096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2451D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0.0244</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009310C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0.692</w:t>
            </w:r>
          </w:p>
        </w:tc>
      </w:tr>
      <w:tr w:rsidR="003C12F4" w:rsidRPr="003C12F4" w14:paraId="6A09729E"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885D3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Age-squared</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06C699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A1AE7C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53ACE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C1C84F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-0.0137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24A55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0.0212</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41E785E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0.519</w:t>
            </w:r>
          </w:p>
        </w:tc>
      </w:tr>
      <w:tr w:rsidR="003C12F4" w:rsidRPr="003C12F4" w14:paraId="0F0DAE3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7F06F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F3B1D5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E0F31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5D9749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25AC58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F57E15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696CD3F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0.415</w:t>
            </w:r>
          </w:p>
        </w:tc>
      </w:tr>
      <w:tr w:rsidR="003C12F4" w:rsidRPr="003C12F4" w14:paraId="3AE7A917"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E0250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3F9633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16047D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B0DD8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D30008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59200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0.0290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3D171E0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0.059</w:t>
            </w:r>
          </w:p>
        </w:tc>
      </w:tr>
      <w:tr w:rsidR="003C12F4" w:rsidRPr="003C12F4" w14:paraId="276C3348"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4EBA2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B498D5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FBF3A0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62159E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0.877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8830AC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642151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002F08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0.222</w:t>
            </w:r>
          </w:p>
        </w:tc>
      </w:tr>
      <w:tr w:rsidR="003C12F4" w:rsidRPr="003C12F4" w14:paraId="1AAB57A2"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F81C9B"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6E718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9060E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634E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4C375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0.1247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989004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0.0228</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7DD2A4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436309EC"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4DAF0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407CD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01B05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5D63BC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0.736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C093D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0.8431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F488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0.1421</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42C526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09859F63"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8072E8"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Coefficients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C515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6E087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EB7185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12CA11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2D862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580CE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5D871FD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4058F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DA1672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3FE125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51253A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B20AC9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0.4488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F895AF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0.2163</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374A91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0.038</w:t>
            </w:r>
          </w:p>
        </w:tc>
      </w:tr>
      <w:tr w:rsidR="003C12F4" w:rsidRPr="003C12F4" w14:paraId="000DC2BA"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DD17C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3E7031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06F621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C134EF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0.252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C8690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-0.2171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27282B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0.1319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E0E924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0.100</w:t>
            </w:r>
          </w:p>
        </w:tc>
      </w:tr>
      <w:tr w:rsidR="003C12F4" w:rsidRPr="003C12F4" w14:paraId="47CBD01B"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F3F76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669C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78B2A8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0EB7AD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0.265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4D4AFB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-0.0461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E6529F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0.0860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4A089F1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0.592</w:t>
            </w:r>
          </w:p>
        </w:tc>
      </w:tr>
      <w:tr w:rsidR="003C12F4" w:rsidRPr="003C12F4" w14:paraId="460FCB6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FB6FBA"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8FA1D3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E3ECC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A4857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045BF8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-0.1705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765DC2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0.0844</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9BC40D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0.043</w:t>
            </w:r>
          </w:p>
        </w:tc>
      </w:tr>
      <w:tr w:rsidR="003C12F4" w:rsidRPr="003C12F4" w14:paraId="6DEDBD7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F9EAE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CB68A2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1DDA30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EC4F0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0.991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454FD7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0.1436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B8BD66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0.1020</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3EAC2A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0.159</w:t>
            </w:r>
          </w:p>
        </w:tc>
      </w:tr>
      <w:tr w:rsidR="003C12F4" w:rsidRPr="003C12F4" w14:paraId="18A9B87F"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8A1B7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14C04F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681B3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0E863B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0.245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E457A5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0.3827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A73D50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0.0729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8C0D49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0F99A8AD"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17A6CB"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0669E9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DF402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EACF99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0.948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CEF5B5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0.7195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58FD1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0.2626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9612A1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w:t>
            </w:r>
          </w:p>
        </w:tc>
      </w:tr>
      <w:tr w:rsidR="003C12F4" w:rsidRPr="003C12F4" w14:paraId="3DB4D3F6"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E8BE48"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b/>
                <w:bCs/>
                <w:color w:val="000000"/>
              </w:rPr>
              <w:t>Interaction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D883E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04A2F0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8FA28A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FF59EA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D4314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3743F8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68F7F0FF"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3462A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B8814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A450D0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611F69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A2E2DB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9D83B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0.0059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5DD2544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0.697</w:t>
            </w:r>
          </w:p>
        </w:tc>
      </w:tr>
      <w:tr w:rsidR="003C12F4" w:rsidRPr="003C12F4" w14:paraId="42273430"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E5523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A909B5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8A446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13B0E0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0.329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1966A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28A2EC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2A3158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0.547</w:t>
            </w:r>
          </w:p>
        </w:tc>
      </w:tr>
      <w:tr w:rsidR="003C12F4" w:rsidRPr="003C12F4" w14:paraId="4388DAD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09FF3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B918C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9D7F1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C54FB0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0.525</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32FD42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EA99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7EFCCE7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0.653</w:t>
            </w:r>
          </w:p>
        </w:tc>
      </w:tr>
      <w:tr w:rsidR="003C12F4" w:rsidRPr="003C12F4" w14:paraId="047562E5"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3FFB1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5916A4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6A7824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233ED9F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0.180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D3D3E6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-0.0738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18F2B6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0.0366</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1C80637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0.044</w:t>
            </w:r>
          </w:p>
        </w:tc>
      </w:tr>
      <w:tr w:rsidR="003C12F4" w:rsidRPr="003C12F4" w14:paraId="40CB4C0E"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5F8C5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A96977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E3E08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6CE92B4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0.991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482D87E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0.0096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15C3656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0.0069</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041550D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0.163</w:t>
            </w:r>
          </w:p>
        </w:tc>
      </w:tr>
      <w:tr w:rsidR="003C12F4" w:rsidRPr="003C12F4" w14:paraId="2984A7DF" w14:textId="77777777" w:rsidTr="003C12F4">
        <w:trPr>
          <w:trHeight w:val="300"/>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3189E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184546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5CA8074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52C30A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0.257</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7B52FB7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-0.1574</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0" w:type="dxa"/>
              <w:left w:w="15" w:type="dxa"/>
              <w:bottom w:w="0" w:type="dxa"/>
              <w:right w:w="15" w:type="dxa"/>
            </w:tcMar>
            <w:vAlign w:val="center"/>
            <w:hideMark/>
          </w:tcPr>
          <w:p w14:paraId="3985CFA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0.0302</w:t>
            </w:r>
          </w:p>
        </w:tc>
        <w:tc>
          <w:tcPr>
            <w:tcW w:w="629" w:type="pct"/>
            <w:tcBorders>
              <w:top w:val="single" w:sz="4" w:space="0" w:color="auto"/>
              <w:left w:val="single" w:sz="4" w:space="0" w:color="auto"/>
              <w:bottom w:val="single" w:sz="4" w:space="0" w:color="auto"/>
              <w:right w:val="nil"/>
            </w:tcBorders>
            <w:shd w:val="clear" w:color="auto" w:fill="auto"/>
            <w:tcMar>
              <w:top w:w="0" w:type="dxa"/>
              <w:left w:w="15" w:type="dxa"/>
              <w:bottom w:w="0" w:type="dxa"/>
              <w:right w:w="15" w:type="dxa"/>
            </w:tcMar>
            <w:vAlign w:val="center"/>
            <w:hideMark/>
          </w:tcPr>
          <w:p w14:paraId="5D7D431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&lt;0.001</w:t>
            </w:r>
          </w:p>
        </w:tc>
      </w:tr>
      <w:tr w:rsidR="003C12F4" w:rsidRPr="003C12F4" w14:paraId="030338C2" w14:textId="77777777" w:rsidTr="003C12F4">
        <w:trPr>
          <w:trHeight w:val="315"/>
        </w:trPr>
        <w:tc>
          <w:tcPr>
            <w:tcW w:w="1211"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28E4E9"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8E2A2B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8A6D0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0.0026</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847D5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0.948</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C8E1A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-0.4159</w:t>
            </w:r>
          </w:p>
        </w:tc>
        <w:tc>
          <w:tcPr>
            <w:tcW w:w="632"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865B6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0.1518</w:t>
            </w:r>
          </w:p>
        </w:tc>
        <w:tc>
          <w:tcPr>
            <w:tcW w:w="629" w:type="pct"/>
            <w:tcBorders>
              <w:top w:val="single" w:sz="4" w:space="0" w:color="auto"/>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16C4E4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w:t>
            </w:r>
          </w:p>
        </w:tc>
      </w:tr>
      <w:tr w:rsidR="003C12F4" w:rsidRPr="003C12F4" w14:paraId="47F171A6" w14:textId="77777777" w:rsidTr="003C12F4">
        <w:trPr>
          <w:trHeight w:val="315"/>
        </w:trPr>
        <w:tc>
          <w:tcPr>
            <w:tcW w:w="5000" w:type="pct"/>
            <w:gridSpan w:val="7"/>
            <w:tcBorders>
              <w:top w:val="single" w:sz="4" w:space="0" w:color="auto"/>
              <w:left w:val="nil"/>
              <w:bottom w:val="single" w:sz="8" w:space="0" w:color="auto"/>
            </w:tcBorders>
            <w:shd w:val="clear" w:color="auto" w:fill="auto"/>
            <w:tcMar>
              <w:top w:w="15" w:type="dxa"/>
              <w:left w:w="15" w:type="dxa"/>
              <w:bottom w:w="0" w:type="dxa"/>
              <w:right w:w="15" w:type="dxa"/>
            </w:tcMar>
            <w:vAlign w:val="center"/>
          </w:tcPr>
          <w:p w14:paraId="2DA52AD7"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b/>
                <w:bCs/>
                <w:sz w:val="24"/>
                <w:szCs w:val="24"/>
                <w:lang w:val="en-GB"/>
              </w:rPr>
              <w:t xml:space="preserve">Note: </w:t>
            </w:r>
            <w:r w:rsidRPr="003C12F4">
              <w:rPr>
                <w:rFonts w:ascii="Helvetica" w:eastAsia="MS Mincho" w:hAnsi="Helvetica" w:cs="Helvetica"/>
                <w:sz w:val="24"/>
                <w:szCs w:val="24"/>
                <w:lang w:val="en-GB"/>
              </w:rPr>
              <w:t>HAZ scores used were in their continuous form and were multiplied by -1. Coef.: Coefficient; Std. Err.: Standard Error.</w:t>
            </w:r>
          </w:p>
          <w:p w14:paraId="34695512"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p>
        </w:tc>
      </w:tr>
    </w:tbl>
    <w:p w14:paraId="14A1CC8B"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1E309ECE" w14:textId="77777777" w:rsidR="003C12F4" w:rsidRPr="003C12F4" w:rsidRDefault="003C12F4" w:rsidP="003C12F4">
      <w:pPr>
        <w:keepNext/>
        <w:spacing w:before="0" w:beforeAutospacing="0" w:after="200" w:afterAutospacing="0" w:line="240" w:lineRule="auto"/>
        <w:rPr>
          <w:rFonts w:ascii="Cambria" w:eastAsia="MS Mincho" w:hAnsi="Cambria" w:cs="Times New Roman"/>
          <w:b/>
          <w:bCs/>
          <w:i/>
          <w:iCs/>
          <w:sz w:val="18"/>
          <w:szCs w:val="18"/>
          <w:lang w:val="en-GB"/>
        </w:rPr>
      </w:pPr>
      <w:r w:rsidRPr="003C12F4">
        <w:rPr>
          <w:rFonts w:ascii="Helvetica" w:eastAsia="Times New Roman" w:hAnsi="Helvetica" w:cs="Helvetica"/>
          <w:b/>
          <w:bCs/>
        </w:rPr>
        <w:lastRenderedPageBreak/>
        <w:t>Table 8. Decompositions of the weight for age z scores and the subsequent changes in the coefficients of the determinants of malnutrition</w:t>
      </w:r>
    </w:p>
    <w:tbl>
      <w:tblPr>
        <w:tblW w:w="0" w:type="auto"/>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1"/>
        <w:gridCol w:w="1814"/>
        <w:gridCol w:w="897"/>
        <w:gridCol w:w="730"/>
        <w:gridCol w:w="1791"/>
        <w:gridCol w:w="813"/>
        <w:gridCol w:w="730"/>
      </w:tblGrid>
      <w:tr w:rsidR="003C12F4" w:rsidRPr="003C12F4" w14:paraId="1323E359" w14:textId="77777777" w:rsidTr="003C12F4">
        <w:trPr>
          <w:trHeight w:val="283"/>
        </w:trPr>
        <w:tc>
          <w:tcPr>
            <w:tcW w:w="0" w:type="auto"/>
            <w:tcBorders>
              <w:top w:val="single" w:sz="4" w:space="0" w:color="auto"/>
            </w:tcBorders>
            <w:shd w:val="clear" w:color="auto" w:fill="auto"/>
            <w:tcMar>
              <w:top w:w="15" w:type="dxa"/>
              <w:left w:w="15" w:type="dxa"/>
              <w:bottom w:w="0" w:type="dxa"/>
              <w:right w:w="15" w:type="dxa"/>
            </w:tcMar>
            <w:vAlign w:val="center"/>
            <w:hideMark/>
          </w:tcPr>
          <w:p w14:paraId="4A49020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0" w:type="auto"/>
            <w:tcBorders>
              <w:top w:val="single" w:sz="4" w:space="0" w:color="auto"/>
            </w:tcBorders>
            <w:shd w:val="clear" w:color="auto" w:fill="auto"/>
            <w:tcMar>
              <w:top w:w="15" w:type="dxa"/>
              <w:left w:w="15" w:type="dxa"/>
              <w:bottom w:w="0" w:type="dxa"/>
              <w:right w:w="15" w:type="dxa"/>
            </w:tcMar>
            <w:vAlign w:val="center"/>
            <w:hideMark/>
          </w:tcPr>
          <w:p w14:paraId="6DE095E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 xml:space="preserve"> Underweight in 2003</w:t>
            </w:r>
          </w:p>
        </w:tc>
        <w:tc>
          <w:tcPr>
            <w:tcW w:w="0" w:type="auto"/>
            <w:tcBorders>
              <w:top w:val="single" w:sz="4" w:space="0" w:color="auto"/>
            </w:tcBorders>
            <w:shd w:val="clear" w:color="auto" w:fill="auto"/>
            <w:vAlign w:val="center"/>
          </w:tcPr>
          <w:p w14:paraId="5BE4597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tcBorders>
              <w:top w:val="single" w:sz="4" w:space="0" w:color="auto"/>
            </w:tcBorders>
            <w:shd w:val="clear" w:color="auto" w:fill="auto"/>
            <w:vAlign w:val="center"/>
          </w:tcPr>
          <w:p w14:paraId="62494F9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tcBorders>
              <w:top w:val="single" w:sz="4" w:space="0" w:color="auto"/>
            </w:tcBorders>
            <w:shd w:val="clear" w:color="auto" w:fill="auto"/>
            <w:tcMar>
              <w:top w:w="15" w:type="dxa"/>
              <w:left w:w="15" w:type="dxa"/>
              <w:bottom w:w="0" w:type="dxa"/>
              <w:right w:w="15" w:type="dxa"/>
            </w:tcMar>
            <w:vAlign w:val="center"/>
            <w:hideMark/>
          </w:tcPr>
          <w:p w14:paraId="317F75D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Underweight in 2014</w:t>
            </w:r>
          </w:p>
        </w:tc>
        <w:tc>
          <w:tcPr>
            <w:tcW w:w="0" w:type="auto"/>
            <w:tcBorders>
              <w:top w:val="single" w:sz="4" w:space="0" w:color="auto"/>
            </w:tcBorders>
            <w:shd w:val="clear" w:color="auto" w:fill="auto"/>
            <w:vAlign w:val="center"/>
          </w:tcPr>
          <w:p w14:paraId="01D8FA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tcBorders>
              <w:top w:val="single" w:sz="4" w:space="0" w:color="auto"/>
            </w:tcBorders>
            <w:shd w:val="clear" w:color="auto" w:fill="auto"/>
            <w:vAlign w:val="center"/>
          </w:tcPr>
          <w:p w14:paraId="7C1A2C5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2F6F8813" w14:textId="77777777" w:rsidTr="003C12F4">
        <w:trPr>
          <w:trHeight w:val="283"/>
        </w:trPr>
        <w:tc>
          <w:tcPr>
            <w:tcW w:w="0" w:type="auto"/>
            <w:shd w:val="clear" w:color="auto" w:fill="auto"/>
            <w:tcMar>
              <w:top w:w="15" w:type="dxa"/>
              <w:left w:w="15" w:type="dxa"/>
              <w:bottom w:w="0" w:type="dxa"/>
              <w:right w:w="15" w:type="dxa"/>
            </w:tcMar>
            <w:vAlign w:val="center"/>
            <w:hideMark/>
          </w:tcPr>
          <w:p w14:paraId="62D57A5D"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r w:rsidRPr="003C12F4">
              <w:rPr>
                <w:rFonts w:ascii="Helvetica" w:eastAsia="Times New Roman" w:hAnsi="Helvetica" w:cs="Helvetica"/>
                <w:color w:val="000000"/>
              </w:rPr>
              <w:t> </w:t>
            </w:r>
          </w:p>
        </w:tc>
        <w:tc>
          <w:tcPr>
            <w:tcW w:w="0" w:type="auto"/>
            <w:shd w:val="clear" w:color="auto" w:fill="auto"/>
            <w:tcMar>
              <w:top w:w="15" w:type="dxa"/>
              <w:left w:w="15" w:type="dxa"/>
              <w:bottom w:w="0" w:type="dxa"/>
              <w:right w:w="15" w:type="dxa"/>
            </w:tcMar>
            <w:vAlign w:val="center"/>
            <w:hideMark/>
          </w:tcPr>
          <w:p w14:paraId="32C421F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2958EFC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Robust</w:t>
            </w:r>
          </w:p>
        </w:tc>
        <w:tc>
          <w:tcPr>
            <w:tcW w:w="0" w:type="auto"/>
            <w:shd w:val="clear" w:color="auto" w:fill="auto"/>
            <w:tcMar>
              <w:top w:w="15" w:type="dxa"/>
              <w:left w:w="15" w:type="dxa"/>
              <w:bottom w:w="0" w:type="dxa"/>
              <w:right w:w="15" w:type="dxa"/>
            </w:tcMar>
            <w:vAlign w:val="center"/>
            <w:hideMark/>
          </w:tcPr>
          <w:p w14:paraId="53F4863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66CD66F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70F3BEA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15" w:type="dxa"/>
              <w:left w:w="15" w:type="dxa"/>
              <w:bottom w:w="0" w:type="dxa"/>
              <w:right w:w="15" w:type="dxa"/>
            </w:tcMar>
            <w:vAlign w:val="center"/>
            <w:hideMark/>
          </w:tcPr>
          <w:p w14:paraId="51E73F2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r>
      <w:tr w:rsidR="003C12F4" w:rsidRPr="003C12F4" w14:paraId="553222D6" w14:textId="77777777" w:rsidTr="003C12F4">
        <w:trPr>
          <w:trHeight w:val="283"/>
        </w:trPr>
        <w:tc>
          <w:tcPr>
            <w:tcW w:w="0" w:type="auto"/>
            <w:shd w:val="clear" w:color="auto" w:fill="auto"/>
            <w:tcMar>
              <w:top w:w="15" w:type="dxa"/>
              <w:left w:w="15" w:type="dxa"/>
              <w:bottom w:w="0" w:type="dxa"/>
              <w:right w:w="15" w:type="dxa"/>
            </w:tcMar>
            <w:vAlign w:val="center"/>
            <w:hideMark/>
          </w:tcPr>
          <w:p w14:paraId="64C41BDD"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 xml:space="preserve">Underweight </w:t>
            </w:r>
          </w:p>
        </w:tc>
        <w:tc>
          <w:tcPr>
            <w:tcW w:w="0" w:type="auto"/>
            <w:shd w:val="clear" w:color="auto" w:fill="auto"/>
            <w:tcMar>
              <w:top w:w="15" w:type="dxa"/>
              <w:left w:w="15" w:type="dxa"/>
              <w:bottom w:w="0" w:type="dxa"/>
              <w:right w:w="15" w:type="dxa"/>
            </w:tcMar>
            <w:vAlign w:val="center"/>
            <w:hideMark/>
          </w:tcPr>
          <w:p w14:paraId="526DDA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Coef.</w:t>
            </w:r>
          </w:p>
        </w:tc>
        <w:tc>
          <w:tcPr>
            <w:tcW w:w="0" w:type="auto"/>
            <w:shd w:val="clear" w:color="auto" w:fill="auto"/>
            <w:tcMar>
              <w:top w:w="15" w:type="dxa"/>
              <w:left w:w="15" w:type="dxa"/>
              <w:bottom w:w="0" w:type="dxa"/>
              <w:right w:w="15" w:type="dxa"/>
            </w:tcMar>
            <w:vAlign w:val="center"/>
            <w:hideMark/>
          </w:tcPr>
          <w:p w14:paraId="5B6E066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0" w:type="auto"/>
            <w:shd w:val="clear" w:color="auto" w:fill="auto"/>
            <w:tcMar>
              <w:top w:w="15" w:type="dxa"/>
              <w:left w:w="15" w:type="dxa"/>
              <w:bottom w:w="0" w:type="dxa"/>
              <w:right w:w="15" w:type="dxa"/>
            </w:tcMar>
            <w:vAlign w:val="center"/>
            <w:hideMark/>
          </w:tcPr>
          <w:p w14:paraId="26F8E45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c>
          <w:tcPr>
            <w:tcW w:w="0" w:type="auto"/>
            <w:shd w:val="clear" w:color="auto" w:fill="auto"/>
            <w:tcMar>
              <w:top w:w="15" w:type="dxa"/>
              <w:left w:w="15" w:type="dxa"/>
              <w:bottom w:w="0" w:type="dxa"/>
              <w:right w:w="15" w:type="dxa"/>
            </w:tcMar>
            <w:vAlign w:val="center"/>
            <w:hideMark/>
          </w:tcPr>
          <w:p w14:paraId="355D345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Coef.</w:t>
            </w:r>
          </w:p>
        </w:tc>
        <w:tc>
          <w:tcPr>
            <w:tcW w:w="0" w:type="auto"/>
            <w:shd w:val="clear" w:color="auto" w:fill="auto"/>
            <w:tcMar>
              <w:top w:w="15" w:type="dxa"/>
              <w:left w:w="15" w:type="dxa"/>
              <w:bottom w:w="0" w:type="dxa"/>
              <w:right w:w="15" w:type="dxa"/>
            </w:tcMar>
            <w:vAlign w:val="center"/>
            <w:hideMark/>
          </w:tcPr>
          <w:p w14:paraId="53AE2A8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Std Err.</w:t>
            </w:r>
          </w:p>
        </w:tc>
        <w:tc>
          <w:tcPr>
            <w:tcW w:w="0" w:type="auto"/>
            <w:shd w:val="clear" w:color="auto" w:fill="auto"/>
            <w:tcMar>
              <w:top w:w="15" w:type="dxa"/>
              <w:left w:w="15" w:type="dxa"/>
              <w:bottom w:w="0" w:type="dxa"/>
              <w:right w:w="15" w:type="dxa"/>
            </w:tcMar>
            <w:vAlign w:val="center"/>
            <w:hideMark/>
          </w:tcPr>
          <w:p w14:paraId="5BA1471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r w:rsidRPr="003C12F4">
              <w:rPr>
                <w:rFonts w:ascii="Helvetica" w:eastAsia="Times New Roman" w:hAnsi="Helvetica" w:cs="Helvetica"/>
                <w:b/>
                <w:bCs/>
                <w:color w:val="000000"/>
              </w:rPr>
              <w:t>P-value</w:t>
            </w:r>
          </w:p>
        </w:tc>
      </w:tr>
      <w:tr w:rsidR="003C12F4" w:rsidRPr="003C12F4" w14:paraId="4B1C0AFD" w14:textId="77777777" w:rsidTr="003C12F4">
        <w:trPr>
          <w:trHeight w:val="283"/>
        </w:trPr>
        <w:tc>
          <w:tcPr>
            <w:tcW w:w="0" w:type="auto"/>
            <w:shd w:val="clear" w:color="auto" w:fill="auto"/>
            <w:tcMar>
              <w:top w:w="15" w:type="dxa"/>
              <w:left w:w="15" w:type="dxa"/>
              <w:bottom w:w="0" w:type="dxa"/>
              <w:right w:w="15" w:type="dxa"/>
            </w:tcMar>
            <w:vAlign w:val="center"/>
            <w:hideMark/>
          </w:tcPr>
          <w:p w14:paraId="7F6F5CE1"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overall</w:t>
            </w:r>
          </w:p>
        </w:tc>
        <w:tc>
          <w:tcPr>
            <w:tcW w:w="0" w:type="auto"/>
            <w:shd w:val="clear" w:color="auto" w:fill="auto"/>
            <w:tcMar>
              <w:top w:w="15" w:type="dxa"/>
              <w:left w:w="15" w:type="dxa"/>
              <w:bottom w:w="0" w:type="dxa"/>
              <w:right w:w="15" w:type="dxa"/>
            </w:tcMar>
            <w:vAlign w:val="center"/>
            <w:hideMark/>
          </w:tcPr>
          <w:p w14:paraId="6E4B2E9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5546D3E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193D4E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5FF9FDD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148CCDF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78C57B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26D3AC50" w14:textId="77777777" w:rsidTr="003C12F4">
        <w:trPr>
          <w:trHeight w:val="283"/>
        </w:trPr>
        <w:tc>
          <w:tcPr>
            <w:tcW w:w="0" w:type="auto"/>
            <w:shd w:val="clear" w:color="auto" w:fill="auto"/>
            <w:tcMar>
              <w:top w:w="15" w:type="dxa"/>
              <w:left w:w="15" w:type="dxa"/>
              <w:bottom w:w="0" w:type="dxa"/>
              <w:right w:w="15" w:type="dxa"/>
            </w:tcMar>
            <w:vAlign w:val="center"/>
            <w:hideMark/>
          </w:tcPr>
          <w:p w14:paraId="0DDE6D6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1</w:t>
            </w:r>
          </w:p>
        </w:tc>
        <w:tc>
          <w:tcPr>
            <w:tcW w:w="0" w:type="auto"/>
            <w:shd w:val="clear" w:color="auto" w:fill="auto"/>
            <w:tcMar>
              <w:top w:w="0" w:type="dxa"/>
              <w:left w:w="15" w:type="dxa"/>
              <w:bottom w:w="0" w:type="dxa"/>
              <w:right w:w="15" w:type="dxa"/>
            </w:tcMar>
            <w:vAlign w:val="center"/>
            <w:hideMark/>
          </w:tcPr>
          <w:p w14:paraId="29177B3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0.0100</w:t>
            </w:r>
          </w:p>
        </w:tc>
        <w:tc>
          <w:tcPr>
            <w:tcW w:w="0" w:type="auto"/>
            <w:shd w:val="clear" w:color="auto" w:fill="auto"/>
            <w:tcMar>
              <w:top w:w="0" w:type="dxa"/>
              <w:left w:w="15" w:type="dxa"/>
              <w:bottom w:w="0" w:type="dxa"/>
              <w:right w:w="15" w:type="dxa"/>
            </w:tcMar>
            <w:vAlign w:val="center"/>
            <w:hideMark/>
          </w:tcPr>
          <w:p w14:paraId="04DF617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08AB2D0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29EB701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0.8217</w:t>
            </w:r>
          </w:p>
        </w:tc>
        <w:tc>
          <w:tcPr>
            <w:tcW w:w="0" w:type="auto"/>
            <w:shd w:val="clear" w:color="auto" w:fill="auto"/>
            <w:tcMar>
              <w:top w:w="0" w:type="dxa"/>
              <w:left w:w="15" w:type="dxa"/>
              <w:bottom w:w="0" w:type="dxa"/>
              <w:right w:w="15" w:type="dxa"/>
            </w:tcMar>
            <w:vAlign w:val="center"/>
            <w:hideMark/>
          </w:tcPr>
          <w:p w14:paraId="4837D03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0.0131</w:t>
            </w:r>
          </w:p>
        </w:tc>
        <w:tc>
          <w:tcPr>
            <w:tcW w:w="0" w:type="auto"/>
            <w:shd w:val="clear" w:color="auto" w:fill="auto"/>
            <w:tcMar>
              <w:top w:w="0" w:type="dxa"/>
              <w:left w:w="15" w:type="dxa"/>
              <w:bottom w:w="0" w:type="dxa"/>
              <w:right w:w="15" w:type="dxa"/>
            </w:tcMar>
            <w:vAlign w:val="center"/>
            <w:hideMark/>
          </w:tcPr>
          <w:p w14:paraId="203B87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F88BB38" w14:textId="77777777" w:rsidTr="003C12F4">
        <w:trPr>
          <w:trHeight w:val="283"/>
        </w:trPr>
        <w:tc>
          <w:tcPr>
            <w:tcW w:w="0" w:type="auto"/>
            <w:shd w:val="clear" w:color="auto" w:fill="auto"/>
            <w:tcMar>
              <w:top w:w="15" w:type="dxa"/>
              <w:left w:w="15" w:type="dxa"/>
              <w:bottom w:w="0" w:type="dxa"/>
              <w:right w:w="15" w:type="dxa"/>
            </w:tcMar>
            <w:vAlign w:val="center"/>
            <w:hideMark/>
          </w:tcPr>
          <w:p w14:paraId="2186518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Group 2</w:t>
            </w:r>
          </w:p>
        </w:tc>
        <w:tc>
          <w:tcPr>
            <w:tcW w:w="0" w:type="auto"/>
            <w:shd w:val="clear" w:color="auto" w:fill="auto"/>
            <w:tcMar>
              <w:top w:w="0" w:type="dxa"/>
              <w:left w:w="15" w:type="dxa"/>
              <w:bottom w:w="0" w:type="dxa"/>
              <w:right w:w="15" w:type="dxa"/>
            </w:tcMar>
            <w:vAlign w:val="center"/>
            <w:hideMark/>
          </w:tcPr>
          <w:p w14:paraId="38F37BE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0.0077</w:t>
            </w:r>
          </w:p>
        </w:tc>
        <w:tc>
          <w:tcPr>
            <w:tcW w:w="0" w:type="auto"/>
            <w:shd w:val="clear" w:color="auto" w:fill="auto"/>
            <w:tcMar>
              <w:top w:w="0" w:type="dxa"/>
              <w:left w:w="15" w:type="dxa"/>
              <w:bottom w:w="0" w:type="dxa"/>
              <w:right w:w="15" w:type="dxa"/>
            </w:tcMar>
            <w:vAlign w:val="center"/>
            <w:hideMark/>
          </w:tcPr>
          <w:p w14:paraId="6FE5BD3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0" w:type="auto"/>
            <w:shd w:val="clear" w:color="auto" w:fill="auto"/>
            <w:tcMar>
              <w:top w:w="0" w:type="dxa"/>
              <w:left w:w="15" w:type="dxa"/>
              <w:bottom w:w="0" w:type="dxa"/>
              <w:right w:w="15" w:type="dxa"/>
            </w:tcMar>
            <w:vAlign w:val="center"/>
            <w:hideMark/>
          </w:tcPr>
          <w:p w14:paraId="5B98AE7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0B69C9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0.2996</w:t>
            </w:r>
          </w:p>
        </w:tc>
        <w:tc>
          <w:tcPr>
            <w:tcW w:w="0" w:type="auto"/>
            <w:shd w:val="clear" w:color="auto" w:fill="auto"/>
            <w:tcMar>
              <w:top w:w="0" w:type="dxa"/>
              <w:left w:w="15" w:type="dxa"/>
              <w:bottom w:w="0" w:type="dxa"/>
              <w:right w:w="15" w:type="dxa"/>
            </w:tcMar>
            <w:vAlign w:val="center"/>
            <w:hideMark/>
          </w:tcPr>
          <w:p w14:paraId="746F644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0.0211</w:t>
            </w:r>
          </w:p>
        </w:tc>
        <w:tc>
          <w:tcPr>
            <w:tcW w:w="0" w:type="auto"/>
            <w:shd w:val="clear" w:color="auto" w:fill="auto"/>
            <w:tcMar>
              <w:top w:w="0" w:type="dxa"/>
              <w:left w:w="15" w:type="dxa"/>
              <w:bottom w:w="0" w:type="dxa"/>
              <w:right w:w="15" w:type="dxa"/>
            </w:tcMar>
            <w:vAlign w:val="center"/>
            <w:hideMark/>
          </w:tcPr>
          <w:p w14:paraId="706721C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501CF81" w14:textId="77777777" w:rsidTr="003C12F4">
        <w:trPr>
          <w:trHeight w:val="283"/>
        </w:trPr>
        <w:tc>
          <w:tcPr>
            <w:tcW w:w="0" w:type="auto"/>
            <w:shd w:val="clear" w:color="auto" w:fill="auto"/>
            <w:tcMar>
              <w:top w:w="15" w:type="dxa"/>
              <w:left w:w="15" w:type="dxa"/>
              <w:bottom w:w="0" w:type="dxa"/>
              <w:right w:w="15" w:type="dxa"/>
            </w:tcMar>
            <w:vAlign w:val="center"/>
            <w:hideMark/>
          </w:tcPr>
          <w:p w14:paraId="7B83360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difference</w:t>
            </w:r>
          </w:p>
        </w:tc>
        <w:tc>
          <w:tcPr>
            <w:tcW w:w="0" w:type="auto"/>
            <w:shd w:val="clear" w:color="auto" w:fill="auto"/>
            <w:tcMar>
              <w:top w:w="0" w:type="dxa"/>
              <w:left w:w="15" w:type="dxa"/>
              <w:bottom w:w="0" w:type="dxa"/>
              <w:right w:w="15" w:type="dxa"/>
            </w:tcMar>
            <w:vAlign w:val="center"/>
            <w:hideMark/>
          </w:tcPr>
          <w:p w14:paraId="73BC667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0.0022</w:t>
            </w:r>
          </w:p>
        </w:tc>
        <w:tc>
          <w:tcPr>
            <w:tcW w:w="0" w:type="auto"/>
            <w:shd w:val="clear" w:color="auto" w:fill="auto"/>
            <w:tcMar>
              <w:top w:w="0" w:type="dxa"/>
              <w:left w:w="15" w:type="dxa"/>
              <w:bottom w:w="0" w:type="dxa"/>
              <w:right w:w="15" w:type="dxa"/>
            </w:tcMar>
            <w:vAlign w:val="center"/>
            <w:hideMark/>
          </w:tcPr>
          <w:p w14:paraId="1DB488E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0" w:type="dxa"/>
              <w:left w:w="15" w:type="dxa"/>
              <w:bottom w:w="0" w:type="dxa"/>
              <w:right w:w="15" w:type="dxa"/>
            </w:tcMar>
            <w:vAlign w:val="center"/>
            <w:hideMark/>
          </w:tcPr>
          <w:p w14:paraId="31F3CD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7120407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0.5221</w:t>
            </w:r>
          </w:p>
        </w:tc>
        <w:tc>
          <w:tcPr>
            <w:tcW w:w="0" w:type="auto"/>
            <w:shd w:val="clear" w:color="auto" w:fill="auto"/>
            <w:tcMar>
              <w:top w:w="0" w:type="dxa"/>
              <w:left w:w="15" w:type="dxa"/>
              <w:bottom w:w="0" w:type="dxa"/>
              <w:right w:w="15" w:type="dxa"/>
            </w:tcMar>
            <w:vAlign w:val="center"/>
            <w:hideMark/>
          </w:tcPr>
          <w:p w14:paraId="7D568E5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0.0248</w:t>
            </w:r>
          </w:p>
        </w:tc>
        <w:tc>
          <w:tcPr>
            <w:tcW w:w="0" w:type="auto"/>
            <w:shd w:val="clear" w:color="auto" w:fill="auto"/>
            <w:tcMar>
              <w:top w:w="0" w:type="dxa"/>
              <w:left w:w="15" w:type="dxa"/>
              <w:bottom w:w="0" w:type="dxa"/>
              <w:right w:w="15" w:type="dxa"/>
            </w:tcMar>
            <w:vAlign w:val="center"/>
            <w:hideMark/>
          </w:tcPr>
          <w:p w14:paraId="7CA0845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B35F98C" w14:textId="77777777" w:rsidTr="003C12F4">
        <w:trPr>
          <w:trHeight w:val="283"/>
        </w:trPr>
        <w:tc>
          <w:tcPr>
            <w:tcW w:w="0" w:type="auto"/>
            <w:shd w:val="clear" w:color="auto" w:fill="auto"/>
            <w:tcMar>
              <w:top w:w="15" w:type="dxa"/>
              <w:left w:w="15" w:type="dxa"/>
              <w:bottom w:w="0" w:type="dxa"/>
              <w:right w:w="15" w:type="dxa"/>
            </w:tcMar>
            <w:vAlign w:val="center"/>
            <w:hideMark/>
          </w:tcPr>
          <w:p w14:paraId="21824FD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endowments</w:t>
            </w:r>
          </w:p>
        </w:tc>
        <w:tc>
          <w:tcPr>
            <w:tcW w:w="0" w:type="auto"/>
            <w:shd w:val="clear" w:color="auto" w:fill="auto"/>
            <w:tcMar>
              <w:top w:w="0" w:type="dxa"/>
              <w:left w:w="15" w:type="dxa"/>
              <w:bottom w:w="0" w:type="dxa"/>
              <w:right w:w="15" w:type="dxa"/>
            </w:tcMar>
            <w:vAlign w:val="center"/>
            <w:hideMark/>
          </w:tcPr>
          <w:p w14:paraId="1F3EE6D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4B2AB53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0.0019</w:t>
            </w:r>
          </w:p>
        </w:tc>
        <w:tc>
          <w:tcPr>
            <w:tcW w:w="0" w:type="auto"/>
            <w:shd w:val="clear" w:color="auto" w:fill="auto"/>
            <w:tcMar>
              <w:top w:w="0" w:type="dxa"/>
              <w:left w:w="15" w:type="dxa"/>
              <w:bottom w:w="0" w:type="dxa"/>
              <w:right w:w="15" w:type="dxa"/>
            </w:tcMar>
            <w:vAlign w:val="center"/>
            <w:hideMark/>
          </w:tcPr>
          <w:p w14:paraId="407733D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0.936</w:t>
            </w:r>
          </w:p>
        </w:tc>
        <w:tc>
          <w:tcPr>
            <w:tcW w:w="0" w:type="auto"/>
            <w:shd w:val="clear" w:color="auto" w:fill="auto"/>
            <w:tcMar>
              <w:top w:w="0" w:type="dxa"/>
              <w:left w:w="15" w:type="dxa"/>
              <w:bottom w:w="0" w:type="dxa"/>
              <w:right w:w="15" w:type="dxa"/>
            </w:tcMar>
            <w:vAlign w:val="center"/>
            <w:hideMark/>
          </w:tcPr>
          <w:p w14:paraId="380D44D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0.7253</w:t>
            </w:r>
          </w:p>
        </w:tc>
        <w:tc>
          <w:tcPr>
            <w:tcW w:w="0" w:type="auto"/>
            <w:shd w:val="clear" w:color="auto" w:fill="auto"/>
            <w:tcMar>
              <w:top w:w="0" w:type="dxa"/>
              <w:left w:w="15" w:type="dxa"/>
              <w:bottom w:w="0" w:type="dxa"/>
              <w:right w:w="15" w:type="dxa"/>
            </w:tcMar>
            <w:vAlign w:val="center"/>
            <w:hideMark/>
          </w:tcPr>
          <w:p w14:paraId="701664E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0.1097</w:t>
            </w:r>
          </w:p>
        </w:tc>
        <w:tc>
          <w:tcPr>
            <w:tcW w:w="0" w:type="auto"/>
            <w:shd w:val="clear" w:color="auto" w:fill="auto"/>
            <w:tcMar>
              <w:top w:w="0" w:type="dxa"/>
              <w:left w:w="15" w:type="dxa"/>
              <w:bottom w:w="0" w:type="dxa"/>
              <w:right w:w="15" w:type="dxa"/>
            </w:tcMar>
            <w:vAlign w:val="center"/>
            <w:hideMark/>
          </w:tcPr>
          <w:p w14:paraId="262A2E1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452CD7F0" w14:textId="77777777" w:rsidTr="003C12F4">
        <w:trPr>
          <w:trHeight w:val="283"/>
        </w:trPr>
        <w:tc>
          <w:tcPr>
            <w:tcW w:w="0" w:type="auto"/>
            <w:shd w:val="clear" w:color="auto" w:fill="auto"/>
            <w:tcMar>
              <w:top w:w="15" w:type="dxa"/>
              <w:left w:w="15" w:type="dxa"/>
              <w:bottom w:w="0" w:type="dxa"/>
              <w:right w:w="15" w:type="dxa"/>
            </w:tcMar>
            <w:vAlign w:val="center"/>
            <w:hideMark/>
          </w:tcPr>
          <w:p w14:paraId="20B3529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coefficients</w:t>
            </w:r>
          </w:p>
        </w:tc>
        <w:tc>
          <w:tcPr>
            <w:tcW w:w="0" w:type="auto"/>
            <w:shd w:val="clear" w:color="auto" w:fill="auto"/>
            <w:tcMar>
              <w:top w:w="0" w:type="dxa"/>
              <w:left w:w="15" w:type="dxa"/>
              <w:bottom w:w="0" w:type="dxa"/>
              <w:right w:w="15" w:type="dxa"/>
            </w:tcMar>
            <w:vAlign w:val="center"/>
            <w:hideMark/>
          </w:tcPr>
          <w:p w14:paraId="1A753A5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1E4ACA6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0.0010</w:t>
            </w:r>
          </w:p>
        </w:tc>
        <w:tc>
          <w:tcPr>
            <w:tcW w:w="0" w:type="auto"/>
            <w:shd w:val="clear" w:color="auto" w:fill="auto"/>
            <w:tcMar>
              <w:top w:w="0" w:type="dxa"/>
              <w:left w:w="15" w:type="dxa"/>
              <w:bottom w:w="0" w:type="dxa"/>
              <w:right w:w="15" w:type="dxa"/>
            </w:tcMar>
            <w:vAlign w:val="center"/>
            <w:hideMark/>
          </w:tcPr>
          <w:p w14:paraId="3643CC3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0.996</w:t>
            </w:r>
          </w:p>
        </w:tc>
        <w:tc>
          <w:tcPr>
            <w:tcW w:w="0" w:type="auto"/>
            <w:shd w:val="clear" w:color="auto" w:fill="auto"/>
            <w:tcMar>
              <w:top w:w="0" w:type="dxa"/>
              <w:left w:w="15" w:type="dxa"/>
              <w:bottom w:w="0" w:type="dxa"/>
              <w:right w:w="15" w:type="dxa"/>
            </w:tcMar>
            <w:vAlign w:val="center"/>
            <w:hideMark/>
          </w:tcPr>
          <w:p w14:paraId="61FE9BB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-0.0546</w:t>
            </w:r>
          </w:p>
        </w:tc>
        <w:tc>
          <w:tcPr>
            <w:tcW w:w="0" w:type="auto"/>
            <w:shd w:val="clear" w:color="auto" w:fill="auto"/>
            <w:tcMar>
              <w:top w:w="0" w:type="dxa"/>
              <w:left w:w="15" w:type="dxa"/>
              <w:bottom w:w="0" w:type="dxa"/>
              <w:right w:w="15" w:type="dxa"/>
            </w:tcMar>
            <w:vAlign w:val="center"/>
            <w:hideMark/>
          </w:tcPr>
          <w:p w14:paraId="7FA9BD9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0.0525</w:t>
            </w:r>
          </w:p>
        </w:tc>
        <w:tc>
          <w:tcPr>
            <w:tcW w:w="0" w:type="auto"/>
            <w:shd w:val="clear" w:color="auto" w:fill="auto"/>
            <w:tcMar>
              <w:top w:w="0" w:type="dxa"/>
              <w:left w:w="15" w:type="dxa"/>
              <w:bottom w:w="0" w:type="dxa"/>
              <w:right w:w="15" w:type="dxa"/>
            </w:tcMar>
            <w:vAlign w:val="center"/>
            <w:hideMark/>
          </w:tcPr>
          <w:p w14:paraId="2DDAFD1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0.299</w:t>
            </w:r>
          </w:p>
        </w:tc>
      </w:tr>
      <w:tr w:rsidR="003C12F4" w:rsidRPr="003C12F4" w14:paraId="7C4CF99F" w14:textId="77777777" w:rsidTr="003C12F4">
        <w:trPr>
          <w:trHeight w:val="283"/>
        </w:trPr>
        <w:tc>
          <w:tcPr>
            <w:tcW w:w="0" w:type="auto"/>
            <w:shd w:val="clear" w:color="auto" w:fill="auto"/>
            <w:tcMar>
              <w:top w:w="15" w:type="dxa"/>
              <w:left w:w="15" w:type="dxa"/>
              <w:bottom w:w="0" w:type="dxa"/>
              <w:right w:w="15" w:type="dxa"/>
            </w:tcMar>
            <w:vAlign w:val="center"/>
            <w:hideMark/>
          </w:tcPr>
          <w:p w14:paraId="6464F7F0"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interaction</w:t>
            </w:r>
          </w:p>
        </w:tc>
        <w:tc>
          <w:tcPr>
            <w:tcW w:w="0" w:type="auto"/>
            <w:shd w:val="clear" w:color="auto" w:fill="auto"/>
            <w:tcMar>
              <w:top w:w="15" w:type="dxa"/>
              <w:left w:w="15" w:type="dxa"/>
              <w:bottom w:w="0" w:type="dxa"/>
              <w:right w:w="15" w:type="dxa"/>
            </w:tcMar>
            <w:vAlign w:val="center"/>
            <w:hideMark/>
          </w:tcPr>
          <w:p w14:paraId="1088A5A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15" w:type="dxa"/>
              <w:left w:w="15" w:type="dxa"/>
              <w:bottom w:w="0" w:type="dxa"/>
              <w:right w:w="15" w:type="dxa"/>
            </w:tcMar>
            <w:vAlign w:val="center"/>
            <w:hideMark/>
          </w:tcPr>
          <w:p w14:paraId="6547CDF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15" w:type="dxa"/>
              <w:left w:w="15" w:type="dxa"/>
              <w:bottom w:w="0" w:type="dxa"/>
              <w:right w:w="15" w:type="dxa"/>
            </w:tcMar>
            <w:vAlign w:val="center"/>
            <w:hideMark/>
          </w:tcPr>
          <w:p w14:paraId="0EB61FF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0.316</w:t>
            </w:r>
          </w:p>
        </w:tc>
        <w:tc>
          <w:tcPr>
            <w:tcW w:w="0" w:type="auto"/>
            <w:shd w:val="clear" w:color="auto" w:fill="auto"/>
            <w:tcMar>
              <w:top w:w="15" w:type="dxa"/>
              <w:left w:w="15" w:type="dxa"/>
              <w:bottom w:w="0" w:type="dxa"/>
              <w:right w:w="15" w:type="dxa"/>
            </w:tcMar>
            <w:vAlign w:val="center"/>
            <w:hideMark/>
          </w:tcPr>
          <w:p w14:paraId="7BF5951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-0.1486</w:t>
            </w:r>
          </w:p>
        </w:tc>
        <w:tc>
          <w:tcPr>
            <w:tcW w:w="0" w:type="auto"/>
            <w:shd w:val="clear" w:color="auto" w:fill="auto"/>
            <w:tcMar>
              <w:top w:w="15" w:type="dxa"/>
              <w:left w:w="15" w:type="dxa"/>
              <w:bottom w:w="0" w:type="dxa"/>
              <w:right w:w="15" w:type="dxa"/>
            </w:tcMar>
            <w:vAlign w:val="center"/>
            <w:hideMark/>
          </w:tcPr>
          <w:p w14:paraId="1765299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0.1192</w:t>
            </w:r>
          </w:p>
        </w:tc>
        <w:tc>
          <w:tcPr>
            <w:tcW w:w="0" w:type="auto"/>
            <w:shd w:val="clear" w:color="auto" w:fill="auto"/>
            <w:tcMar>
              <w:top w:w="15" w:type="dxa"/>
              <w:left w:w="15" w:type="dxa"/>
              <w:bottom w:w="0" w:type="dxa"/>
              <w:right w:w="15" w:type="dxa"/>
            </w:tcMar>
            <w:vAlign w:val="center"/>
            <w:hideMark/>
          </w:tcPr>
          <w:p w14:paraId="1EFA1D9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0.213</w:t>
            </w:r>
          </w:p>
        </w:tc>
      </w:tr>
      <w:tr w:rsidR="003C12F4" w:rsidRPr="003C12F4" w14:paraId="4F987B6F" w14:textId="77777777" w:rsidTr="003C12F4">
        <w:trPr>
          <w:trHeight w:val="283"/>
        </w:trPr>
        <w:tc>
          <w:tcPr>
            <w:tcW w:w="0" w:type="auto"/>
            <w:shd w:val="clear" w:color="auto" w:fill="auto"/>
            <w:tcMar>
              <w:top w:w="15" w:type="dxa"/>
              <w:left w:w="15" w:type="dxa"/>
              <w:bottom w:w="0" w:type="dxa"/>
              <w:right w:w="15" w:type="dxa"/>
            </w:tcMar>
            <w:vAlign w:val="center"/>
            <w:hideMark/>
          </w:tcPr>
          <w:p w14:paraId="30114093"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Endowments</w:t>
            </w:r>
          </w:p>
        </w:tc>
        <w:tc>
          <w:tcPr>
            <w:tcW w:w="0" w:type="auto"/>
            <w:shd w:val="clear" w:color="auto" w:fill="auto"/>
            <w:tcMar>
              <w:top w:w="15" w:type="dxa"/>
              <w:left w:w="15" w:type="dxa"/>
              <w:bottom w:w="0" w:type="dxa"/>
              <w:right w:w="15" w:type="dxa"/>
            </w:tcMar>
            <w:vAlign w:val="center"/>
            <w:hideMark/>
          </w:tcPr>
          <w:p w14:paraId="20E70BF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5AC2BD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7BFCF39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321A583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37B777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147109F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6B064E78" w14:textId="77777777" w:rsidTr="003C12F4">
        <w:trPr>
          <w:trHeight w:val="283"/>
        </w:trPr>
        <w:tc>
          <w:tcPr>
            <w:tcW w:w="0" w:type="auto"/>
            <w:shd w:val="clear" w:color="auto" w:fill="auto"/>
            <w:tcMar>
              <w:top w:w="15" w:type="dxa"/>
              <w:left w:w="15" w:type="dxa"/>
              <w:bottom w:w="0" w:type="dxa"/>
              <w:right w:w="15" w:type="dxa"/>
            </w:tcMar>
            <w:vAlign w:val="center"/>
            <w:hideMark/>
          </w:tcPr>
          <w:p w14:paraId="27C4335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Age(months)</w:t>
            </w:r>
          </w:p>
        </w:tc>
        <w:tc>
          <w:tcPr>
            <w:tcW w:w="0" w:type="auto"/>
            <w:shd w:val="clear" w:color="auto" w:fill="auto"/>
            <w:tcMar>
              <w:top w:w="0" w:type="dxa"/>
              <w:left w:w="15" w:type="dxa"/>
              <w:bottom w:w="0" w:type="dxa"/>
              <w:right w:w="15" w:type="dxa"/>
            </w:tcMar>
            <w:vAlign w:val="center"/>
            <w:hideMark/>
          </w:tcPr>
          <w:p w14:paraId="2CF20DD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0" w:type="dxa"/>
              <w:left w:w="15" w:type="dxa"/>
              <w:bottom w:w="0" w:type="dxa"/>
              <w:right w:w="15" w:type="dxa"/>
            </w:tcMar>
            <w:vAlign w:val="center"/>
            <w:hideMark/>
          </w:tcPr>
          <w:p w14:paraId="5D0988E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51D7098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0.089</w:t>
            </w:r>
          </w:p>
        </w:tc>
        <w:tc>
          <w:tcPr>
            <w:tcW w:w="0" w:type="auto"/>
            <w:shd w:val="clear" w:color="auto" w:fill="auto"/>
            <w:tcMar>
              <w:top w:w="0" w:type="dxa"/>
              <w:left w:w="15" w:type="dxa"/>
              <w:bottom w:w="0" w:type="dxa"/>
              <w:right w:w="15" w:type="dxa"/>
            </w:tcMar>
            <w:vAlign w:val="center"/>
            <w:hideMark/>
          </w:tcPr>
          <w:p w14:paraId="419525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0.0058</w:t>
            </w:r>
          </w:p>
        </w:tc>
        <w:tc>
          <w:tcPr>
            <w:tcW w:w="0" w:type="auto"/>
            <w:shd w:val="clear" w:color="auto" w:fill="auto"/>
            <w:tcMar>
              <w:top w:w="0" w:type="dxa"/>
              <w:left w:w="15" w:type="dxa"/>
              <w:bottom w:w="0" w:type="dxa"/>
              <w:right w:w="15" w:type="dxa"/>
            </w:tcMar>
            <w:vAlign w:val="center"/>
            <w:hideMark/>
          </w:tcPr>
          <w:p w14:paraId="11C13FB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0.0146</w:t>
            </w:r>
          </w:p>
        </w:tc>
        <w:tc>
          <w:tcPr>
            <w:tcW w:w="0" w:type="auto"/>
            <w:shd w:val="clear" w:color="auto" w:fill="auto"/>
            <w:tcMar>
              <w:top w:w="0" w:type="dxa"/>
              <w:left w:w="15" w:type="dxa"/>
              <w:bottom w:w="0" w:type="dxa"/>
              <w:right w:w="15" w:type="dxa"/>
            </w:tcMar>
            <w:vAlign w:val="center"/>
            <w:hideMark/>
          </w:tcPr>
          <w:p w14:paraId="3DB5302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0.692</w:t>
            </w:r>
          </w:p>
        </w:tc>
      </w:tr>
      <w:tr w:rsidR="003C12F4" w:rsidRPr="003C12F4" w14:paraId="0FD78341" w14:textId="77777777" w:rsidTr="003C12F4">
        <w:trPr>
          <w:trHeight w:val="283"/>
        </w:trPr>
        <w:tc>
          <w:tcPr>
            <w:tcW w:w="0" w:type="auto"/>
            <w:shd w:val="clear" w:color="auto" w:fill="auto"/>
            <w:tcMar>
              <w:top w:w="15" w:type="dxa"/>
              <w:left w:w="15" w:type="dxa"/>
              <w:bottom w:w="0" w:type="dxa"/>
              <w:right w:w="15" w:type="dxa"/>
            </w:tcMar>
            <w:vAlign w:val="center"/>
            <w:hideMark/>
          </w:tcPr>
          <w:p w14:paraId="6BFD31C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0" w:type="auto"/>
            <w:shd w:val="clear" w:color="auto" w:fill="auto"/>
            <w:tcMar>
              <w:top w:w="0" w:type="dxa"/>
              <w:left w:w="15" w:type="dxa"/>
              <w:bottom w:w="0" w:type="dxa"/>
              <w:right w:w="15" w:type="dxa"/>
            </w:tcMar>
            <w:vAlign w:val="center"/>
            <w:hideMark/>
          </w:tcPr>
          <w:p w14:paraId="6B6C680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0" w:type="auto"/>
            <w:shd w:val="clear" w:color="auto" w:fill="auto"/>
            <w:tcMar>
              <w:top w:w="0" w:type="dxa"/>
              <w:left w:w="15" w:type="dxa"/>
              <w:bottom w:w="0" w:type="dxa"/>
              <w:right w:w="15" w:type="dxa"/>
            </w:tcMar>
            <w:vAlign w:val="center"/>
            <w:hideMark/>
          </w:tcPr>
          <w:p w14:paraId="38DEC2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54E44DF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0.082</w:t>
            </w:r>
          </w:p>
        </w:tc>
        <w:tc>
          <w:tcPr>
            <w:tcW w:w="0" w:type="auto"/>
            <w:shd w:val="clear" w:color="auto" w:fill="auto"/>
            <w:tcMar>
              <w:top w:w="0" w:type="dxa"/>
              <w:left w:w="15" w:type="dxa"/>
              <w:bottom w:w="0" w:type="dxa"/>
              <w:right w:w="15" w:type="dxa"/>
            </w:tcMar>
            <w:vAlign w:val="center"/>
            <w:hideMark/>
          </w:tcPr>
          <w:p w14:paraId="558F397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-0.0070</w:t>
            </w:r>
          </w:p>
        </w:tc>
        <w:tc>
          <w:tcPr>
            <w:tcW w:w="0" w:type="auto"/>
            <w:shd w:val="clear" w:color="auto" w:fill="auto"/>
            <w:tcMar>
              <w:top w:w="0" w:type="dxa"/>
              <w:left w:w="15" w:type="dxa"/>
              <w:bottom w:w="0" w:type="dxa"/>
              <w:right w:w="15" w:type="dxa"/>
            </w:tcMar>
            <w:vAlign w:val="center"/>
            <w:hideMark/>
          </w:tcPr>
          <w:p w14:paraId="729B9FE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0.0109</w:t>
            </w:r>
          </w:p>
        </w:tc>
        <w:tc>
          <w:tcPr>
            <w:tcW w:w="0" w:type="auto"/>
            <w:shd w:val="clear" w:color="auto" w:fill="auto"/>
            <w:tcMar>
              <w:top w:w="0" w:type="dxa"/>
              <w:left w:w="15" w:type="dxa"/>
              <w:bottom w:w="0" w:type="dxa"/>
              <w:right w:w="15" w:type="dxa"/>
            </w:tcMar>
            <w:vAlign w:val="center"/>
            <w:hideMark/>
          </w:tcPr>
          <w:p w14:paraId="57526AC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0.520</w:t>
            </w:r>
          </w:p>
        </w:tc>
      </w:tr>
      <w:tr w:rsidR="003C12F4" w:rsidRPr="003C12F4" w14:paraId="75CA2E92" w14:textId="77777777" w:rsidTr="003C12F4">
        <w:trPr>
          <w:trHeight w:val="283"/>
        </w:trPr>
        <w:tc>
          <w:tcPr>
            <w:tcW w:w="0" w:type="auto"/>
            <w:shd w:val="clear" w:color="auto" w:fill="auto"/>
            <w:tcMar>
              <w:top w:w="15" w:type="dxa"/>
              <w:left w:w="15" w:type="dxa"/>
              <w:bottom w:w="0" w:type="dxa"/>
              <w:right w:w="15" w:type="dxa"/>
            </w:tcMar>
            <w:vAlign w:val="center"/>
            <w:hideMark/>
          </w:tcPr>
          <w:p w14:paraId="59D30D1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0" w:type="auto"/>
            <w:shd w:val="clear" w:color="auto" w:fill="auto"/>
            <w:tcMar>
              <w:top w:w="0" w:type="dxa"/>
              <w:left w:w="15" w:type="dxa"/>
              <w:bottom w:w="0" w:type="dxa"/>
              <w:right w:w="15" w:type="dxa"/>
            </w:tcMar>
            <w:vAlign w:val="center"/>
            <w:hideMark/>
          </w:tcPr>
          <w:p w14:paraId="10AAC3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0215989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118C59A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0.570</w:t>
            </w:r>
          </w:p>
        </w:tc>
        <w:tc>
          <w:tcPr>
            <w:tcW w:w="0" w:type="auto"/>
            <w:shd w:val="clear" w:color="auto" w:fill="auto"/>
            <w:tcMar>
              <w:top w:w="0" w:type="dxa"/>
              <w:left w:w="15" w:type="dxa"/>
              <w:bottom w:w="0" w:type="dxa"/>
              <w:right w:w="15" w:type="dxa"/>
            </w:tcMar>
            <w:vAlign w:val="center"/>
            <w:hideMark/>
          </w:tcPr>
          <w:p w14:paraId="5057883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0.0004</w:t>
            </w:r>
          </w:p>
        </w:tc>
        <w:tc>
          <w:tcPr>
            <w:tcW w:w="0" w:type="auto"/>
            <w:shd w:val="clear" w:color="auto" w:fill="auto"/>
            <w:tcMar>
              <w:top w:w="0" w:type="dxa"/>
              <w:left w:w="15" w:type="dxa"/>
              <w:bottom w:w="0" w:type="dxa"/>
              <w:right w:w="15" w:type="dxa"/>
            </w:tcMar>
            <w:vAlign w:val="center"/>
            <w:hideMark/>
          </w:tcPr>
          <w:p w14:paraId="4910F00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0.0006</w:t>
            </w:r>
          </w:p>
        </w:tc>
        <w:tc>
          <w:tcPr>
            <w:tcW w:w="0" w:type="auto"/>
            <w:shd w:val="clear" w:color="auto" w:fill="auto"/>
            <w:tcMar>
              <w:top w:w="0" w:type="dxa"/>
              <w:left w:w="15" w:type="dxa"/>
              <w:bottom w:w="0" w:type="dxa"/>
              <w:right w:w="15" w:type="dxa"/>
            </w:tcMar>
            <w:vAlign w:val="center"/>
            <w:hideMark/>
          </w:tcPr>
          <w:p w14:paraId="29D5452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0.531</w:t>
            </w:r>
          </w:p>
        </w:tc>
      </w:tr>
      <w:tr w:rsidR="003C12F4" w:rsidRPr="003C12F4" w14:paraId="15019B57" w14:textId="77777777" w:rsidTr="003C12F4">
        <w:trPr>
          <w:trHeight w:val="283"/>
        </w:trPr>
        <w:tc>
          <w:tcPr>
            <w:tcW w:w="0" w:type="auto"/>
            <w:shd w:val="clear" w:color="auto" w:fill="auto"/>
            <w:tcMar>
              <w:top w:w="15" w:type="dxa"/>
              <w:left w:w="15" w:type="dxa"/>
              <w:bottom w:w="0" w:type="dxa"/>
              <w:right w:w="15" w:type="dxa"/>
            </w:tcMar>
            <w:vAlign w:val="center"/>
            <w:hideMark/>
          </w:tcPr>
          <w:p w14:paraId="6869959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0" w:type="auto"/>
            <w:shd w:val="clear" w:color="auto" w:fill="auto"/>
            <w:tcMar>
              <w:top w:w="0" w:type="dxa"/>
              <w:left w:w="15" w:type="dxa"/>
              <w:bottom w:w="0" w:type="dxa"/>
              <w:right w:w="15" w:type="dxa"/>
            </w:tcMar>
            <w:vAlign w:val="center"/>
            <w:hideMark/>
          </w:tcPr>
          <w:p w14:paraId="359CBA1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589CD8D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1437253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0.310</w:t>
            </w:r>
          </w:p>
        </w:tc>
        <w:tc>
          <w:tcPr>
            <w:tcW w:w="0" w:type="auto"/>
            <w:shd w:val="clear" w:color="auto" w:fill="auto"/>
            <w:tcMar>
              <w:top w:w="0" w:type="dxa"/>
              <w:left w:w="15" w:type="dxa"/>
              <w:bottom w:w="0" w:type="dxa"/>
              <w:right w:w="15" w:type="dxa"/>
            </w:tcMar>
            <w:vAlign w:val="center"/>
            <w:hideMark/>
          </w:tcPr>
          <w:p w14:paraId="229C88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0.0071</w:t>
            </w:r>
          </w:p>
        </w:tc>
        <w:tc>
          <w:tcPr>
            <w:tcW w:w="0" w:type="auto"/>
            <w:shd w:val="clear" w:color="auto" w:fill="auto"/>
            <w:tcMar>
              <w:top w:w="0" w:type="dxa"/>
              <w:left w:w="15" w:type="dxa"/>
              <w:bottom w:w="0" w:type="dxa"/>
              <w:right w:w="15" w:type="dxa"/>
            </w:tcMar>
            <w:vAlign w:val="center"/>
            <w:hideMark/>
          </w:tcPr>
          <w:p w14:paraId="6A2998D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0.0251</w:t>
            </w:r>
          </w:p>
        </w:tc>
        <w:tc>
          <w:tcPr>
            <w:tcW w:w="0" w:type="auto"/>
            <w:shd w:val="clear" w:color="auto" w:fill="auto"/>
            <w:tcMar>
              <w:top w:w="0" w:type="dxa"/>
              <w:left w:w="15" w:type="dxa"/>
              <w:bottom w:w="0" w:type="dxa"/>
              <w:right w:w="15" w:type="dxa"/>
            </w:tcMar>
            <w:vAlign w:val="center"/>
            <w:hideMark/>
          </w:tcPr>
          <w:p w14:paraId="58D8ECC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0.778</w:t>
            </w:r>
          </w:p>
        </w:tc>
      </w:tr>
      <w:tr w:rsidR="003C12F4" w:rsidRPr="003C12F4" w14:paraId="45374FA1" w14:textId="77777777" w:rsidTr="003C12F4">
        <w:trPr>
          <w:trHeight w:val="283"/>
        </w:trPr>
        <w:tc>
          <w:tcPr>
            <w:tcW w:w="0" w:type="auto"/>
            <w:shd w:val="clear" w:color="auto" w:fill="auto"/>
            <w:tcMar>
              <w:top w:w="15" w:type="dxa"/>
              <w:left w:w="15" w:type="dxa"/>
              <w:bottom w:w="0" w:type="dxa"/>
              <w:right w:w="15" w:type="dxa"/>
            </w:tcMar>
            <w:vAlign w:val="center"/>
            <w:hideMark/>
          </w:tcPr>
          <w:p w14:paraId="79B11FC9"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0" w:type="auto"/>
            <w:shd w:val="clear" w:color="auto" w:fill="auto"/>
            <w:tcMar>
              <w:top w:w="0" w:type="dxa"/>
              <w:left w:w="15" w:type="dxa"/>
              <w:bottom w:w="0" w:type="dxa"/>
              <w:right w:w="15" w:type="dxa"/>
            </w:tcMar>
            <w:vAlign w:val="center"/>
            <w:hideMark/>
          </w:tcPr>
          <w:p w14:paraId="1B1D514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4EC453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5CCB25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0.624</w:t>
            </w:r>
          </w:p>
        </w:tc>
        <w:tc>
          <w:tcPr>
            <w:tcW w:w="0" w:type="auto"/>
            <w:shd w:val="clear" w:color="auto" w:fill="auto"/>
            <w:tcMar>
              <w:top w:w="0" w:type="dxa"/>
              <w:left w:w="15" w:type="dxa"/>
              <w:bottom w:w="0" w:type="dxa"/>
              <w:right w:w="15" w:type="dxa"/>
            </w:tcMar>
            <w:vAlign w:val="center"/>
            <w:hideMark/>
          </w:tcPr>
          <w:p w14:paraId="785F4AC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-0.0028</w:t>
            </w:r>
          </w:p>
        </w:tc>
        <w:tc>
          <w:tcPr>
            <w:tcW w:w="0" w:type="auto"/>
            <w:shd w:val="clear" w:color="auto" w:fill="auto"/>
            <w:tcMar>
              <w:top w:w="0" w:type="dxa"/>
              <w:left w:w="15" w:type="dxa"/>
              <w:bottom w:w="0" w:type="dxa"/>
              <w:right w:w="15" w:type="dxa"/>
            </w:tcMar>
            <w:vAlign w:val="center"/>
            <w:hideMark/>
          </w:tcPr>
          <w:p w14:paraId="7AC49D0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0.0047</w:t>
            </w:r>
          </w:p>
        </w:tc>
        <w:tc>
          <w:tcPr>
            <w:tcW w:w="0" w:type="auto"/>
            <w:shd w:val="clear" w:color="auto" w:fill="auto"/>
            <w:tcMar>
              <w:top w:w="0" w:type="dxa"/>
              <w:left w:w="15" w:type="dxa"/>
              <w:bottom w:w="0" w:type="dxa"/>
              <w:right w:w="15" w:type="dxa"/>
            </w:tcMar>
            <w:vAlign w:val="center"/>
            <w:hideMark/>
          </w:tcPr>
          <w:p w14:paraId="63C9867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0.550</w:t>
            </w:r>
          </w:p>
        </w:tc>
      </w:tr>
      <w:tr w:rsidR="003C12F4" w:rsidRPr="003C12F4" w14:paraId="1DC0CEA9" w14:textId="77777777" w:rsidTr="003C12F4">
        <w:trPr>
          <w:trHeight w:val="283"/>
        </w:trPr>
        <w:tc>
          <w:tcPr>
            <w:tcW w:w="0" w:type="auto"/>
            <w:shd w:val="clear" w:color="auto" w:fill="auto"/>
            <w:tcMar>
              <w:top w:w="15" w:type="dxa"/>
              <w:left w:w="15" w:type="dxa"/>
              <w:bottom w:w="0" w:type="dxa"/>
              <w:right w:w="15" w:type="dxa"/>
            </w:tcMar>
            <w:vAlign w:val="center"/>
            <w:hideMark/>
          </w:tcPr>
          <w:p w14:paraId="75F69E44"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 lev.</w:t>
            </w:r>
          </w:p>
        </w:tc>
        <w:tc>
          <w:tcPr>
            <w:tcW w:w="0" w:type="auto"/>
            <w:shd w:val="clear" w:color="auto" w:fill="auto"/>
            <w:tcMar>
              <w:top w:w="0" w:type="dxa"/>
              <w:left w:w="15" w:type="dxa"/>
              <w:bottom w:w="0" w:type="dxa"/>
              <w:right w:w="15" w:type="dxa"/>
            </w:tcMar>
            <w:vAlign w:val="center"/>
            <w:hideMark/>
          </w:tcPr>
          <w:p w14:paraId="11227B2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0" w:type="dxa"/>
              <w:left w:w="15" w:type="dxa"/>
              <w:bottom w:w="0" w:type="dxa"/>
              <w:right w:w="15" w:type="dxa"/>
            </w:tcMar>
            <w:vAlign w:val="center"/>
            <w:hideMark/>
          </w:tcPr>
          <w:p w14:paraId="72DC83E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10BC255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c>
          <w:tcPr>
            <w:tcW w:w="0" w:type="auto"/>
            <w:shd w:val="clear" w:color="auto" w:fill="auto"/>
            <w:tcMar>
              <w:top w:w="0" w:type="dxa"/>
              <w:left w:w="15" w:type="dxa"/>
              <w:bottom w:w="0" w:type="dxa"/>
              <w:right w:w="15" w:type="dxa"/>
            </w:tcMar>
            <w:vAlign w:val="center"/>
            <w:hideMark/>
          </w:tcPr>
          <w:p w14:paraId="1CF1ED0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0.1475</w:t>
            </w:r>
          </w:p>
        </w:tc>
        <w:tc>
          <w:tcPr>
            <w:tcW w:w="0" w:type="auto"/>
            <w:shd w:val="clear" w:color="auto" w:fill="auto"/>
            <w:tcMar>
              <w:top w:w="0" w:type="dxa"/>
              <w:left w:w="15" w:type="dxa"/>
              <w:bottom w:w="0" w:type="dxa"/>
              <w:right w:w="15" w:type="dxa"/>
            </w:tcMar>
            <w:vAlign w:val="center"/>
            <w:hideMark/>
          </w:tcPr>
          <w:p w14:paraId="081DE3C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0.0182</w:t>
            </w:r>
          </w:p>
        </w:tc>
        <w:tc>
          <w:tcPr>
            <w:tcW w:w="0" w:type="auto"/>
            <w:shd w:val="clear" w:color="auto" w:fill="auto"/>
            <w:tcMar>
              <w:top w:w="0" w:type="dxa"/>
              <w:left w:w="15" w:type="dxa"/>
              <w:bottom w:w="0" w:type="dxa"/>
              <w:right w:w="15" w:type="dxa"/>
            </w:tcMar>
            <w:vAlign w:val="center"/>
            <w:hideMark/>
          </w:tcPr>
          <w:p w14:paraId="7DB82D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37C517C9" w14:textId="77777777" w:rsidTr="003C12F4">
        <w:trPr>
          <w:trHeight w:val="283"/>
        </w:trPr>
        <w:tc>
          <w:tcPr>
            <w:tcW w:w="0" w:type="auto"/>
            <w:shd w:val="clear" w:color="auto" w:fill="auto"/>
            <w:tcMar>
              <w:top w:w="15" w:type="dxa"/>
              <w:left w:w="15" w:type="dxa"/>
              <w:bottom w:w="0" w:type="dxa"/>
              <w:right w:w="15" w:type="dxa"/>
            </w:tcMar>
            <w:vAlign w:val="center"/>
            <w:hideMark/>
          </w:tcPr>
          <w:p w14:paraId="08C4F90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0" w:type="auto"/>
            <w:shd w:val="clear" w:color="auto" w:fill="auto"/>
            <w:tcMar>
              <w:top w:w="15" w:type="dxa"/>
              <w:left w:w="15" w:type="dxa"/>
              <w:bottom w:w="0" w:type="dxa"/>
              <w:right w:w="15" w:type="dxa"/>
            </w:tcMar>
            <w:vAlign w:val="center"/>
            <w:hideMark/>
          </w:tcPr>
          <w:p w14:paraId="0792F81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-0.0005</w:t>
            </w:r>
          </w:p>
        </w:tc>
        <w:tc>
          <w:tcPr>
            <w:tcW w:w="0" w:type="auto"/>
            <w:shd w:val="clear" w:color="auto" w:fill="auto"/>
            <w:tcMar>
              <w:top w:w="15" w:type="dxa"/>
              <w:left w:w="15" w:type="dxa"/>
              <w:bottom w:w="0" w:type="dxa"/>
              <w:right w:w="15" w:type="dxa"/>
            </w:tcMar>
            <w:vAlign w:val="center"/>
            <w:hideMark/>
          </w:tcPr>
          <w:p w14:paraId="2C4321D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0.0019</w:t>
            </w:r>
          </w:p>
        </w:tc>
        <w:tc>
          <w:tcPr>
            <w:tcW w:w="0" w:type="auto"/>
            <w:shd w:val="clear" w:color="auto" w:fill="auto"/>
            <w:tcMar>
              <w:top w:w="15" w:type="dxa"/>
              <w:left w:w="15" w:type="dxa"/>
              <w:bottom w:w="0" w:type="dxa"/>
              <w:right w:w="15" w:type="dxa"/>
            </w:tcMar>
            <w:vAlign w:val="center"/>
            <w:hideMark/>
          </w:tcPr>
          <w:p w14:paraId="2676903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0.797</w:t>
            </w:r>
          </w:p>
        </w:tc>
        <w:tc>
          <w:tcPr>
            <w:tcW w:w="0" w:type="auto"/>
            <w:shd w:val="clear" w:color="auto" w:fill="auto"/>
            <w:tcMar>
              <w:top w:w="15" w:type="dxa"/>
              <w:left w:w="15" w:type="dxa"/>
              <w:bottom w:w="0" w:type="dxa"/>
              <w:right w:w="15" w:type="dxa"/>
            </w:tcMar>
            <w:vAlign w:val="center"/>
            <w:hideMark/>
          </w:tcPr>
          <w:p w14:paraId="2D86AC8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0.5744</w:t>
            </w:r>
          </w:p>
        </w:tc>
        <w:tc>
          <w:tcPr>
            <w:tcW w:w="0" w:type="auto"/>
            <w:shd w:val="clear" w:color="auto" w:fill="auto"/>
            <w:tcMar>
              <w:top w:w="15" w:type="dxa"/>
              <w:left w:w="15" w:type="dxa"/>
              <w:bottom w:w="0" w:type="dxa"/>
              <w:right w:w="15" w:type="dxa"/>
            </w:tcMar>
            <w:vAlign w:val="center"/>
            <w:hideMark/>
          </w:tcPr>
          <w:p w14:paraId="2294784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0.1204</w:t>
            </w:r>
          </w:p>
        </w:tc>
        <w:tc>
          <w:tcPr>
            <w:tcW w:w="0" w:type="auto"/>
            <w:shd w:val="clear" w:color="auto" w:fill="auto"/>
            <w:tcMar>
              <w:top w:w="15" w:type="dxa"/>
              <w:left w:w="15" w:type="dxa"/>
              <w:bottom w:w="0" w:type="dxa"/>
              <w:right w:w="15" w:type="dxa"/>
            </w:tcMar>
            <w:vAlign w:val="center"/>
            <w:hideMark/>
          </w:tcPr>
          <w:p w14:paraId="34D7041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w:t>
            </w:r>
          </w:p>
        </w:tc>
      </w:tr>
      <w:tr w:rsidR="003C12F4" w:rsidRPr="003C12F4" w14:paraId="22892D89" w14:textId="77777777" w:rsidTr="003C12F4">
        <w:trPr>
          <w:trHeight w:val="283"/>
        </w:trPr>
        <w:tc>
          <w:tcPr>
            <w:tcW w:w="0" w:type="auto"/>
            <w:shd w:val="clear" w:color="auto" w:fill="auto"/>
            <w:tcMar>
              <w:top w:w="15" w:type="dxa"/>
              <w:left w:w="15" w:type="dxa"/>
              <w:bottom w:w="0" w:type="dxa"/>
              <w:right w:w="15" w:type="dxa"/>
            </w:tcMar>
            <w:vAlign w:val="center"/>
            <w:hideMark/>
          </w:tcPr>
          <w:p w14:paraId="1F2E58A8"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Coefficients</w:t>
            </w:r>
          </w:p>
        </w:tc>
        <w:tc>
          <w:tcPr>
            <w:tcW w:w="0" w:type="auto"/>
            <w:shd w:val="clear" w:color="auto" w:fill="auto"/>
            <w:tcMar>
              <w:top w:w="15" w:type="dxa"/>
              <w:left w:w="15" w:type="dxa"/>
              <w:bottom w:w="0" w:type="dxa"/>
              <w:right w:w="15" w:type="dxa"/>
            </w:tcMar>
            <w:vAlign w:val="center"/>
            <w:hideMark/>
          </w:tcPr>
          <w:p w14:paraId="500BE85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73DC499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6500CBD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6A9A20E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35EDE1B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01F8029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0AA25879" w14:textId="77777777" w:rsidTr="003C12F4">
        <w:trPr>
          <w:trHeight w:val="283"/>
        </w:trPr>
        <w:tc>
          <w:tcPr>
            <w:tcW w:w="0" w:type="auto"/>
            <w:shd w:val="clear" w:color="auto" w:fill="auto"/>
            <w:tcMar>
              <w:top w:w="15" w:type="dxa"/>
              <w:left w:w="15" w:type="dxa"/>
              <w:bottom w:w="0" w:type="dxa"/>
              <w:right w:w="15" w:type="dxa"/>
            </w:tcMar>
            <w:vAlign w:val="center"/>
            <w:hideMark/>
          </w:tcPr>
          <w:p w14:paraId="03A494DA"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0" w:type="auto"/>
            <w:shd w:val="clear" w:color="auto" w:fill="auto"/>
            <w:tcMar>
              <w:top w:w="0" w:type="dxa"/>
              <w:left w:w="15" w:type="dxa"/>
              <w:bottom w:w="0" w:type="dxa"/>
              <w:right w:w="15" w:type="dxa"/>
            </w:tcMar>
            <w:vAlign w:val="center"/>
            <w:hideMark/>
          </w:tcPr>
          <w:p w14:paraId="5BEF1C8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0.0062</w:t>
            </w:r>
          </w:p>
        </w:tc>
        <w:tc>
          <w:tcPr>
            <w:tcW w:w="0" w:type="auto"/>
            <w:shd w:val="clear" w:color="auto" w:fill="auto"/>
            <w:tcMar>
              <w:top w:w="0" w:type="dxa"/>
              <w:left w:w="15" w:type="dxa"/>
              <w:bottom w:w="0" w:type="dxa"/>
              <w:right w:w="15" w:type="dxa"/>
            </w:tcMar>
            <w:vAlign w:val="center"/>
            <w:hideMark/>
          </w:tcPr>
          <w:p w14:paraId="7F263CC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0.0029</w:t>
            </w:r>
          </w:p>
        </w:tc>
        <w:tc>
          <w:tcPr>
            <w:tcW w:w="0" w:type="auto"/>
            <w:shd w:val="clear" w:color="auto" w:fill="auto"/>
            <w:tcMar>
              <w:top w:w="0" w:type="dxa"/>
              <w:left w:w="15" w:type="dxa"/>
              <w:bottom w:w="0" w:type="dxa"/>
              <w:right w:w="15" w:type="dxa"/>
            </w:tcMar>
            <w:vAlign w:val="center"/>
            <w:hideMark/>
          </w:tcPr>
          <w:p w14:paraId="78F5D6E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0.033</w:t>
            </w:r>
          </w:p>
        </w:tc>
        <w:tc>
          <w:tcPr>
            <w:tcW w:w="0" w:type="auto"/>
            <w:shd w:val="clear" w:color="auto" w:fill="auto"/>
            <w:tcMar>
              <w:top w:w="0" w:type="dxa"/>
              <w:left w:w="15" w:type="dxa"/>
              <w:bottom w:w="0" w:type="dxa"/>
              <w:right w:w="15" w:type="dxa"/>
            </w:tcMar>
            <w:vAlign w:val="center"/>
            <w:hideMark/>
          </w:tcPr>
          <w:p w14:paraId="0A41986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0.2832</w:t>
            </w:r>
          </w:p>
        </w:tc>
        <w:tc>
          <w:tcPr>
            <w:tcW w:w="0" w:type="auto"/>
            <w:shd w:val="clear" w:color="auto" w:fill="auto"/>
            <w:tcMar>
              <w:top w:w="0" w:type="dxa"/>
              <w:left w:w="15" w:type="dxa"/>
              <w:bottom w:w="0" w:type="dxa"/>
              <w:right w:w="15" w:type="dxa"/>
            </w:tcMar>
            <w:vAlign w:val="center"/>
            <w:hideMark/>
          </w:tcPr>
          <w:p w14:paraId="1180B4D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0.1736</w:t>
            </w:r>
          </w:p>
        </w:tc>
        <w:tc>
          <w:tcPr>
            <w:tcW w:w="0" w:type="auto"/>
            <w:shd w:val="clear" w:color="auto" w:fill="auto"/>
            <w:tcMar>
              <w:top w:w="0" w:type="dxa"/>
              <w:left w:w="15" w:type="dxa"/>
              <w:bottom w:w="0" w:type="dxa"/>
              <w:right w:w="15" w:type="dxa"/>
            </w:tcMar>
            <w:vAlign w:val="center"/>
            <w:hideMark/>
          </w:tcPr>
          <w:p w14:paraId="11A539A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0.103</w:t>
            </w:r>
          </w:p>
        </w:tc>
      </w:tr>
      <w:tr w:rsidR="003C12F4" w:rsidRPr="003C12F4" w14:paraId="4C392922" w14:textId="77777777" w:rsidTr="003C12F4">
        <w:trPr>
          <w:trHeight w:val="283"/>
        </w:trPr>
        <w:tc>
          <w:tcPr>
            <w:tcW w:w="0" w:type="auto"/>
            <w:shd w:val="clear" w:color="auto" w:fill="auto"/>
            <w:tcMar>
              <w:top w:w="15" w:type="dxa"/>
              <w:left w:w="15" w:type="dxa"/>
              <w:bottom w:w="0" w:type="dxa"/>
              <w:right w:w="15" w:type="dxa"/>
            </w:tcMar>
            <w:vAlign w:val="center"/>
            <w:hideMark/>
          </w:tcPr>
          <w:p w14:paraId="1128DD65"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0" w:type="auto"/>
            <w:shd w:val="clear" w:color="auto" w:fill="auto"/>
            <w:tcMar>
              <w:top w:w="0" w:type="dxa"/>
              <w:left w:w="15" w:type="dxa"/>
              <w:bottom w:w="0" w:type="dxa"/>
              <w:right w:w="15" w:type="dxa"/>
            </w:tcMar>
            <w:vAlign w:val="center"/>
            <w:hideMark/>
          </w:tcPr>
          <w:p w14:paraId="67C2317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-0.0033</w:t>
            </w:r>
          </w:p>
        </w:tc>
        <w:tc>
          <w:tcPr>
            <w:tcW w:w="0" w:type="auto"/>
            <w:shd w:val="clear" w:color="auto" w:fill="auto"/>
            <w:tcMar>
              <w:top w:w="0" w:type="dxa"/>
              <w:left w:w="15" w:type="dxa"/>
              <w:bottom w:w="0" w:type="dxa"/>
              <w:right w:w="15" w:type="dxa"/>
            </w:tcMar>
            <w:vAlign w:val="center"/>
            <w:hideMark/>
          </w:tcPr>
          <w:p w14:paraId="1FEFE6B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0.0018</w:t>
            </w:r>
          </w:p>
        </w:tc>
        <w:tc>
          <w:tcPr>
            <w:tcW w:w="0" w:type="auto"/>
            <w:shd w:val="clear" w:color="auto" w:fill="auto"/>
            <w:tcMar>
              <w:top w:w="0" w:type="dxa"/>
              <w:left w:w="15" w:type="dxa"/>
              <w:bottom w:w="0" w:type="dxa"/>
              <w:right w:w="15" w:type="dxa"/>
            </w:tcMar>
            <w:vAlign w:val="center"/>
            <w:hideMark/>
          </w:tcPr>
          <w:p w14:paraId="5173B1F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0.061</w:t>
            </w:r>
          </w:p>
        </w:tc>
        <w:tc>
          <w:tcPr>
            <w:tcW w:w="0" w:type="auto"/>
            <w:shd w:val="clear" w:color="auto" w:fill="auto"/>
            <w:tcMar>
              <w:top w:w="0" w:type="dxa"/>
              <w:left w:w="15" w:type="dxa"/>
              <w:bottom w:w="0" w:type="dxa"/>
              <w:right w:w="15" w:type="dxa"/>
            </w:tcMar>
            <w:vAlign w:val="center"/>
            <w:hideMark/>
          </w:tcPr>
          <w:p w14:paraId="5E7EE0E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-0.1360</w:t>
            </w:r>
          </w:p>
        </w:tc>
        <w:tc>
          <w:tcPr>
            <w:tcW w:w="0" w:type="auto"/>
            <w:shd w:val="clear" w:color="auto" w:fill="auto"/>
            <w:tcMar>
              <w:top w:w="0" w:type="dxa"/>
              <w:left w:w="15" w:type="dxa"/>
              <w:bottom w:w="0" w:type="dxa"/>
              <w:right w:w="15" w:type="dxa"/>
            </w:tcMar>
            <w:vAlign w:val="center"/>
            <w:hideMark/>
          </w:tcPr>
          <w:p w14:paraId="448753D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0.1056</w:t>
            </w:r>
          </w:p>
        </w:tc>
        <w:tc>
          <w:tcPr>
            <w:tcW w:w="0" w:type="auto"/>
            <w:shd w:val="clear" w:color="auto" w:fill="auto"/>
            <w:tcMar>
              <w:top w:w="0" w:type="dxa"/>
              <w:left w:w="15" w:type="dxa"/>
              <w:bottom w:w="0" w:type="dxa"/>
              <w:right w:w="15" w:type="dxa"/>
            </w:tcMar>
            <w:vAlign w:val="center"/>
            <w:hideMark/>
          </w:tcPr>
          <w:p w14:paraId="16A828F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0.198</w:t>
            </w:r>
          </w:p>
        </w:tc>
      </w:tr>
      <w:tr w:rsidR="003C12F4" w:rsidRPr="003C12F4" w14:paraId="5416B194" w14:textId="77777777" w:rsidTr="003C12F4">
        <w:trPr>
          <w:trHeight w:val="283"/>
        </w:trPr>
        <w:tc>
          <w:tcPr>
            <w:tcW w:w="0" w:type="auto"/>
            <w:shd w:val="clear" w:color="auto" w:fill="auto"/>
            <w:tcMar>
              <w:top w:w="15" w:type="dxa"/>
              <w:left w:w="15" w:type="dxa"/>
              <w:bottom w:w="0" w:type="dxa"/>
              <w:right w:w="15" w:type="dxa"/>
            </w:tcMar>
            <w:vAlign w:val="center"/>
            <w:hideMark/>
          </w:tcPr>
          <w:p w14:paraId="47EBD22C"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0" w:type="auto"/>
            <w:shd w:val="clear" w:color="auto" w:fill="auto"/>
            <w:tcMar>
              <w:top w:w="0" w:type="dxa"/>
              <w:left w:w="15" w:type="dxa"/>
              <w:bottom w:w="0" w:type="dxa"/>
              <w:right w:w="15" w:type="dxa"/>
            </w:tcMar>
            <w:vAlign w:val="center"/>
            <w:hideMark/>
          </w:tcPr>
          <w:p w14:paraId="3CEAAD2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0.0011</w:t>
            </w:r>
          </w:p>
        </w:tc>
        <w:tc>
          <w:tcPr>
            <w:tcW w:w="0" w:type="auto"/>
            <w:shd w:val="clear" w:color="auto" w:fill="auto"/>
            <w:tcMar>
              <w:top w:w="0" w:type="dxa"/>
              <w:left w:w="15" w:type="dxa"/>
              <w:bottom w:w="0" w:type="dxa"/>
              <w:right w:w="15" w:type="dxa"/>
            </w:tcMar>
            <w:vAlign w:val="center"/>
            <w:hideMark/>
          </w:tcPr>
          <w:p w14:paraId="1200F8A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0.0014</w:t>
            </w:r>
          </w:p>
        </w:tc>
        <w:tc>
          <w:tcPr>
            <w:tcW w:w="0" w:type="auto"/>
            <w:shd w:val="clear" w:color="auto" w:fill="auto"/>
            <w:tcMar>
              <w:top w:w="0" w:type="dxa"/>
              <w:left w:w="15" w:type="dxa"/>
              <w:bottom w:w="0" w:type="dxa"/>
              <w:right w:w="15" w:type="dxa"/>
            </w:tcMar>
            <w:vAlign w:val="center"/>
            <w:hideMark/>
          </w:tcPr>
          <w:p w14:paraId="4A50B9F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0.416</w:t>
            </w:r>
          </w:p>
        </w:tc>
        <w:tc>
          <w:tcPr>
            <w:tcW w:w="0" w:type="auto"/>
            <w:shd w:val="clear" w:color="auto" w:fill="auto"/>
            <w:tcMar>
              <w:top w:w="0" w:type="dxa"/>
              <w:left w:w="15" w:type="dxa"/>
              <w:bottom w:w="0" w:type="dxa"/>
              <w:right w:w="15" w:type="dxa"/>
            </w:tcMar>
            <w:vAlign w:val="center"/>
            <w:hideMark/>
          </w:tcPr>
          <w:p w14:paraId="15FB56F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-0.1489</w:t>
            </w:r>
          </w:p>
        </w:tc>
        <w:tc>
          <w:tcPr>
            <w:tcW w:w="0" w:type="auto"/>
            <w:shd w:val="clear" w:color="auto" w:fill="auto"/>
            <w:tcMar>
              <w:top w:w="0" w:type="dxa"/>
              <w:left w:w="15" w:type="dxa"/>
              <w:bottom w:w="0" w:type="dxa"/>
              <w:right w:w="15" w:type="dxa"/>
            </w:tcMar>
            <w:vAlign w:val="center"/>
            <w:hideMark/>
          </w:tcPr>
          <w:p w14:paraId="6644A6A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0.0715</w:t>
            </w:r>
          </w:p>
        </w:tc>
        <w:tc>
          <w:tcPr>
            <w:tcW w:w="0" w:type="auto"/>
            <w:shd w:val="clear" w:color="auto" w:fill="auto"/>
            <w:tcMar>
              <w:top w:w="0" w:type="dxa"/>
              <w:left w:w="15" w:type="dxa"/>
              <w:bottom w:w="0" w:type="dxa"/>
              <w:right w:w="15" w:type="dxa"/>
            </w:tcMar>
            <w:vAlign w:val="center"/>
            <w:hideMark/>
          </w:tcPr>
          <w:p w14:paraId="72B991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0.037</w:t>
            </w:r>
          </w:p>
        </w:tc>
      </w:tr>
      <w:tr w:rsidR="003C12F4" w:rsidRPr="003C12F4" w14:paraId="3763FF69" w14:textId="77777777" w:rsidTr="003C12F4">
        <w:trPr>
          <w:trHeight w:val="283"/>
        </w:trPr>
        <w:tc>
          <w:tcPr>
            <w:tcW w:w="0" w:type="auto"/>
            <w:shd w:val="clear" w:color="auto" w:fill="auto"/>
            <w:tcMar>
              <w:top w:w="15" w:type="dxa"/>
              <w:left w:w="15" w:type="dxa"/>
              <w:bottom w:w="0" w:type="dxa"/>
              <w:right w:w="15" w:type="dxa"/>
            </w:tcMar>
            <w:vAlign w:val="center"/>
            <w:hideMark/>
          </w:tcPr>
          <w:p w14:paraId="05A74DDD"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0" w:type="auto"/>
            <w:shd w:val="clear" w:color="auto" w:fill="auto"/>
            <w:tcMar>
              <w:top w:w="0" w:type="dxa"/>
              <w:left w:w="15" w:type="dxa"/>
              <w:bottom w:w="0" w:type="dxa"/>
              <w:right w:w="15" w:type="dxa"/>
            </w:tcMar>
            <w:vAlign w:val="center"/>
            <w:hideMark/>
          </w:tcPr>
          <w:p w14:paraId="7E62DB9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0.0029</w:t>
            </w:r>
          </w:p>
        </w:tc>
        <w:tc>
          <w:tcPr>
            <w:tcW w:w="0" w:type="auto"/>
            <w:shd w:val="clear" w:color="auto" w:fill="auto"/>
            <w:tcMar>
              <w:top w:w="0" w:type="dxa"/>
              <w:left w:w="15" w:type="dxa"/>
              <w:bottom w:w="0" w:type="dxa"/>
              <w:right w:w="15" w:type="dxa"/>
            </w:tcMar>
            <w:vAlign w:val="center"/>
            <w:hideMark/>
          </w:tcPr>
          <w:p w14:paraId="31902F6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0.0028</w:t>
            </w:r>
          </w:p>
        </w:tc>
        <w:tc>
          <w:tcPr>
            <w:tcW w:w="0" w:type="auto"/>
            <w:shd w:val="clear" w:color="auto" w:fill="auto"/>
            <w:tcMar>
              <w:top w:w="0" w:type="dxa"/>
              <w:left w:w="15" w:type="dxa"/>
              <w:bottom w:w="0" w:type="dxa"/>
              <w:right w:w="15" w:type="dxa"/>
            </w:tcMar>
            <w:vAlign w:val="center"/>
            <w:hideMark/>
          </w:tcPr>
          <w:p w14:paraId="0377C87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0.302</w:t>
            </w:r>
          </w:p>
        </w:tc>
        <w:tc>
          <w:tcPr>
            <w:tcW w:w="0" w:type="auto"/>
            <w:shd w:val="clear" w:color="auto" w:fill="auto"/>
            <w:tcMar>
              <w:top w:w="0" w:type="dxa"/>
              <w:left w:w="15" w:type="dxa"/>
              <w:bottom w:w="0" w:type="dxa"/>
              <w:right w:w="15" w:type="dxa"/>
            </w:tcMar>
            <w:vAlign w:val="center"/>
            <w:hideMark/>
          </w:tcPr>
          <w:p w14:paraId="2551E6E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-0.0192</w:t>
            </w:r>
          </w:p>
        </w:tc>
        <w:tc>
          <w:tcPr>
            <w:tcW w:w="0" w:type="auto"/>
            <w:shd w:val="clear" w:color="auto" w:fill="auto"/>
            <w:tcMar>
              <w:top w:w="0" w:type="dxa"/>
              <w:left w:w="15" w:type="dxa"/>
              <w:bottom w:w="0" w:type="dxa"/>
              <w:right w:w="15" w:type="dxa"/>
            </w:tcMar>
            <w:vAlign w:val="center"/>
            <w:hideMark/>
          </w:tcPr>
          <w:p w14:paraId="521400D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0.0742</w:t>
            </w:r>
          </w:p>
        </w:tc>
        <w:tc>
          <w:tcPr>
            <w:tcW w:w="0" w:type="auto"/>
            <w:shd w:val="clear" w:color="auto" w:fill="auto"/>
            <w:tcMar>
              <w:top w:w="0" w:type="dxa"/>
              <w:left w:w="15" w:type="dxa"/>
              <w:bottom w:w="0" w:type="dxa"/>
              <w:right w:w="15" w:type="dxa"/>
            </w:tcMar>
            <w:vAlign w:val="center"/>
            <w:hideMark/>
          </w:tcPr>
          <w:p w14:paraId="646FFDA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0.795</w:t>
            </w:r>
          </w:p>
        </w:tc>
      </w:tr>
      <w:tr w:rsidR="003C12F4" w:rsidRPr="003C12F4" w14:paraId="0643DB01" w14:textId="77777777" w:rsidTr="003C12F4">
        <w:trPr>
          <w:trHeight w:val="283"/>
        </w:trPr>
        <w:tc>
          <w:tcPr>
            <w:tcW w:w="0" w:type="auto"/>
            <w:shd w:val="clear" w:color="auto" w:fill="auto"/>
            <w:tcMar>
              <w:top w:w="15" w:type="dxa"/>
              <w:left w:w="15" w:type="dxa"/>
              <w:bottom w:w="0" w:type="dxa"/>
              <w:right w:w="15" w:type="dxa"/>
            </w:tcMar>
            <w:vAlign w:val="center"/>
            <w:hideMark/>
          </w:tcPr>
          <w:p w14:paraId="124A3B0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0" w:type="auto"/>
            <w:shd w:val="clear" w:color="auto" w:fill="auto"/>
            <w:tcMar>
              <w:top w:w="0" w:type="dxa"/>
              <w:left w:w="15" w:type="dxa"/>
              <w:bottom w:w="0" w:type="dxa"/>
              <w:right w:w="15" w:type="dxa"/>
            </w:tcMar>
            <w:vAlign w:val="center"/>
            <w:hideMark/>
          </w:tcPr>
          <w:p w14:paraId="44C689B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0" w:type="dxa"/>
              <w:left w:w="15" w:type="dxa"/>
              <w:bottom w:w="0" w:type="dxa"/>
              <w:right w:w="15" w:type="dxa"/>
            </w:tcMar>
            <w:vAlign w:val="center"/>
            <w:hideMark/>
          </w:tcPr>
          <w:p w14:paraId="0F9E81C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0.0014</w:t>
            </w:r>
          </w:p>
        </w:tc>
        <w:tc>
          <w:tcPr>
            <w:tcW w:w="0" w:type="auto"/>
            <w:shd w:val="clear" w:color="auto" w:fill="auto"/>
            <w:tcMar>
              <w:top w:w="0" w:type="dxa"/>
              <w:left w:w="15" w:type="dxa"/>
              <w:bottom w:w="0" w:type="dxa"/>
              <w:right w:w="15" w:type="dxa"/>
            </w:tcMar>
            <w:vAlign w:val="center"/>
            <w:hideMark/>
          </w:tcPr>
          <w:p w14:paraId="4EE5ADF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0.118</w:t>
            </w:r>
          </w:p>
        </w:tc>
        <w:tc>
          <w:tcPr>
            <w:tcW w:w="0" w:type="auto"/>
            <w:shd w:val="clear" w:color="auto" w:fill="auto"/>
            <w:tcMar>
              <w:top w:w="0" w:type="dxa"/>
              <w:left w:w="15" w:type="dxa"/>
              <w:bottom w:w="0" w:type="dxa"/>
              <w:right w:w="15" w:type="dxa"/>
            </w:tcMar>
            <w:vAlign w:val="center"/>
            <w:hideMark/>
          </w:tcPr>
          <w:p w14:paraId="5C50EF6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0.1041</w:t>
            </w:r>
          </w:p>
        </w:tc>
        <w:tc>
          <w:tcPr>
            <w:tcW w:w="0" w:type="auto"/>
            <w:shd w:val="clear" w:color="auto" w:fill="auto"/>
            <w:tcMar>
              <w:top w:w="0" w:type="dxa"/>
              <w:left w:w="15" w:type="dxa"/>
              <w:bottom w:w="0" w:type="dxa"/>
              <w:right w:w="15" w:type="dxa"/>
            </w:tcMar>
            <w:vAlign w:val="center"/>
            <w:hideMark/>
          </w:tcPr>
          <w:p w14:paraId="27FCD4C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0.0824</w:t>
            </w:r>
          </w:p>
        </w:tc>
        <w:tc>
          <w:tcPr>
            <w:tcW w:w="0" w:type="auto"/>
            <w:shd w:val="clear" w:color="auto" w:fill="auto"/>
            <w:tcMar>
              <w:top w:w="0" w:type="dxa"/>
              <w:left w:w="15" w:type="dxa"/>
              <w:bottom w:w="0" w:type="dxa"/>
              <w:right w:w="15" w:type="dxa"/>
            </w:tcMar>
            <w:vAlign w:val="center"/>
            <w:hideMark/>
          </w:tcPr>
          <w:p w14:paraId="297B9D0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0.206</w:t>
            </w:r>
          </w:p>
        </w:tc>
      </w:tr>
      <w:tr w:rsidR="003C12F4" w:rsidRPr="003C12F4" w14:paraId="2D831AF5" w14:textId="77777777" w:rsidTr="003C12F4">
        <w:trPr>
          <w:trHeight w:val="283"/>
        </w:trPr>
        <w:tc>
          <w:tcPr>
            <w:tcW w:w="0" w:type="auto"/>
            <w:shd w:val="clear" w:color="auto" w:fill="auto"/>
            <w:tcMar>
              <w:top w:w="15" w:type="dxa"/>
              <w:left w:w="15" w:type="dxa"/>
              <w:bottom w:w="0" w:type="dxa"/>
              <w:right w:w="15" w:type="dxa"/>
            </w:tcMar>
            <w:vAlign w:val="center"/>
            <w:hideMark/>
          </w:tcPr>
          <w:p w14:paraId="7435777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education</w:t>
            </w:r>
          </w:p>
        </w:tc>
        <w:tc>
          <w:tcPr>
            <w:tcW w:w="0" w:type="auto"/>
            <w:shd w:val="clear" w:color="auto" w:fill="auto"/>
            <w:tcMar>
              <w:top w:w="0" w:type="dxa"/>
              <w:left w:w="15" w:type="dxa"/>
              <w:bottom w:w="0" w:type="dxa"/>
              <w:right w:w="15" w:type="dxa"/>
            </w:tcMar>
            <w:vAlign w:val="center"/>
            <w:hideMark/>
          </w:tcPr>
          <w:p w14:paraId="4234588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0.0009</w:t>
            </w:r>
          </w:p>
        </w:tc>
        <w:tc>
          <w:tcPr>
            <w:tcW w:w="0" w:type="auto"/>
            <w:shd w:val="clear" w:color="auto" w:fill="auto"/>
            <w:tcMar>
              <w:top w:w="0" w:type="dxa"/>
              <w:left w:w="15" w:type="dxa"/>
              <w:bottom w:w="0" w:type="dxa"/>
              <w:right w:w="15" w:type="dxa"/>
            </w:tcMar>
            <w:vAlign w:val="center"/>
            <w:hideMark/>
          </w:tcPr>
          <w:p w14:paraId="6D36416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0.0009</w:t>
            </w:r>
          </w:p>
        </w:tc>
        <w:tc>
          <w:tcPr>
            <w:tcW w:w="0" w:type="auto"/>
            <w:shd w:val="clear" w:color="auto" w:fill="auto"/>
            <w:tcMar>
              <w:top w:w="0" w:type="dxa"/>
              <w:left w:w="15" w:type="dxa"/>
              <w:bottom w:w="0" w:type="dxa"/>
              <w:right w:w="15" w:type="dxa"/>
            </w:tcMar>
            <w:vAlign w:val="center"/>
            <w:hideMark/>
          </w:tcPr>
          <w:p w14:paraId="557937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0.317</w:t>
            </w:r>
          </w:p>
        </w:tc>
        <w:tc>
          <w:tcPr>
            <w:tcW w:w="0" w:type="auto"/>
            <w:shd w:val="clear" w:color="auto" w:fill="auto"/>
            <w:tcMar>
              <w:top w:w="0" w:type="dxa"/>
              <w:left w:w="15" w:type="dxa"/>
              <w:bottom w:w="0" w:type="dxa"/>
              <w:right w:w="15" w:type="dxa"/>
            </w:tcMar>
            <w:vAlign w:val="center"/>
            <w:hideMark/>
          </w:tcPr>
          <w:p w14:paraId="2647DE1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0.1488</w:t>
            </w:r>
          </w:p>
        </w:tc>
        <w:tc>
          <w:tcPr>
            <w:tcW w:w="0" w:type="auto"/>
            <w:shd w:val="clear" w:color="auto" w:fill="auto"/>
            <w:tcMar>
              <w:top w:w="0" w:type="dxa"/>
              <w:left w:w="15" w:type="dxa"/>
              <w:bottom w:w="0" w:type="dxa"/>
              <w:right w:w="15" w:type="dxa"/>
            </w:tcMar>
            <w:vAlign w:val="center"/>
            <w:hideMark/>
          </w:tcPr>
          <w:p w14:paraId="2E1F2F0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0.0622</w:t>
            </w:r>
          </w:p>
        </w:tc>
        <w:tc>
          <w:tcPr>
            <w:tcW w:w="0" w:type="auto"/>
            <w:shd w:val="clear" w:color="auto" w:fill="auto"/>
            <w:tcMar>
              <w:top w:w="0" w:type="dxa"/>
              <w:left w:w="15" w:type="dxa"/>
              <w:bottom w:w="0" w:type="dxa"/>
              <w:right w:w="15" w:type="dxa"/>
            </w:tcMar>
            <w:vAlign w:val="center"/>
            <w:hideMark/>
          </w:tcPr>
          <w:p w14:paraId="7D5B2AB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0.017</w:t>
            </w:r>
          </w:p>
        </w:tc>
      </w:tr>
      <w:tr w:rsidR="003C12F4" w:rsidRPr="003C12F4" w14:paraId="40D26258" w14:textId="77777777" w:rsidTr="003C12F4">
        <w:trPr>
          <w:trHeight w:val="283"/>
        </w:trPr>
        <w:tc>
          <w:tcPr>
            <w:tcW w:w="0" w:type="auto"/>
            <w:shd w:val="clear" w:color="auto" w:fill="auto"/>
            <w:tcMar>
              <w:top w:w="15" w:type="dxa"/>
              <w:left w:w="15" w:type="dxa"/>
              <w:bottom w:w="0" w:type="dxa"/>
              <w:right w:w="15" w:type="dxa"/>
            </w:tcMar>
            <w:vAlign w:val="center"/>
            <w:hideMark/>
          </w:tcPr>
          <w:p w14:paraId="19ADE65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0" w:type="auto"/>
            <w:shd w:val="clear" w:color="auto" w:fill="auto"/>
            <w:tcMar>
              <w:top w:w="0" w:type="dxa"/>
              <w:left w:w="15" w:type="dxa"/>
              <w:bottom w:w="0" w:type="dxa"/>
              <w:right w:w="15" w:type="dxa"/>
            </w:tcMar>
            <w:vAlign w:val="center"/>
            <w:hideMark/>
          </w:tcPr>
          <w:p w14:paraId="3F6B9B49"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-0.0035</w:t>
            </w:r>
          </w:p>
        </w:tc>
        <w:tc>
          <w:tcPr>
            <w:tcW w:w="0" w:type="auto"/>
            <w:shd w:val="clear" w:color="auto" w:fill="auto"/>
            <w:tcMar>
              <w:top w:w="0" w:type="dxa"/>
              <w:left w:w="15" w:type="dxa"/>
              <w:bottom w:w="0" w:type="dxa"/>
              <w:right w:w="15" w:type="dxa"/>
            </w:tcMar>
            <w:vAlign w:val="center"/>
            <w:hideMark/>
          </w:tcPr>
          <w:p w14:paraId="1E31120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0.0038</w:t>
            </w:r>
          </w:p>
        </w:tc>
        <w:tc>
          <w:tcPr>
            <w:tcW w:w="0" w:type="auto"/>
            <w:shd w:val="clear" w:color="auto" w:fill="auto"/>
            <w:tcMar>
              <w:top w:w="0" w:type="dxa"/>
              <w:left w:w="15" w:type="dxa"/>
              <w:bottom w:w="0" w:type="dxa"/>
              <w:right w:w="15" w:type="dxa"/>
            </w:tcMar>
            <w:vAlign w:val="center"/>
            <w:hideMark/>
          </w:tcPr>
          <w:p w14:paraId="5B8CFCC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0.346</w:t>
            </w:r>
          </w:p>
        </w:tc>
        <w:tc>
          <w:tcPr>
            <w:tcW w:w="0" w:type="auto"/>
            <w:shd w:val="clear" w:color="auto" w:fill="auto"/>
            <w:tcMar>
              <w:top w:w="0" w:type="dxa"/>
              <w:left w:w="15" w:type="dxa"/>
              <w:bottom w:w="0" w:type="dxa"/>
              <w:right w:w="15" w:type="dxa"/>
            </w:tcMar>
            <w:vAlign w:val="center"/>
            <w:hideMark/>
          </w:tcPr>
          <w:p w14:paraId="4AC9D8D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0.1498</w:t>
            </w:r>
          </w:p>
        </w:tc>
        <w:tc>
          <w:tcPr>
            <w:tcW w:w="0" w:type="auto"/>
            <w:shd w:val="clear" w:color="auto" w:fill="auto"/>
            <w:tcMar>
              <w:top w:w="0" w:type="dxa"/>
              <w:left w:w="15" w:type="dxa"/>
              <w:bottom w:w="0" w:type="dxa"/>
              <w:right w:w="15" w:type="dxa"/>
            </w:tcMar>
            <w:vAlign w:val="center"/>
            <w:hideMark/>
          </w:tcPr>
          <w:p w14:paraId="3C8FE68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0.2218</w:t>
            </w:r>
          </w:p>
        </w:tc>
        <w:tc>
          <w:tcPr>
            <w:tcW w:w="0" w:type="auto"/>
            <w:shd w:val="clear" w:color="auto" w:fill="auto"/>
            <w:tcMar>
              <w:top w:w="0" w:type="dxa"/>
              <w:left w:w="15" w:type="dxa"/>
              <w:bottom w:w="0" w:type="dxa"/>
              <w:right w:w="15" w:type="dxa"/>
            </w:tcMar>
            <w:vAlign w:val="center"/>
            <w:hideMark/>
          </w:tcPr>
          <w:p w14:paraId="778B94A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0.499</w:t>
            </w:r>
          </w:p>
        </w:tc>
      </w:tr>
      <w:tr w:rsidR="003C12F4" w:rsidRPr="003C12F4" w14:paraId="425DB497" w14:textId="77777777" w:rsidTr="003C12F4">
        <w:trPr>
          <w:trHeight w:val="283"/>
        </w:trPr>
        <w:tc>
          <w:tcPr>
            <w:tcW w:w="0" w:type="auto"/>
            <w:shd w:val="clear" w:color="auto" w:fill="auto"/>
            <w:tcMar>
              <w:top w:w="15" w:type="dxa"/>
              <w:left w:w="15" w:type="dxa"/>
              <w:bottom w:w="0" w:type="dxa"/>
              <w:right w:w="15" w:type="dxa"/>
            </w:tcMar>
            <w:vAlign w:val="center"/>
            <w:hideMark/>
          </w:tcPr>
          <w:p w14:paraId="6213B317" w14:textId="77777777" w:rsidR="003C12F4" w:rsidRPr="003C12F4" w:rsidRDefault="003C12F4" w:rsidP="003C12F4">
            <w:pPr>
              <w:spacing w:before="0" w:beforeAutospacing="0" w:after="0" w:afterAutospacing="0" w:line="240" w:lineRule="auto"/>
              <w:rPr>
                <w:rFonts w:ascii="Helvetica" w:eastAsia="Times New Roman" w:hAnsi="Helvetica" w:cs="Helvetica"/>
                <w:b/>
                <w:bCs/>
                <w:color w:val="000000"/>
              </w:rPr>
            </w:pPr>
            <w:r w:rsidRPr="003C12F4">
              <w:rPr>
                <w:rFonts w:ascii="Helvetica" w:eastAsia="Times New Roman" w:hAnsi="Helvetica" w:cs="Helvetica"/>
                <w:b/>
                <w:bCs/>
                <w:color w:val="000000"/>
              </w:rPr>
              <w:t>Interaction</w:t>
            </w:r>
          </w:p>
        </w:tc>
        <w:tc>
          <w:tcPr>
            <w:tcW w:w="0" w:type="auto"/>
            <w:shd w:val="clear" w:color="auto" w:fill="auto"/>
            <w:tcMar>
              <w:top w:w="15" w:type="dxa"/>
              <w:left w:w="15" w:type="dxa"/>
              <w:bottom w:w="0" w:type="dxa"/>
              <w:right w:w="15" w:type="dxa"/>
            </w:tcMar>
            <w:vAlign w:val="center"/>
            <w:hideMark/>
          </w:tcPr>
          <w:p w14:paraId="28CA737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b/>
                <w:bCs/>
                <w:color w:val="000000"/>
              </w:rPr>
            </w:pPr>
          </w:p>
        </w:tc>
        <w:tc>
          <w:tcPr>
            <w:tcW w:w="0" w:type="auto"/>
            <w:shd w:val="clear" w:color="auto" w:fill="auto"/>
            <w:tcMar>
              <w:top w:w="0" w:type="dxa"/>
              <w:left w:w="15" w:type="dxa"/>
              <w:bottom w:w="0" w:type="dxa"/>
              <w:right w:w="15" w:type="dxa"/>
            </w:tcMar>
            <w:vAlign w:val="center"/>
            <w:hideMark/>
          </w:tcPr>
          <w:p w14:paraId="79BD5F1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70F6100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2AD0F2F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2D05F0A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c>
          <w:tcPr>
            <w:tcW w:w="0" w:type="auto"/>
            <w:shd w:val="clear" w:color="auto" w:fill="auto"/>
            <w:tcMar>
              <w:top w:w="0" w:type="dxa"/>
              <w:left w:w="15" w:type="dxa"/>
              <w:bottom w:w="0" w:type="dxa"/>
              <w:right w:w="15" w:type="dxa"/>
            </w:tcMar>
            <w:vAlign w:val="center"/>
            <w:hideMark/>
          </w:tcPr>
          <w:p w14:paraId="57ED36D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rPr>
            </w:pPr>
          </w:p>
        </w:tc>
      </w:tr>
      <w:tr w:rsidR="003C12F4" w:rsidRPr="003C12F4" w14:paraId="1A58934A" w14:textId="77777777" w:rsidTr="003C12F4">
        <w:trPr>
          <w:trHeight w:val="283"/>
        </w:trPr>
        <w:tc>
          <w:tcPr>
            <w:tcW w:w="0" w:type="auto"/>
            <w:shd w:val="clear" w:color="auto" w:fill="auto"/>
            <w:tcMar>
              <w:top w:w="15" w:type="dxa"/>
              <w:left w:w="15" w:type="dxa"/>
              <w:bottom w:w="0" w:type="dxa"/>
              <w:right w:w="15" w:type="dxa"/>
            </w:tcMar>
            <w:vAlign w:val="center"/>
            <w:hideMark/>
          </w:tcPr>
          <w:p w14:paraId="1FE5E092"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months</w:t>
            </w:r>
          </w:p>
        </w:tc>
        <w:tc>
          <w:tcPr>
            <w:tcW w:w="0" w:type="auto"/>
            <w:shd w:val="clear" w:color="auto" w:fill="auto"/>
            <w:tcMar>
              <w:top w:w="0" w:type="dxa"/>
              <w:left w:w="15" w:type="dxa"/>
              <w:bottom w:w="0" w:type="dxa"/>
              <w:right w:w="15" w:type="dxa"/>
            </w:tcMar>
            <w:vAlign w:val="center"/>
            <w:hideMark/>
          </w:tcPr>
          <w:p w14:paraId="50E5011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0.0003</w:t>
            </w:r>
          </w:p>
        </w:tc>
        <w:tc>
          <w:tcPr>
            <w:tcW w:w="0" w:type="auto"/>
            <w:shd w:val="clear" w:color="auto" w:fill="auto"/>
            <w:tcMar>
              <w:top w:w="0" w:type="dxa"/>
              <w:left w:w="15" w:type="dxa"/>
              <w:bottom w:w="0" w:type="dxa"/>
              <w:right w:w="15" w:type="dxa"/>
            </w:tcMar>
            <w:vAlign w:val="center"/>
            <w:hideMark/>
          </w:tcPr>
          <w:p w14:paraId="7C6827E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42CF7A2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0.169</w:t>
            </w:r>
          </w:p>
        </w:tc>
        <w:tc>
          <w:tcPr>
            <w:tcW w:w="0" w:type="auto"/>
            <w:shd w:val="clear" w:color="auto" w:fill="auto"/>
            <w:tcMar>
              <w:top w:w="0" w:type="dxa"/>
              <w:left w:w="15" w:type="dxa"/>
              <w:bottom w:w="0" w:type="dxa"/>
              <w:right w:w="15" w:type="dxa"/>
            </w:tcMar>
            <w:vAlign w:val="center"/>
            <w:hideMark/>
          </w:tcPr>
          <w:p w14:paraId="2C8DC45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0.0014</w:t>
            </w:r>
          </w:p>
        </w:tc>
        <w:tc>
          <w:tcPr>
            <w:tcW w:w="0" w:type="auto"/>
            <w:shd w:val="clear" w:color="auto" w:fill="auto"/>
            <w:tcMar>
              <w:top w:w="0" w:type="dxa"/>
              <w:left w:w="15" w:type="dxa"/>
              <w:bottom w:w="0" w:type="dxa"/>
              <w:right w:w="15" w:type="dxa"/>
            </w:tcMar>
            <w:vAlign w:val="center"/>
            <w:hideMark/>
          </w:tcPr>
          <w:p w14:paraId="55B1405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0.0037</w:t>
            </w:r>
          </w:p>
        </w:tc>
        <w:tc>
          <w:tcPr>
            <w:tcW w:w="0" w:type="auto"/>
            <w:shd w:val="clear" w:color="auto" w:fill="auto"/>
            <w:tcMar>
              <w:top w:w="0" w:type="dxa"/>
              <w:left w:w="15" w:type="dxa"/>
              <w:bottom w:w="0" w:type="dxa"/>
              <w:right w:w="15" w:type="dxa"/>
            </w:tcMar>
            <w:vAlign w:val="center"/>
            <w:hideMark/>
          </w:tcPr>
          <w:p w14:paraId="0BFD956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0.700</w:t>
            </w:r>
          </w:p>
        </w:tc>
      </w:tr>
      <w:tr w:rsidR="003C12F4" w:rsidRPr="003C12F4" w14:paraId="4CA3F842" w14:textId="77777777" w:rsidTr="003C12F4">
        <w:trPr>
          <w:trHeight w:val="283"/>
        </w:trPr>
        <w:tc>
          <w:tcPr>
            <w:tcW w:w="0" w:type="auto"/>
            <w:shd w:val="clear" w:color="auto" w:fill="auto"/>
            <w:tcMar>
              <w:top w:w="15" w:type="dxa"/>
              <w:left w:w="15" w:type="dxa"/>
              <w:bottom w:w="0" w:type="dxa"/>
              <w:right w:w="15" w:type="dxa"/>
            </w:tcMar>
            <w:vAlign w:val="center"/>
            <w:hideMark/>
          </w:tcPr>
          <w:p w14:paraId="53174AA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Age squared</w:t>
            </w:r>
          </w:p>
        </w:tc>
        <w:tc>
          <w:tcPr>
            <w:tcW w:w="0" w:type="auto"/>
            <w:shd w:val="clear" w:color="auto" w:fill="auto"/>
            <w:tcMar>
              <w:top w:w="0" w:type="dxa"/>
              <w:left w:w="15" w:type="dxa"/>
              <w:bottom w:w="0" w:type="dxa"/>
              <w:right w:w="15" w:type="dxa"/>
            </w:tcMar>
            <w:vAlign w:val="center"/>
            <w:hideMark/>
          </w:tcPr>
          <w:p w14:paraId="3F98FC6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6B17092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6DC6F6E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0.181</w:t>
            </w:r>
          </w:p>
        </w:tc>
        <w:tc>
          <w:tcPr>
            <w:tcW w:w="0" w:type="auto"/>
            <w:shd w:val="clear" w:color="auto" w:fill="auto"/>
            <w:tcMar>
              <w:top w:w="0" w:type="dxa"/>
              <w:left w:w="15" w:type="dxa"/>
              <w:bottom w:w="0" w:type="dxa"/>
              <w:right w:w="15" w:type="dxa"/>
            </w:tcMar>
            <w:vAlign w:val="center"/>
            <w:hideMark/>
          </w:tcPr>
          <w:p w14:paraId="04FBF9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-0.0018</w:t>
            </w:r>
          </w:p>
        </w:tc>
        <w:tc>
          <w:tcPr>
            <w:tcW w:w="0" w:type="auto"/>
            <w:shd w:val="clear" w:color="auto" w:fill="auto"/>
            <w:tcMar>
              <w:top w:w="0" w:type="dxa"/>
              <w:left w:w="15" w:type="dxa"/>
              <w:bottom w:w="0" w:type="dxa"/>
              <w:right w:w="15" w:type="dxa"/>
            </w:tcMar>
            <w:vAlign w:val="center"/>
            <w:hideMark/>
          </w:tcPr>
          <w:p w14:paraId="51A64D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0.0031</w:t>
            </w:r>
          </w:p>
        </w:tc>
        <w:tc>
          <w:tcPr>
            <w:tcW w:w="0" w:type="auto"/>
            <w:shd w:val="clear" w:color="auto" w:fill="auto"/>
            <w:tcMar>
              <w:top w:w="0" w:type="dxa"/>
              <w:left w:w="15" w:type="dxa"/>
              <w:bottom w:w="0" w:type="dxa"/>
              <w:right w:w="15" w:type="dxa"/>
            </w:tcMar>
            <w:vAlign w:val="center"/>
            <w:hideMark/>
          </w:tcPr>
          <w:p w14:paraId="73F3021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0.563</w:t>
            </w:r>
          </w:p>
        </w:tc>
      </w:tr>
      <w:tr w:rsidR="003C12F4" w:rsidRPr="003C12F4" w14:paraId="483E9AB1" w14:textId="77777777" w:rsidTr="003C12F4">
        <w:trPr>
          <w:trHeight w:val="283"/>
        </w:trPr>
        <w:tc>
          <w:tcPr>
            <w:tcW w:w="0" w:type="auto"/>
            <w:shd w:val="clear" w:color="auto" w:fill="auto"/>
            <w:tcMar>
              <w:top w:w="15" w:type="dxa"/>
              <w:left w:w="15" w:type="dxa"/>
              <w:bottom w:w="0" w:type="dxa"/>
              <w:right w:w="15" w:type="dxa"/>
            </w:tcMar>
            <w:vAlign w:val="center"/>
            <w:hideMark/>
          </w:tcPr>
          <w:p w14:paraId="4977D5F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Sex</w:t>
            </w:r>
          </w:p>
        </w:tc>
        <w:tc>
          <w:tcPr>
            <w:tcW w:w="0" w:type="auto"/>
            <w:shd w:val="clear" w:color="auto" w:fill="auto"/>
            <w:tcMar>
              <w:top w:w="0" w:type="dxa"/>
              <w:left w:w="15" w:type="dxa"/>
              <w:bottom w:w="0" w:type="dxa"/>
              <w:right w:w="15" w:type="dxa"/>
            </w:tcMar>
            <w:vAlign w:val="center"/>
            <w:hideMark/>
          </w:tcPr>
          <w:p w14:paraId="1558445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76428EC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726B511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0.639</w:t>
            </w:r>
          </w:p>
        </w:tc>
        <w:tc>
          <w:tcPr>
            <w:tcW w:w="0" w:type="auto"/>
            <w:shd w:val="clear" w:color="auto" w:fill="auto"/>
            <w:tcMar>
              <w:top w:w="0" w:type="dxa"/>
              <w:left w:w="15" w:type="dxa"/>
              <w:bottom w:w="0" w:type="dxa"/>
              <w:right w:w="15" w:type="dxa"/>
            </w:tcMar>
            <w:vAlign w:val="center"/>
            <w:hideMark/>
          </w:tcPr>
          <w:p w14:paraId="1A12A43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0.0009</w:t>
            </w:r>
          </w:p>
        </w:tc>
        <w:tc>
          <w:tcPr>
            <w:tcW w:w="0" w:type="auto"/>
            <w:shd w:val="clear" w:color="auto" w:fill="auto"/>
            <w:tcMar>
              <w:top w:w="0" w:type="dxa"/>
              <w:left w:w="15" w:type="dxa"/>
              <w:bottom w:w="0" w:type="dxa"/>
              <w:right w:w="15" w:type="dxa"/>
            </w:tcMar>
            <w:vAlign w:val="center"/>
            <w:hideMark/>
          </w:tcPr>
          <w:p w14:paraId="5832A91F"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0.0012</w:t>
            </w:r>
          </w:p>
        </w:tc>
        <w:tc>
          <w:tcPr>
            <w:tcW w:w="0" w:type="auto"/>
            <w:shd w:val="clear" w:color="auto" w:fill="auto"/>
            <w:tcMar>
              <w:top w:w="0" w:type="dxa"/>
              <w:left w:w="15" w:type="dxa"/>
              <w:bottom w:w="0" w:type="dxa"/>
              <w:right w:w="15" w:type="dxa"/>
            </w:tcMar>
            <w:vAlign w:val="center"/>
            <w:hideMark/>
          </w:tcPr>
          <w:p w14:paraId="2A8EED9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0.441</w:t>
            </w:r>
          </w:p>
        </w:tc>
      </w:tr>
      <w:tr w:rsidR="003C12F4" w:rsidRPr="003C12F4" w14:paraId="41FB95C0" w14:textId="77777777" w:rsidTr="003C12F4">
        <w:trPr>
          <w:trHeight w:val="283"/>
        </w:trPr>
        <w:tc>
          <w:tcPr>
            <w:tcW w:w="0" w:type="auto"/>
            <w:shd w:val="clear" w:color="auto" w:fill="auto"/>
            <w:tcMar>
              <w:top w:w="15" w:type="dxa"/>
              <w:left w:w="15" w:type="dxa"/>
              <w:bottom w:w="0" w:type="dxa"/>
              <w:right w:w="15" w:type="dxa"/>
            </w:tcMar>
            <w:vAlign w:val="center"/>
            <w:hideMark/>
          </w:tcPr>
          <w:p w14:paraId="24C15F6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residence</w:t>
            </w:r>
          </w:p>
        </w:tc>
        <w:tc>
          <w:tcPr>
            <w:tcW w:w="0" w:type="auto"/>
            <w:shd w:val="clear" w:color="auto" w:fill="auto"/>
            <w:tcMar>
              <w:top w:w="0" w:type="dxa"/>
              <w:left w:w="15" w:type="dxa"/>
              <w:bottom w:w="0" w:type="dxa"/>
              <w:right w:w="15" w:type="dxa"/>
            </w:tcMar>
            <w:vAlign w:val="center"/>
            <w:hideMark/>
          </w:tcPr>
          <w:p w14:paraId="2975C9D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0.0002</w:t>
            </w:r>
          </w:p>
        </w:tc>
        <w:tc>
          <w:tcPr>
            <w:tcW w:w="0" w:type="auto"/>
            <w:shd w:val="clear" w:color="auto" w:fill="auto"/>
            <w:tcMar>
              <w:top w:w="0" w:type="dxa"/>
              <w:left w:w="15" w:type="dxa"/>
              <w:bottom w:w="0" w:type="dxa"/>
              <w:right w:w="15" w:type="dxa"/>
            </w:tcMar>
            <w:vAlign w:val="center"/>
            <w:hideMark/>
          </w:tcPr>
          <w:p w14:paraId="26CDD5C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418F6A3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0.306</w:t>
            </w:r>
          </w:p>
        </w:tc>
        <w:tc>
          <w:tcPr>
            <w:tcW w:w="0" w:type="auto"/>
            <w:shd w:val="clear" w:color="auto" w:fill="auto"/>
            <w:tcMar>
              <w:top w:w="0" w:type="dxa"/>
              <w:left w:w="15" w:type="dxa"/>
              <w:bottom w:w="0" w:type="dxa"/>
              <w:right w:w="15" w:type="dxa"/>
            </w:tcMar>
            <w:vAlign w:val="center"/>
            <w:hideMark/>
          </w:tcPr>
          <w:p w14:paraId="35E9C26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-0.0083</w:t>
            </w:r>
          </w:p>
        </w:tc>
        <w:tc>
          <w:tcPr>
            <w:tcW w:w="0" w:type="auto"/>
            <w:shd w:val="clear" w:color="auto" w:fill="auto"/>
            <w:tcMar>
              <w:top w:w="0" w:type="dxa"/>
              <w:left w:w="15" w:type="dxa"/>
              <w:bottom w:w="0" w:type="dxa"/>
              <w:right w:w="15" w:type="dxa"/>
            </w:tcMar>
            <w:vAlign w:val="center"/>
            <w:hideMark/>
          </w:tcPr>
          <w:p w14:paraId="63D3B2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0.0321</w:t>
            </w:r>
          </w:p>
        </w:tc>
        <w:tc>
          <w:tcPr>
            <w:tcW w:w="0" w:type="auto"/>
            <w:shd w:val="clear" w:color="auto" w:fill="auto"/>
            <w:tcMar>
              <w:top w:w="0" w:type="dxa"/>
              <w:left w:w="15" w:type="dxa"/>
              <w:bottom w:w="0" w:type="dxa"/>
              <w:right w:w="15" w:type="dxa"/>
            </w:tcMar>
            <w:vAlign w:val="center"/>
            <w:hideMark/>
          </w:tcPr>
          <w:p w14:paraId="4B7E291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0.795</w:t>
            </w:r>
          </w:p>
        </w:tc>
      </w:tr>
      <w:tr w:rsidR="003C12F4" w:rsidRPr="003C12F4" w14:paraId="064BCC77" w14:textId="77777777" w:rsidTr="003C12F4">
        <w:trPr>
          <w:trHeight w:val="283"/>
        </w:trPr>
        <w:tc>
          <w:tcPr>
            <w:tcW w:w="0" w:type="auto"/>
            <w:shd w:val="clear" w:color="auto" w:fill="auto"/>
            <w:tcMar>
              <w:top w:w="15" w:type="dxa"/>
              <w:left w:w="15" w:type="dxa"/>
              <w:bottom w:w="0" w:type="dxa"/>
              <w:right w:w="15" w:type="dxa"/>
            </w:tcMar>
            <w:vAlign w:val="center"/>
            <w:hideMark/>
          </w:tcPr>
          <w:p w14:paraId="6BACAF47"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religion</w:t>
            </w:r>
          </w:p>
        </w:tc>
        <w:tc>
          <w:tcPr>
            <w:tcW w:w="0" w:type="auto"/>
            <w:shd w:val="clear" w:color="auto" w:fill="auto"/>
            <w:tcMar>
              <w:top w:w="0" w:type="dxa"/>
              <w:left w:w="15" w:type="dxa"/>
              <w:bottom w:w="0" w:type="dxa"/>
              <w:right w:w="15" w:type="dxa"/>
            </w:tcMar>
            <w:vAlign w:val="center"/>
            <w:hideMark/>
          </w:tcPr>
          <w:p w14:paraId="5ACD306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0CC6B1C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0.0000</w:t>
            </w:r>
          </w:p>
        </w:tc>
        <w:tc>
          <w:tcPr>
            <w:tcW w:w="0" w:type="auto"/>
            <w:shd w:val="clear" w:color="auto" w:fill="auto"/>
            <w:tcMar>
              <w:top w:w="0" w:type="dxa"/>
              <w:left w:w="15" w:type="dxa"/>
              <w:bottom w:w="0" w:type="dxa"/>
              <w:right w:w="15" w:type="dxa"/>
            </w:tcMar>
            <w:vAlign w:val="center"/>
            <w:hideMark/>
          </w:tcPr>
          <w:p w14:paraId="3D9E779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0.446</w:t>
            </w:r>
          </w:p>
        </w:tc>
        <w:tc>
          <w:tcPr>
            <w:tcW w:w="0" w:type="auto"/>
            <w:shd w:val="clear" w:color="auto" w:fill="auto"/>
            <w:tcMar>
              <w:top w:w="0" w:type="dxa"/>
              <w:left w:w="15" w:type="dxa"/>
              <w:bottom w:w="0" w:type="dxa"/>
              <w:right w:w="15" w:type="dxa"/>
            </w:tcMar>
            <w:vAlign w:val="center"/>
            <w:hideMark/>
          </w:tcPr>
          <w:p w14:paraId="035E5EA2"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0.0069</w:t>
            </w:r>
          </w:p>
        </w:tc>
        <w:tc>
          <w:tcPr>
            <w:tcW w:w="0" w:type="auto"/>
            <w:shd w:val="clear" w:color="auto" w:fill="auto"/>
            <w:tcMar>
              <w:top w:w="0" w:type="dxa"/>
              <w:left w:w="15" w:type="dxa"/>
              <w:bottom w:w="0" w:type="dxa"/>
              <w:right w:w="15" w:type="dxa"/>
            </w:tcMar>
            <w:vAlign w:val="center"/>
            <w:hideMark/>
          </w:tcPr>
          <w:p w14:paraId="5661159D"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0.0055</w:t>
            </w:r>
          </w:p>
        </w:tc>
        <w:tc>
          <w:tcPr>
            <w:tcW w:w="0" w:type="auto"/>
            <w:shd w:val="clear" w:color="auto" w:fill="auto"/>
            <w:tcMar>
              <w:top w:w="0" w:type="dxa"/>
              <w:left w:w="15" w:type="dxa"/>
              <w:bottom w:w="0" w:type="dxa"/>
              <w:right w:w="15" w:type="dxa"/>
            </w:tcMar>
            <w:vAlign w:val="center"/>
            <w:hideMark/>
          </w:tcPr>
          <w:p w14:paraId="6586FAA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0.209</w:t>
            </w:r>
          </w:p>
        </w:tc>
      </w:tr>
      <w:tr w:rsidR="003C12F4" w:rsidRPr="003C12F4" w14:paraId="5613CD90" w14:textId="77777777" w:rsidTr="003C12F4">
        <w:trPr>
          <w:trHeight w:val="283"/>
        </w:trPr>
        <w:tc>
          <w:tcPr>
            <w:tcW w:w="0" w:type="auto"/>
            <w:shd w:val="clear" w:color="auto" w:fill="auto"/>
            <w:tcMar>
              <w:top w:w="15" w:type="dxa"/>
              <w:left w:w="15" w:type="dxa"/>
              <w:bottom w:w="0" w:type="dxa"/>
              <w:right w:w="15" w:type="dxa"/>
            </w:tcMar>
            <w:vAlign w:val="center"/>
            <w:hideMark/>
          </w:tcPr>
          <w:p w14:paraId="24EFB03F"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 xml:space="preserve">Education </w:t>
            </w:r>
          </w:p>
        </w:tc>
        <w:tc>
          <w:tcPr>
            <w:tcW w:w="0" w:type="auto"/>
            <w:shd w:val="clear" w:color="auto" w:fill="auto"/>
            <w:tcMar>
              <w:top w:w="0" w:type="dxa"/>
              <w:left w:w="15" w:type="dxa"/>
              <w:bottom w:w="0" w:type="dxa"/>
              <w:right w:w="15" w:type="dxa"/>
            </w:tcMar>
            <w:vAlign w:val="center"/>
            <w:hideMark/>
          </w:tcPr>
          <w:p w14:paraId="1A493183"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04FD3327"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0.0001</w:t>
            </w:r>
          </w:p>
        </w:tc>
        <w:tc>
          <w:tcPr>
            <w:tcW w:w="0" w:type="auto"/>
            <w:shd w:val="clear" w:color="auto" w:fill="auto"/>
            <w:tcMar>
              <w:top w:w="0" w:type="dxa"/>
              <w:left w:w="15" w:type="dxa"/>
              <w:bottom w:w="0" w:type="dxa"/>
              <w:right w:w="15" w:type="dxa"/>
            </w:tcMar>
            <w:vAlign w:val="center"/>
            <w:hideMark/>
          </w:tcPr>
          <w:p w14:paraId="00A01A5E"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0.325</w:t>
            </w:r>
          </w:p>
        </w:tc>
        <w:tc>
          <w:tcPr>
            <w:tcW w:w="0" w:type="auto"/>
            <w:shd w:val="clear" w:color="auto" w:fill="auto"/>
            <w:tcMar>
              <w:top w:w="0" w:type="dxa"/>
              <w:left w:w="15" w:type="dxa"/>
              <w:bottom w:w="0" w:type="dxa"/>
              <w:right w:w="15" w:type="dxa"/>
            </w:tcMar>
            <w:vAlign w:val="center"/>
            <w:hideMark/>
          </w:tcPr>
          <w:p w14:paraId="1920284C"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-0.0612</w:t>
            </w:r>
          </w:p>
        </w:tc>
        <w:tc>
          <w:tcPr>
            <w:tcW w:w="0" w:type="auto"/>
            <w:shd w:val="clear" w:color="auto" w:fill="auto"/>
            <w:tcMar>
              <w:top w:w="0" w:type="dxa"/>
              <w:left w:w="15" w:type="dxa"/>
              <w:bottom w:w="0" w:type="dxa"/>
              <w:right w:w="15" w:type="dxa"/>
            </w:tcMar>
            <w:vAlign w:val="center"/>
            <w:hideMark/>
          </w:tcPr>
          <w:p w14:paraId="01B69C2B"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0.0256</w:t>
            </w:r>
          </w:p>
        </w:tc>
        <w:tc>
          <w:tcPr>
            <w:tcW w:w="0" w:type="auto"/>
            <w:shd w:val="clear" w:color="auto" w:fill="auto"/>
            <w:tcMar>
              <w:top w:w="0" w:type="dxa"/>
              <w:left w:w="15" w:type="dxa"/>
              <w:bottom w:w="0" w:type="dxa"/>
              <w:right w:w="15" w:type="dxa"/>
            </w:tcMar>
            <w:vAlign w:val="center"/>
            <w:hideMark/>
          </w:tcPr>
          <w:p w14:paraId="5591D135"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0.017</w:t>
            </w:r>
          </w:p>
        </w:tc>
      </w:tr>
      <w:tr w:rsidR="003C12F4" w:rsidRPr="003C12F4" w14:paraId="7E598186" w14:textId="77777777" w:rsidTr="003C12F4">
        <w:trPr>
          <w:trHeight w:val="283"/>
        </w:trPr>
        <w:tc>
          <w:tcPr>
            <w:tcW w:w="0" w:type="auto"/>
            <w:shd w:val="clear" w:color="auto" w:fill="auto"/>
            <w:tcMar>
              <w:top w:w="15" w:type="dxa"/>
              <w:left w:w="15" w:type="dxa"/>
              <w:bottom w:w="0" w:type="dxa"/>
              <w:right w:w="15" w:type="dxa"/>
            </w:tcMar>
            <w:vAlign w:val="center"/>
            <w:hideMark/>
          </w:tcPr>
          <w:p w14:paraId="50C1E44E" w14:textId="77777777" w:rsidR="003C12F4" w:rsidRPr="003C12F4" w:rsidRDefault="003C12F4" w:rsidP="003C12F4">
            <w:pPr>
              <w:spacing w:before="0" w:beforeAutospacing="0" w:after="0" w:afterAutospacing="0" w:line="240" w:lineRule="auto"/>
              <w:rPr>
                <w:rFonts w:ascii="Helvetica" w:eastAsia="Times New Roman" w:hAnsi="Helvetica" w:cs="Helvetica"/>
                <w:color w:val="000000"/>
              </w:rPr>
            </w:pPr>
            <w:r w:rsidRPr="003C12F4">
              <w:rPr>
                <w:rFonts w:ascii="Helvetica" w:eastAsia="Times New Roman" w:hAnsi="Helvetica" w:cs="Helvetica"/>
                <w:color w:val="000000"/>
              </w:rPr>
              <w:t>Wealth index</w:t>
            </w:r>
          </w:p>
        </w:tc>
        <w:tc>
          <w:tcPr>
            <w:tcW w:w="0" w:type="auto"/>
            <w:shd w:val="clear" w:color="auto" w:fill="auto"/>
            <w:tcMar>
              <w:top w:w="15" w:type="dxa"/>
              <w:left w:w="15" w:type="dxa"/>
              <w:bottom w:w="0" w:type="dxa"/>
              <w:right w:w="15" w:type="dxa"/>
            </w:tcMar>
            <w:vAlign w:val="center"/>
            <w:hideMark/>
          </w:tcPr>
          <w:p w14:paraId="396059C1"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0.0020</w:t>
            </w:r>
          </w:p>
        </w:tc>
        <w:tc>
          <w:tcPr>
            <w:tcW w:w="0" w:type="auto"/>
            <w:shd w:val="clear" w:color="auto" w:fill="auto"/>
            <w:tcMar>
              <w:top w:w="15" w:type="dxa"/>
              <w:left w:w="15" w:type="dxa"/>
              <w:bottom w:w="0" w:type="dxa"/>
              <w:right w:w="15" w:type="dxa"/>
            </w:tcMar>
            <w:vAlign w:val="center"/>
            <w:hideMark/>
          </w:tcPr>
          <w:p w14:paraId="40601DA6"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0.0021</w:t>
            </w:r>
          </w:p>
        </w:tc>
        <w:tc>
          <w:tcPr>
            <w:tcW w:w="0" w:type="auto"/>
            <w:shd w:val="clear" w:color="auto" w:fill="auto"/>
            <w:tcMar>
              <w:top w:w="15" w:type="dxa"/>
              <w:left w:w="15" w:type="dxa"/>
              <w:bottom w:w="0" w:type="dxa"/>
              <w:right w:w="15" w:type="dxa"/>
            </w:tcMar>
            <w:vAlign w:val="center"/>
            <w:hideMark/>
          </w:tcPr>
          <w:p w14:paraId="425E4FA8"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0.346</w:t>
            </w:r>
          </w:p>
        </w:tc>
        <w:tc>
          <w:tcPr>
            <w:tcW w:w="0" w:type="auto"/>
            <w:shd w:val="clear" w:color="auto" w:fill="auto"/>
            <w:tcMar>
              <w:top w:w="15" w:type="dxa"/>
              <w:left w:w="15" w:type="dxa"/>
              <w:bottom w:w="0" w:type="dxa"/>
              <w:right w:w="15" w:type="dxa"/>
            </w:tcMar>
            <w:vAlign w:val="center"/>
            <w:hideMark/>
          </w:tcPr>
          <w:p w14:paraId="3722BE84"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-0.0866</w:t>
            </w:r>
          </w:p>
        </w:tc>
        <w:tc>
          <w:tcPr>
            <w:tcW w:w="0" w:type="auto"/>
            <w:shd w:val="clear" w:color="auto" w:fill="auto"/>
            <w:tcMar>
              <w:top w:w="15" w:type="dxa"/>
              <w:left w:w="15" w:type="dxa"/>
              <w:bottom w:w="0" w:type="dxa"/>
              <w:right w:w="15" w:type="dxa"/>
            </w:tcMar>
            <w:vAlign w:val="center"/>
            <w:hideMark/>
          </w:tcPr>
          <w:p w14:paraId="4AF3A9AA"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0.1282</w:t>
            </w:r>
          </w:p>
        </w:tc>
        <w:tc>
          <w:tcPr>
            <w:tcW w:w="0" w:type="auto"/>
            <w:shd w:val="clear" w:color="auto" w:fill="auto"/>
            <w:tcMar>
              <w:top w:w="15" w:type="dxa"/>
              <w:left w:w="15" w:type="dxa"/>
              <w:bottom w:w="0" w:type="dxa"/>
              <w:right w:w="15" w:type="dxa"/>
            </w:tcMar>
            <w:vAlign w:val="center"/>
            <w:hideMark/>
          </w:tcPr>
          <w:p w14:paraId="00C0C530" w14:textId="77777777" w:rsidR="003C12F4" w:rsidRPr="003C12F4" w:rsidRDefault="003C12F4" w:rsidP="003C12F4">
            <w:pPr>
              <w:spacing w:before="0" w:beforeAutospacing="0" w:after="0" w:afterAutospacing="0" w:line="240" w:lineRule="auto"/>
              <w:jc w:val="center"/>
              <w:rPr>
                <w:rFonts w:ascii="Helvetica" w:eastAsia="Times New Roman" w:hAnsi="Helvetica" w:cs="Helvetica"/>
                <w:color w:val="000000"/>
              </w:rPr>
            </w:pPr>
            <w:r w:rsidRPr="003C12F4">
              <w:rPr>
                <w:rFonts w:ascii="Helvetica" w:eastAsia="Times New Roman" w:hAnsi="Helvetica" w:cs="Helvetica"/>
                <w:color w:val="000000"/>
              </w:rPr>
              <w:t>0.499</w:t>
            </w:r>
          </w:p>
        </w:tc>
      </w:tr>
      <w:tr w:rsidR="003C12F4" w:rsidRPr="003C12F4" w14:paraId="5ADB748D" w14:textId="77777777" w:rsidTr="003C12F4">
        <w:trPr>
          <w:trHeight w:val="283"/>
        </w:trPr>
        <w:tc>
          <w:tcPr>
            <w:tcW w:w="0" w:type="auto"/>
            <w:gridSpan w:val="7"/>
            <w:tcBorders>
              <w:bottom w:val="single" w:sz="4" w:space="0" w:color="auto"/>
            </w:tcBorders>
            <w:shd w:val="clear" w:color="auto" w:fill="auto"/>
            <w:tcMar>
              <w:top w:w="15" w:type="dxa"/>
              <w:left w:w="15" w:type="dxa"/>
              <w:bottom w:w="0" w:type="dxa"/>
              <w:right w:w="15" w:type="dxa"/>
            </w:tcMar>
            <w:vAlign w:val="center"/>
          </w:tcPr>
          <w:p w14:paraId="4ACAEFA3" w14:textId="77777777" w:rsidR="003C12F4" w:rsidRPr="003C12F4" w:rsidRDefault="003C12F4" w:rsidP="003C12F4">
            <w:pPr>
              <w:spacing w:before="0" w:beforeAutospacing="0" w:after="0" w:afterAutospacing="0" w:line="240" w:lineRule="auto"/>
              <w:rPr>
                <w:rFonts w:ascii="Helvetica" w:eastAsia="MS Mincho" w:hAnsi="Helvetica" w:cs="Helvetica"/>
                <w:lang w:val="en-GB"/>
              </w:rPr>
            </w:pPr>
            <w:r w:rsidRPr="003C12F4">
              <w:rPr>
                <w:rFonts w:ascii="Helvetica" w:eastAsia="MS Mincho" w:hAnsi="Helvetica" w:cs="Helvetica"/>
                <w:b/>
                <w:bCs/>
                <w:lang w:val="en-GB"/>
              </w:rPr>
              <w:t xml:space="preserve">Note: </w:t>
            </w:r>
            <w:r w:rsidRPr="003C12F4">
              <w:rPr>
                <w:rFonts w:ascii="Helvetica" w:eastAsia="MS Mincho" w:hAnsi="Helvetica" w:cs="Helvetica"/>
                <w:lang w:val="en-GB"/>
              </w:rPr>
              <w:t>HAZ scores used were in their continuous form and were multiplied by -1. Coef.: Coefficient; Std. Err.: Standard Error.</w:t>
            </w:r>
          </w:p>
          <w:p w14:paraId="66580C44" w14:textId="77777777" w:rsidR="003C12F4" w:rsidRPr="003C12F4" w:rsidRDefault="003C12F4" w:rsidP="003C12F4">
            <w:pPr>
              <w:spacing w:before="0" w:beforeAutospacing="0" w:after="0" w:afterAutospacing="0" w:line="240" w:lineRule="auto"/>
              <w:jc w:val="right"/>
              <w:rPr>
                <w:rFonts w:ascii="Helvetica" w:eastAsia="Times New Roman" w:hAnsi="Helvetica" w:cs="Helvetica"/>
                <w:color w:val="000000"/>
              </w:rPr>
            </w:pPr>
          </w:p>
        </w:tc>
      </w:tr>
    </w:tbl>
    <w:p w14:paraId="30133BFC"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6CF10890"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Helvetica"/>
          <w:b/>
          <w:sz w:val="24"/>
          <w:szCs w:val="24"/>
          <w:lang w:val="en-GB"/>
        </w:rPr>
      </w:pPr>
      <w:r w:rsidRPr="003C12F4">
        <w:rPr>
          <w:rFonts w:ascii="Helvetica" w:eastAsia="MS Gothic" w:hAnsi="Helvetica" w:cs="Helvetica"/>
          <w:b/>
          <w:sz w:val="24"/>
          <w:szCs w:val="24"/>
          <w:lang w:val="en-GB"/>
        </w:rPr>
        <w:lastRenderedPageBreak/>
        <w:t>Decomposition of the variations in socioeconomic inequalities in the Kenyan child malnutrition statistics</w:t>
      </w:r>
    </w:p>
    <w:p w14:paraId="75E26A3B" w14:textId="77777777" w:rsidR="003C12F4" w:rsidRPr="003C12F4" w:rsidRDefault="003C12F4" w:rsidP="003C12F4">
      <w:pPr>
        <w:autoSpaceDE w:val="0"/>
        <w:autoSpaceDN w:val="0"/>
        <w:adjustRightInd w:val="0"/>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Decompositions of the changes in the concentration indices between 2003 and </w:t>
      </w:r>
      <w:proofErr w:type="gramStart"/>
      <w:r w:rsidRPr="003C12F4">
        <w:rPr>
          <w:rFonts w:ascii="Helvetica" w:eastAsia="MS Mincho" w:hAnsi="Helvetica" w:cs="Helvetica"/>
          <w:sz w:val="24"/>
          <w:szCs w:val="24"/>
          <w:lang w:val="en-GB"/>
        </w:rPr>
        <w:t>2014  using</w:t>
      </w:r>
      <w:proofErr w:type="gramEnd"/>
      <w:r w:rsidRPr="003C12F4">
        <w:rPr>
          <w:rFonts w:ascii="Helvetica" w:eastAsia="MS Mincho" w:hAnsi="Helvetica" w:cs="Helvetica"/>
          <w:sz w:val="24"/>
          <w:szCs w:val="24"/>
          <w:lang w:val="en-GB"/>
        </w:rPr>
        <w:t xml:space="preserve"> total differential decomposition for the height for age z scores suggest substantial disproportionate effects of age, residence, gender, religion, and socioeconomic status, with children from poor socio-economic backgrounds being </w:t>
      </w:r>
      <w:r w:rsidRPr="003C12F4">
        <w:rPr>
          <w:rFonts w:ascii="Helvetica" w:eastAsia="MS Mincho" w:hAnsi="Helvetica" w:cs="Helvetica"/>
          <w:sz w:val="24"/>
          <w:szCs w:val="24"/>
        </w:rPr>
        <w:t>disfavored</w:t>
      </w:r>
      <w:r w:rsidRPr="003C12F4">
        <w:rPr>
          <w:rFonts w:ascii="Helvetica" w:eastAsia="MS Mincho" w:hAnsi="Helvetica" w:cs="Helvetica"/>
          <w:sz w:val="24"/>
          <w:szCs w:val="24"/>
          <w:lang w:val="en-GB"/>
        </w:rPr>
        <w:t xml:space="preserve">.  In 2003, the contribution of socioeconomic inequality towards the overall disparities in height for age z scores between the rich and poor children was 2.17%. In 2014, this contribution increased substantially to 5.07%. The mother’s level of education had a significantly higher contribution to the overall disparities in stunting in 2003 as compared to the decline observed in 2014 (1.02% in 2003 vs 0.85% in 2014). The effect of the gender of the child </w:t>
      </w:r>
      <w:proofErr w:type="spellStart"/>
      <w:r w:rsidRPr="003C12F4">
        <w:rPr>
          <w:rFonts w:ascii="Helvetica" w:eastAsia="MS Mincho" w:hAnsi="Helvetica" w:cs="Helvetica"/>
          <w:sz w:val="24"/>
          <w:szCs w:val="24"/>
          <w:lang w:val="en-GB"/>
        </w:rPr>
        <w:t>disfavored</w:t>
      </w:r>
      <w:proofErr w:type="spellEnd"/>
      <w:r w:rsidRPr="003C12F4">
        <w:rPr>
          <w:rFonts w:ascii="Helvetica" w:eastAsia="MS Mincho" w:hAnsi="Helvetica" w:cs="Helvetica"/>
          <w:sz w:val="24"/>
          <w:szCs w:val="24"/>
          <w:lang w:val="en-GB"/>
        </w:rPr>
        <w:t xml:space="preserve"> the children from the poorest economic backgrounds in 2003. However, this effect became negligible in 2014. The mother’s level of education, as well as the socioeconomic status of the household (proxied by the wealth index), remained the greatest contributors to the disparities in stunting (height for age z scores) in both 2003 and 2014. In 2014, there was a notable shift in the effects of age and gender, which became negligible. </w:t>
      </w:r>
      <w:r w:rsidRPr="003C12F4">
        <w:rPr>
          <w:rFonts w:ascii="Helvetica" w:eastAsia="MS Mincho" w:hAnsi="Helvetica" w:cs="Helvetica"/>
          <w:b/>
          <w:bCs/>
          <w:sz w:val="24"/>
          <w:szCs w:val="24"/>
          <w:lang w:val="en-GB"/>
        </w:rPr>
        <w:t>Table 9</w:t>
      </w:r>
      <w:r w:rsidRPr="003C12F4">
        <w:rPr>
          <w:rFonts w:ascii="Helvetica" w:eastAsia="MS Mincho" w:hAnsi="Helvetica" w:cs="Helvetica"/>
          <w:sz w:val="24"/>
          <w:szCs w:val="24"/>
          <w:lang w:val="en-GB"/>
        </w:rPr>
        <w:t xml:space="preserve"> presents a summary of the change in determinant-specific CIs for stunting between 2003 and 2014, and their contributions to the total observed disparities.</w:t>
      </w:r>
    </w:p>
    <w:p w14:paraId="0A124542" w14:textId="77777777" w:rsidR="003C12F4" w:rsidRPr="003C12F4" w:rsidRDefault="003C12F4" w:rsidP="003C12F4">
      <w:pPr>
        <w:autoSpaceDE w:val="0"/>
        <w:autoSpaceDN w:val="0"/>
        <w:adjustRightInd w:val="0"/>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As observed for stunting, the contributions of the socioeconomic status and mother’s level of education remained substantial contributors to the observed variations in underweight in 2003. The contribution of the mother’s </w:t>
      </w:r>
      <w:r w:rsidRPr="003C12F4">
        <w:rPr>
          <w:rFonts w:ascii="Helvetica" w:eastAsia="MS Mincho" w:hAnsi="Helvetica" w:cs="Helvetica"/>
          <w:sz w:val="24"/>
          <w:szCs w:val="24"/>
          <w:lang w:val="en-GB"/>
        </w:rPr>
        <w:lastRenderedPageBreak/>
        <w:t xml:space="preserve">level of education was, however, greater (3.63%) compared to that recorded for the socioeconomic status (2.59%). Apart from age and gender, the other determinants of underweight contributed to the worsening nutrition status for the impoverished groups of children. In 2014, the contribution of the socioeconomic status of a child increased to 9.33% whereas the percentage contribution of the level of mother’s education declined to 2.63%. </w:t>
      </w:r>
      <w:proofErr w:type="gramStart"/>
      <w:r w:rsidRPr="003C12F4">
        <w:rPr>
          <w:rFonts w:ascii="Helvetica" w:eastAsia="MS Mincho" w:hAnsi="Helvetica" w:cs="Helvetica"/>
          <w:sz w:val="24"/>
          <w:szCs w:val="24"/>
          <w:lang w:val="en-GB"/>
        </w:rPr>
        <w:t>All of</w:t>
      </w:r>
      <w:proofErr w:type="gramEnd"/>
      <w:r w:rsidRPr="003C12F4">
        <w:rPr>
          <w:rFonts w:ascii="Helvetica" w:eastAsia="MS Mincho" w:hAnsi="Helvetica" w:cs="Helvetica"/>
          <w:sz w:val="24"/>
          <w:szCs w:val="24"/>
          <w:lang w:val="en-GB"/>
        </w:rPr>
        <w:t xml:space="preserve"> the factors included in the model for malnutrition determinants as well as in the decomposition of the concentration indices were observed to worsen the nutrition status of children from the poorest socioeconomic status including increasing age, gender, residential area, religion, the mother’s education level, and the socioeconomic status. The decompositions of the changes in the concentration indices for the determinants allude to the substantial and significant effect of inequalities in the socioeconomic status contributing to worsening the nutrition status of children, particularly those from disadvantaged backgrounds. The results of the decomposition of the changes in concentration indices of the determinants of underweight between 2003 and 2014 are summarized in </w:t>
      </w:r>
      <w:r w:rsidRPr="003C12F4">
        <w:rPr>
          <w:rFonts w:ascii="Helvetica" w:eastAsia="MS Mincho" w:hAnsi="Helvetica" w:cs="Helvetica"/>
          <w:b/>
          <w:bCs/>
          <w:sz w:val="24"/>
          <w:szCs w:val="24"/>
          <w:lang w:val="en-GB"/>
        </w:rPr>
        <w:t>Table 10</w:t>
      </w:r>
      <w:r w:rsidRPr="003C12F4">
        <w:rPr>
          <w:rFonts w:ascii="Helvetica" w:eastAsia="MS Mincho" w:hAnsi="Helvetica" w:cs="Helvetica"/>
          <w:sz w:val="24"/>
          <w:szCs w:val="24"/>
          <w:lang w:val="en-GB"/>
        </w:rPr>
        <w:t>.</w:t>
      </w:r>
    </w:p>
    <w:p w14:paraId="79F7B723" w14:textId="77777777" w:rsidR="003C12F4" w:rsidRPr="003C12F4" w:rsidRDefault="003C12F4" w:rsidP="003C12F4">
      <w:pPr>
        <w:autoSpaceDE w:val="0"/>
        <w:autoSpaceDN w:val="0"/>
        <w:adjustRightInd w:val="0"/>
        <w:spacing w:before="0" w:beforeAutospacing="0" w:after="0" w:afterAutospacing="0" w:line="480" w:lineRule="auto"/>
        <w:rPr>
          <w:rFonts w:ascii="Helvetica" w:eastAsia="MS Mincho" w:hAnsi="Helvetica" w:cs="Helvetica"/>
          <w:sz w:val="24"/>
          <w:szCs w:val="24"/>
          <w:lang w:val="en-GB"/>
        </w:rPr>
        <w:sectPr w:rsidR="003C12F4" w:rsidRPr="003C12F4" w:rsidSect="003C12F4">
          <w:pgSz w:w="11900" w:h="16840"/>
          <w:pgMar w:top="1440" w:right="1797" w:bottom="1440" w:left="1797" w:header="709" w:footer="709" w:gutter="0"/>
          <w:lnNumType w:countBy="1" w:restart="continuous"/>
          <w:cols w:space="708"/>
          <w:docGrid w:linePitch="360"/>
        </w:sectPr>
      </w:pPr>
    </w:p>
    <w:p w14:paraId="2F39A277" w14:textId="1BF662BD" w:rsidR="003C12F4" w:rsidRPr="003C12F4" w:rsidRDefault="003C12F4" w:rsidP="003C12F4">
      <w:pPr>
        <w:keepNext/>
        <w:spacing w:line="240" w:lineRule="auto"/>
        <w:rPr>
          <w:rFonts w:ascii="Helvetica" w:eastAsia="MS Mincho" w:hAnsi="Helvetica" w:cs="Helvetica"/>
          <w:b/>
          <w:bCs/>
          <w:sz w:val="24"/>
          <w:szCs w:val="24"/>
          <w:lang w:val="en-GB"/>
        </w:rPr>
      </w:pPr>
      <w:bookmarkStart w:id="0" w:name="_Hlk76071554"/>
      <w:r w:rsidRPr="003C12F4">
        <w:rPr>
          <w:rFonts w:ascii="Helvetica" w:eastAsia="MS Mincho" w:hAnsi="Helvetica" w:cs="Helvetica"/>
          <w:b/>
          <w:bCs/>
          <w:sz w:val="24"/>
          <w:szCs w:val="24"/>
          <w:lang w:val="en-GB"/>
        </w:rPr>
        <w:lastRenderedPageBreak/>
        <w:t xml:space="preserve">Table </w:t>
      </w:r>
      <w:r w:rsidR="00242840">
        <w:rPr>
          <w:rFonts w:ascii="Helvetica" w:eastAsia="MS Mincho" w:hAnsi="Helvetica" w:cs="Helvetica"/>
          <w:b/>
          <w:bCs/>
          <w:sz w:val="24"/>
          <w:szCs w:val="24"/>
          <w:lang w:val="en-GB"/>
        </w:rPr>
        <w:t>9</w:t>
      </w:r>
      <w:r w:rsidRPr="003C12F4">
        <w:rPr>
          <w:rFonts w:ascii="Helvetica" w:eastAsia="MS Mincho" w:hAnsi="Helvetica" w:cs="Helvetica"/>
          <w:b/>
          <w:bCs/>
          <w:sz w:val="24"/>
          <w:szCs w:val="24"/>
          <w:lang w:val="en-GB"/>
        </w:rPr>
        <w:t>. Decompositions of the contributions of the determinants of under-five child malnutrition to overall disparities in the concentration indices: stunting</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91"/>
        <w:gridCol w:w="2094"/>
        <w:gridCol w:w="1896"/>
        <w:gridCol w:w="1896"/>
        <w:gridCol w:w="2094"/>
        <w:gridCol w:w="1896"/>
        <w:gridCol w:w="1893"/>
      </w:tblGrid>
      <w:tr w:rsidR="003C12F4" w:rsidRPr="003C12F4" w14:paraId="0F13F278" w14:textId="77777777" w:rsidTr="003C12F4">
        <w:tc>
          <w:tcPr>
            <w:tcW w:w="785" w:type="pct"/>
            <w:tcBorders>
              <w:top w:val="single" w:sz="4" w:space="0" w:color="auto"/>
            </w:tcBorders>
          </w:tcPr>
          <w:p w14:paraId="511A86AC" w14:textId="77777777" w:rsidR="003C12F4" w:rsidRPr="003C12F4" w:rsidRDefault="003C12F4" w:rsidP="003C12F4">
            <w:pPr>
              <w:jc w:val="both"/>
              <w:rPr>
                <w:rFonts w:ascii="Helvetica" w:hAnsi="Helvetica" w:cs="Helvetica"/>
              </w:rPr>
            </w:pPr>
          </w:p>
        </w:tc>
        <w:tc>
          <w:tcPr>
            <w:tcW w:w="2108" w:type="pct"/>
            <w:gridSpan w:val="3"/>
            <w:tcBorders>
              <w:top w:val="single" w:sz="4" w:space="0" w:color="auto"/>
            </w:tcBorders>
          </w:tcPr>
          <w:p w14:paraId="01AD4D5A"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stunting in 2003 to observed inequalities</w:t>
            </w:r>
          </w:p>
        </w:tc>
        <w:tc>
          <w:tcPr>
            <w:tcW w:w="2107" w:type="pct"/>
            <w:gridSpan w:val="3"/>
            <w:tcBorders>
              <w:top w:val="single" w:sz="4" w:space="0" w:color="auto"/>
            </w:tcBorders>
          </w:tcPr>
          <w:p w14:paraId="707D3981"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stunting in 2014 to observed inequalities</w:t>
            </w:r>
          </w:p>
        </w:tc>
      </w:tr>
      <w:tr w:rsidR="003C12F4" w:rsidRPr="003C12F4" w14:paraId="3599BB1E" w14:textId="77777777" w:rsidTr="003C12F4">
        <w:tc>
          <w:tcPr>
            <w:tcW w:w="785" w:type="pct"/>
          </w:tcPr>
          <w:p w14:paraId="0B499FAB" w14:textId="77777777" w:rsidR="003C12F4" w:rsidRPr="003C12F4" w:rsidRDefault="003C12F4" w:rsidP="003C12F4">
            <w:pPr>
              <w:jc w:val="both"/>
              <w:rPr>
                <w:rFonts w:ascii="Helvetica" w:hAnsi="Helvetica" w:cs="Helvetica"/>
              </w:rPr>
            </w:pPr>
          </w:p>
        </w:tc>
        <w:tc>
          <w:tcPr>
            <w:tcW w:w="750" w:type="pct"/>
          </w:tcPr>
          <w:p w14:paraId="227F0DD5"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7F426C62"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9" w:type="pct"/>
          </w:tcPr>
          <w:p w14:paraId="3244DACC"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c>
          <w:tcPr>
            <w:tcW w:w="750" w:type="pct"/>
          </w:tcPr>
          <w:p w14:paraId="168A8CDE"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5C4AE26F"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8" w:type="pct"/>
          </w:tcPr>
          <w:p w14:paraId="3FDDA899"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r>
      <w:tr w:rsidR="003C12F4" w:rsidRPr="003C12F4" w14:paraId="50FE1422" w14:textId="77777777" w:rsidTr="003C12F4">
        <w:tc>
          <w:tcPr>
            <w:tcW w:w="785" w:type="pct"/>
          </w:tcPr>
          <w:p w14:paraId="65AC36F4" w14:textId="77777777" w:rsidR="003C12F4" w:rsidRPr="003C12F4" w:rsidRDefault="003C12F4" w:rsidP="003C12F4">
            <w:pPr>
              <w:jc w:val="both"/>
              <w:rPr>
                <w:rFonts w:ascii="Helvetica" w:hAnsi="Helvetica" w:cs="Helvetica"/>
              </w:rPr>
            </w:pPr>
            <w:r w:rsidRPr="003C12F4">
              <w:rPr>
                <w:rFonts w:ascii="Helvetica" w:hAnsi="Helvetica" w:cs="Helvetica"/>
              </w:rPr>
              <w:t>Age (in months)</w:t>
            </w:r>
          </w:p>
        </w:tc>
        <w:tc>
          <w:tcPr>
            <w:tcW w:w="750" w:type="pct"/>
          </w:tcPr>
          <w:p w14:paraId="1AC50C4E" w14:textId="77777777" w:rsidR="003C12F4" w:rsidRPr="003C12F4" w:rsidRDefault="003C12F4" w:rsidP="003C12F4">
            <w:pPr>
              <w:jc w:val="center"/>
              <w:rPr>
                <w:rFonts w:ascii="Helvetica" w:hAnsi="Helvetica" w:cs="Helvetica"/>
              </w:rPr>
            </w:pPr>
            <w:r w:rsidRPr="003C12F4">
              <w:rPr>
                <w:rFonts w:ascii="Helvetica" w:hAnsi="Helvetica" w:cs="Helvetica"/>
              </w:rPr>
              <w:t>-0.003</w:t>
            </w:r>
          </w:p>
        </w:tc>
        <w:tc>
          <w:tcPr>
            <w:tcW w:w="679" w:type="pct"/>
          </w:tcPr>
          <w:p w14:paraId="1475C1C3"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04971CE0" w14:textId="77777777" w:rsidR="003C12F4" w:rsidRPr="003C12F4" w:rsidRDefault="003C12F4" w:rsidP="003C12F4">
            <w:pPr>
              <w:jc w:val="center"/>
              <w:rPr>
                <w:rFonts w:ascii="Helvetica" w:hAnsi="Helvetica" w:cs="Helvetica"/>
              </w:rPr>
            </w:pPr>
            <w:r w:rsidRPr="003C12F4">
              <w:rPr>
                <w:rFonts w:ascii="Helvetica" w:hAnsi="Helvetica" w:cs="Helvetica"/>
              </w:rPr>
              <w:t>0.26</w:t>
            </w:r>
          </w:p>
        </w:tc>
        <w:tc>
          <w:tcPr>
            <w:tcW w:w="750" w:type="pct"/>
          </w:tcPr>
          <w:p w14:paraId="343B7858"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68849FEF"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8" w:type="pct"/>
          </w:tcPr>
          <w:p w14:paraId="42F8771B" w14:textId="77777777" w:rsidR="003C12F4" w:rsidRPr="003C12F4" w:rsidRDefault="003C12F4" w:rsidP="003C12F4">
            <w:pPr>
              <w:jc w:val="center"/>
              <w:rPr>
                <w:rFonts w:ascii="Helvetica" w:hAnsi="Helvetica" w:cs="Helvetica"/>
              </w:rPr>
            </w:pPr>
            <w:r w:rsidRPr="003C12F4">
              <w:rPr>
                <w:rFonts w:ascii="Helvetica" w:hAnsi="Helvetica" w:cs="Helvetica"/>
              </w:rPr>
              <w:t>-0.04</w:t>
            </w:r>
          </w:p>
        </w:tc>
      </w:tr>
      <w:tr w:rsidR="003C12F4" w:rsidRPr="003C12F4" w14:paraId="58857496" w14:textId="77777777" w:rsidTr="003C12F4">
        <w:tc>
          <w:tcPr>
            <w:tcW w:w="785" w:type="pct"/>
          </w:tcPr>
          <w:p w14:paraId="3E574793" w14:textId="77777777" w:rsidR="003C12F4" w:rsidRPr="003C12F4" w:rsidRDefault="003C12F4" w:rsidP="003C12F4">
            <w:pPr>
              <w:jc w:val="both"/>
              <w:rPr>
                <w:rFonts w:ascii="Helvetica" w:hAnsi="Helvetica" w:cs="Helvetica"/>
              </w:rPr>
            </w:pPr>
            <w:r w:rsidRPr="003C12F4">
              <w:rPr>
                <w:rFonts w:ascii="Helvetica" w:hAnsi="Helvetica" w:cs="Helvetica"/>
              </w:rPr>
              <w:t>Age squared</w:t>
            </w:r>
          </w:p>
        </w:tc>
        <w:tc>
          <w:tcPr>
            <w:tcW w:w="750" w:type="pct"/>
          </w:tcPr>
          <w:p w14:paraId="3561A978" w14:textId="77777777" w:rsidR="003C12F4" w:rsidRPr="003C12F4" w:rsidRDefault="003C12F4" w:rsidP="003C12F4">
            <w:pPr>
              <w:jc w:val="center"/>
              <w:rPr>
                <w:rFonts w:ascii="Helvetica" w:hAnsi="Helvetica" w:cs="Helvetica"/>
              </w:rPr>
            </w:pPr>
            <w:r w:rsidRPr="003C12F4">
              <w:rPr>
                <w:rFonts w:ascii="Helvetica" w:hAnsi="Helvetica" w:cs="Helvetica"/>
              </w:rPr>
              <w:t>-0.006</w:t>
            </w:r>
          </w:p>
        </w:tc>
        <w:tc>
          <w:tcPr>
            <w:tcW w:w="679" w:type="pct"/>
          </w:tcPr>
          <w:p w14:paraId="7EAF3CFA"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23C3419A" w14:textId="77777777" w:rsidR="003C12F4" w:rsidRPr="003C12F4" w:rsidRDefault="003C12F4" w:rsidP="003C12F4">
            <w:pPr>
              <w:jc w:val="center"/>
              <w:rPr>
                <w:rFonts w:ascii="Helvetica" w:hAnsi="Helvetica" w:cs="Helvetica"/>
              </w:rPr>
            </w:pPr>
            <w:r w:rsidRPr="003C12F4">
              <w:rPr>
                <w:rFonts w:ascii="Helvetica" w:hAnsi="Helvetica" w:cs="Helvetica"/>
              </w:rPr>
              <w:t>-0.34</w:t>
            </w:r>
          </w:p>
        </w:tc>
        <w:tc>
          <w:tcPr>
            <w:tcW w:w="750" w:type="pct"/>
          </w:tcPr>
          <w:p w14:paraId="14B87150"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02DFBEAB" w14:textId="77777777" w:rsidR="003C12F4" w:rsidRPr="003C12F4" w:rsidRDefault="003C12F4" w:rsidP="003C12F4">
            <w:pPr>
              <w:jc w:val="center"/>
              <w:rPr>
                <w:rFonts w:ascii="Helvetica" w:hAnsi="Helvetica" w:cs="Helvetica"/>
              </w:rPr>
            </w:pPr>
            <w:r w:rsidRPr="003C12F4">
              <w:rPr>
                <w:rFonts w:ascii="Helvetica" w:hAnsi="Helvetica" w:cs="Helvetica"/>
              </w:rPr>
              <w:t>-0.001</w:t>
            </w:r>
          </w:p>
        </w:tc>
        <w:tc>
          <w:tcPr>
            <w:tcW w:w="678" w:type="pct"/>
          </w:tcPr>
          <w:p w14:paraId="5CA246DD" w14:textId="77777777" w:rsidR="003C12F4" w:rsidRPr="003C12F4" w:rsidRDefault="003C12F4" w:rsidP="003C12F4">
            <w:pPr>
              <w:jc w:val="center"/>
              <w:rPr>
                <w:rFonts w:ascii="Helvetica" w:hAnsi="Helvetica" w:cs="Helvetica"/>
              </w:rPr>
            </w:pPr>
            <w:r w:rsidRPr="003C12F4">
              <w:rPr>
                <w:rFonts w:ascii="Helvetica" w:hAnsi="Helvetica" w:cs="Helvetica"/>
              </w:rPr>
              <w:t>0.01</w:t>
            </w:r>
          </w:p>
        </w:tc>
      </w:tr>
      <w:tr w:rsidR="003C12F4" w:rsidRPr="003C12F4" w14:paraId="6B109CEC" w14:textId="77777777" w:rsidTr="003C12F4">
        <w:tc>
          <w:tcPr>
            <w:tcW w:w="785" w:type="pct"/>
          </w:tcPr>
          <w:p w14:paraId="12D68958" w14:textId="77777777" w:rsidR="003C12F4" w:rsidRPr="003C12F4" w:rsidRDefault="003C12F4" w:rsidP="003C12F4">
            <w:pPr>
              <w:jc w:val="both"/>
              <w:rPr>
                <w:rFonts w:ascii="Helvetica" w:hAnsi="Helvetica" w:cs="Helvetica"/>
              </w:rPr>
            </w:pPr>
            <w:r w:rsidRPr="003C12F4">
              <w:rPr>
                <w:rFonts w:ascii="Helvetica" w:hAnsi="Helvetica" w:cs="Helvetica"/>
              </w:rPr>
              <w:t>Sex</w:t>
            </w:r>
          </w:p>
        </w:tc>
        <w:tc>
          <w:tcPr>
            <w:tcW w:w="750" w:type="pct"/>
          </w:tcPr>
          <w:p w14:paraId="4B5FA932" w14:textId="77777777" w:rsidR="003C12F4" w:rsidRPr="003C12F4" w:rsidRDefault="003C12F4" w:rsidP="003C12F4">
            <w:pPr>
              <w:jc w:val="center"/>
              <w:rPr>
                <w:rFonts w:ascii="Helvetica" w:hAnsi="Helvetica" w:cs="Helvetica"/>
              </w:rPr>
            </w:pPr>
            <w:r w:rsidRPr="003C12F4">
              <w:rPr>
                <w:rFonts w:ascii="Helvetica" w:hAnsi="Helvetica" w:cs="Helvetica"/>
              </w:rPr>
              <w:t>-0.004</w:t>
            </w:r>
          </w:p>
        </w:tc>
        <w:tc>
          <w:tcPr>
            <w:tcW w:w="679" w:type="pct"/>
          </w:tcPr>
          <w:p w14:paraId="2FEAADCB"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591A1B49" w14:textId="77777777" w:rsidR="003C12F4" w:rsidRPr="003C12F4" w:rsidRDefault="003C12F4" w:rsidP="003C12F4">
            <w:pPr>
              <w:jc w:val="center"/>
              <w:rPr>
                <w:rFonts w:ascii="Helvetica" w:hAnsi="Helvetica" w:cs="Helvetica"/>
              </w:rPr>
            </w:pPr>
            <w:r w:rsidRPr="003C12F4">
              <w:rPr>
                <w:rFonts w:ascii="Helvetica" w:hAnsi="Helvetica" w:cs="Helvetica"/>
              </w:rPr>
              <w:t>-0.05</w:t>
            </w:r>
          </w:p>
        </w:tc>
        <w:tc>
          <w:tcPr>
            <w:tcW w:w="750" w:type="pct"/>
          </w:tcPr>
          <w:p w14:paraId="5995B7DA"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5FBB1B75"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8" w:type="pct"/>
          </w:tcPr>
          <w:p w14:paraId="28193B9C" w14:textId="77777777" w:rsidR="003C12F4" w:rsidRPr="003C12F4" w:rsidRDefault="003C12F4" w:rsidP="003C12F4">
            <w:pPr>
              <w:jc w:val="center"/>
              <w:rPr>
                <w:rFonts w:ascii="Helvetica" w:hAnsi="Helvetica" w:cs="Helvetica"/>
              </w:rPr>
            </w:pPr>
            <w:r w:rsidRPr="003C12F4">
              <w:rPr>
                <w:rFonts w:ascii="Helvetica" w:hAnsi="Helvetica" w:cs="Helvetica"/>
              </w:rPr>
              <w:t>0.00</w:t>
            </w:r>
          </w:p>
        </w:tc>
      </w:tr>
      <w:tr w:rsidR="003C12F4" w:rsidRPr="003C12F4" w14:paraId="4DF646E2" w14:textId="77777777" w:rsidTr="003C12F4">
        <w:tc>
          <w:tcPr>
            <w:tcW w:w="785" w:type="pct"/>
          </w:tcPr>
          <w:p w14:paraId="7760EDFC" w14:textId="77777777" w:rsidR="003C12F4" w:rsidRPr="003C12F4" w:rsidRDefault="003C12F4" w:rsidP="003C12F4">
            <w:pPr>
              <w:jc w:val="both"/>
              <w:rPr>
                <w:rFonts w:ascii="Helvetica" w:hAnsi="Helvetica" w:cs="Helvetica"/>
              </w:rPr>
            </w:pPr>
            <w:r w:rsidRPr="003C12F4">
              <w:rPr>
                <w:rFonts w:ascii="Helvetica" w:hAnsi="Helvetica" w:cs="Helvetica"/>
              </w:rPr>
              <w:t>Residence</w:t>
            </w:r>
          </w:p>
        </w:tc>
        <w:tc>
          <w:tcPr>
            <w:tcW w:w="750" w:type="pct"/>
          </w:tcPr>
          <w:p w14:paraId="5C96DE3F" w14:textId="77777777" w:rsidR="003C12F4" w:rsidRPr="003C12F4" w:rsidRDefault="003C12F4" w:rsidP="003C12F4">
            <w:pPr>
              <w:jc w:val="center"/>
              <w:rPr>
                <w:rFonts w:ascii="Helvetica" w:hAnsi="Helvetica" w:cs="Helvetica"/>
              </w:rPr>
            </w:pPr>
            <w:r w:rsidRPr="003C12F4">
              <w:rPr>
                <w:rFonts w:ascii="Helvetica" w:hAnsi="Helvetica" w:cs="Helvetica"/>
              </w:rPr>
              <w:t>-0.040</w:t>
            </w:r>
          </w:p>
        </w:tc>
        <w:tc>
          <w:tcPr>
            <w:tcW w:w="679" w:type="pct"/>
          </w:tcPr>
          <w:p w14:paraId="22D900EA" w14:textId="77777777" w:rsidR="003C12F4" w:rsidRPr="003C12F4" w:rsidRDefault="003C12F4" w:rsidP="003C12F4">
            <w:pPr>
              <w:jc w:val="center"/>
              <w:rPr>
                <w:rFonts w:ascii="Helvetica" w:hAnsi="Helvetica" w:cs="Helvetica"/>
              </w:rPr>
            </w:pPr>
            <w:r w:rsidRPr="003C12F4">
              <w:rPr>
                <w:rFonts w:ascii="Helvetica" w:hAnsi="Helvetica" w:cs="Helvetica"/>
              </w:rPr>
              <w:t>0.02</w:t>
            </w:r>
          </w:p>
        </w:tc>
        <w:tc>
          <w:tcPr>
            <w:tcW w:w="679" w:type="pct"/>
          </w:tcPr>
          <w:p w14:paraId="7A04C54E" w14:textId="77777777" w:rsidR="003C12F4" w:rsidRPr="003C12F4" w:rsidRDefault="003C12F4" w:rsidP="003C12F4">
            <w:pPr>
              <w:jc w:val="center"/>
              <w:rPr>
                <w:rFonts w:ascii="Helvetica" w:hAnsi="Helvetica" w:cs="Helvetica"/>
              </w:rPr>
            </w:pPr>
            <w:r w:rsidRPr="003C12F4">
              <w:rPr>
                <w:rFonts w:ascii="Helvetica" w:hAnsi="Helvetica" w:cs="Helvetica"/>
              </w:rPr>
              <w:t>-0.19</w:t>
            </w:r>
          </w:p>
        </w:tc>
        <w:tc>
          <w:tcPr>
            <w:tcW w:w="750" w:type="pct"/>
          </w:tcPr>
          <w:p w14:paraId="2412394C"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6A2CEB1A"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8" w:type="pct"/>
          </w:tcPr>
          <w:p w14:paraId="5844441F" w14:textId="77777777" w:rsidR="003C12F4" w:rsidRPr="003C12F4" w:rsidRDefault="003C12F4" w:rsidP="003C12F4">
            <w:pPr>
              <w:jc w:val="center"/>
              <w:rPr>
                <w:rFonts w:ascii="Helvetica" w:hAnsi="Helvetica" w:cs="Helvetica"/>
              </w:rPr>
            </w:pPr>
            <w:r w:rsidRPr="003C12F4">
              <w:rPr>
                <w:rFonts w:ascii="Helvetica" w:hAnsi="Helvetica" w:cs="Helvetica"/>
              </w:rPr>
              <w:t>-0.06</w:t>
            </w:r>
          </w:p>
        </w:tc>
      </w:tr>
      <w:tr w:rsidR="003C12F4" w:rsidRPr="003C12F4" w14:paraId="033C1550" w14:textId="77777777" w:rsidTr="003C12F4">
        <w:tc>
          <w:tcPr>
            <w:tcW w:w="785" w:type="pct"/>
          </w:tcPr>
          <w:p w14:paraId="7C0A1BF9" w14:textId="77777777" w:rsidR="003C12F4" w:rsidRPr="003C12F4" w:rsidRDefault="003C12F4" w:rsidP="003C12F4">
            <w:pPr>
              <w:jc w:val="both"/>
              <w:rPr>
                <w:rFonts w:ascii="Helvetica" w:hAnsi="Helvetica" w:cs="Helvetica"/>
              </w:rPr>
            </w:pPr>
            <w:r w:rsidRPr="003C12F4">
              <w:rPr>
                <w:rFonts w:ascii="Helvetica" w:hAnsi="Helvetica" w:cs="Helvetica"/>
              </w:rPr>
              <w:t>Religion</w:t>
            </w:r>
          </w:p>
        </w:tc>
        <w:tc>
          <w:tcPr>
            <w:tcW w:w="750" w:type="pct"/>
          </w:tcPr>
          <w:p w14:paraId="2AE0116D" w14:textId="77777777" w:rsidR="003C12F4" w:rsidRPr="003C12F4" w:rsidRDefault="003C12F4" w:rsidP="003C12F4">
            <w:pPr>
              <w:jc w:val="center"/>
              <w:rPr>
                <w:rFonts w:ascii="Helvetica" w:hAnsi="Helvetica" w:cs="Helvetica"/>
              </w:rPr>
            </w:pPr>
            <w:r w:rsidRPr="003C12F4">
              <w:rPr>
                <w:rFonts w:ascii="Helvetica" w:hAnsi="Helvetica" w:cs="Helvetica"/>
              </w:rPr>
              <w:t>-0.010</w:t>
            </w:r>
          </w:p>
        </w:tc>
        <w:tc>
          <w:tcPr>
            <w:tcW w:w="679" w:type="pct"/>
          </w:tcPr>
          <w:p w14:paraId="710940B6"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0B047637"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750" w:type="pct"/>
          </w:tcPr>
          <w:p w14:paraId="4537C544"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07979EC5"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8" w:type="pct"/>
          </w:tcPr>
          <w:p w14:paraId="5EB28F9B" w14:textId="77777777" w:rsidR="003C12F4" w:rsidRPr="003C12F4" w:rsidRDefault="003C12F4" w:rsidP="003C12F4">
            <w:pPr>
              <w:jc w:val="center"/>
              <w:rPr>
                <w:rFonts w:ascii="Helvetica" w:hAnsi="Helvetica" w:cs="Helvetica"/>
              </w:rPr>
            </w:pPr>
            <w:r w:rsidRPr="003C12F4">
              <w:rPr>
                <w:rFonts w:ascii="Helvetica" w:hAnsi="Helvetica" w:cs="Helvetica"/>
              </w:rPr>
              <w:t>-0.01</w:t>
            </w:r>
          </w:p>
        </w:tc>
      </w:tr>
      <w:tr w:rsidR="003C12F4" w:rsidRPr="003C12F4" w14:paraId="02413765" w14:textId="77777777" w:rsidTr="003C12F4">
        <w:tc>
          <w:tcPr>
            <w:tcW w:w="785" w:type="pct"/>
          </w:tcPr>
          <w:p w14:paraId="330A5609" w14:textId="77777777" w:rsidR="003C12F4" w:rsidRPr="003C12F4" w:rsidRDefault="003C12F4" w:rsidP="003C12F4">
            <w:pPr>
              <w:jc w:val="both"/>
              <w:rPr>
                <w:rFonts w:ascii="Helvetica" w:hAnsi="Helvetica" w:cs="Helvetica"/>
              </w:rPr>
            </w:pPr>
            <w:r w:rsidRPr="003C12F4">
              <w:rPr>
                <w:rFonts w:ascii="Helvetica" w:hAnsi="Helvetica" w:cs="Helvetica"/>
              </w:rPr>
              <w:t>Mother’s education level</w:t>
            </w:r>
          </w:p>
        </w:tc>
        <w:tc>
          <w:tcPr>
            <w:tcW w:w="750" w:type="pct"/>
          </w:tcPr>
          <w:p w14:paraId="2E93650D" w14:textId="77777777" w:rsidR="003C12F4" w:rsidRPr="003C12F4" w:rsidRDefault="003C12F4" w:rsidP="003C12F4">
            <w:pPr>
              <w:jc w:val="center"/>
              <w:rPr>
                <w:rFonts w:ascii="Helvetica" w:hAnsi="Helvetica" w:cs="Helvetica"/>
              </w:rPr>
            </w:pPr>
            <w:r w:rsidRPr="003C12F4">
              <w:rPr>
                <w:rFonts w:ascii="Helvetica" w:hAnsi="Helvetica" w:cs="Helvetica"/>
              </w:rPr>
              <w:t>0.090</w:t>
            </w:r>
          </w:p>
        </w:tc>
        <w:tc>
          <w:tcPr>
            <w:tcW w:w="679" w:type="pct"/>
          </w:tcPr>
          <w:p w14:paraId="67985CAB"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5B27E7C2" w14:textId="77777777" w:rsidR="003C12F4" w:rsidRPr="003C12F4" w:rsidRDefault="003C12F4" w:rsidP="003C12F4">
            <w:pPr>
              <w:jc w:val="center"/>
              <w:rPr>
                <w:rFonts w:ascii="Helvetica" w:hAnsi="Helvetica" w:cs="Helvetica"/>
              </w:rPr>
            </w:pPr>
            <w:r w:rsidRPr="003C12F4">
              <w:rPr>
                <w:rFonts w:ascii="Helvetica" w:hAnsi="Helvetica" w:cs="Helvetica"/>
              </w:rPr>
              <w:t>1.02</w:t>
            </w:r>
          </w:p>
        </w:tc>
        <w:tc>
          <w:tcPr>
            <w:tcW w:w="750" w:type="pct"/>
          </w:tcPr>
          <w:p w14:paraId="24F2DCF0" w14:textId="77777777" w:rsidR="003C12F4" w:rsidRPr="003C12F4" w:rsidRDefault="003C12F4" w:rsidP="003C12F4">
            <w:pPr>
              <w:jc w:val="center"/>
              <w:rPr>
                <w:rFonts w:ascii="Helvetica" w:hAnsi="Helvetica" w:cs="Helvetica"/>
              </w:rPr>
            </w:pPr>
            <w:r w:rsidRPr="003C12F4">
              <w:rPr>
                <w:rFonts w:ascii="Helvetica" w:hAnsi="Helvetica" w:cs="Helvetica"/>
              </w:rPr>
              <w:t>0.19</w:t>
            </w:r>
          </w:p>
        </w:tc>
        <w:tc>
          <w:tcPr>
            <w:tcW w:w="679" w:type="pct"/>
          </w:tcPr>
          <w:p w14:paraId="1412A667" w14:textId="77777777" w:rsidR="003C12F4" w:rsidRPr="003C12F4" w:rsidRDefault="003C12F4" w:rsidP="003C12F4">
            <w:pPr>
              <w:jc w:val="center"/>
              <w:rPr>
                <w:rFonts w:ascii="Helvetica" w:hAnsi="Helvetica" w:cs="Helvetica"/>
              </w:rPr>
            </w:pPr>
            <w:r w:rsidRPr="003C12F4">
              <w:rPr>
                <w:rFonts w:ascii="Helvetica" w:hAnsi="Helvetica" w:cs="Helvetica"/>
              </w:rPr>
              <w:t>-0.14</w:t>
            </w:r>
          </w:p>
        </w:tc>
        <w:tc>
          <w:tcPr>
            <w:tcW w:w="678" w:type="pct"/>
          </w:tcPr>
          <w:p w14:paraId="2A866E46" w14:textId="77777777" w:rsidR="003C12F4" w:rsidRPr="003C12F4" w:rsidRDefault="003C12F4" w:rsidP="003C12F4">
            <w:pPr>
              <w:jc w:val="center"/>
              <w:rPr>
                <w:rFonts w:ascii="Helvetica" w:hAnsi="Helvetica" w:cs="Helvetica"/>
              </w:rPr>
            </w:pPr>
            <w:r w:rsidRPr="003C12F4">
              <w:rPr>
                <w:rFonts w:ascii="Helvetica" w:hAnsi="Helvetica" w:cs="Helvetica"/>
              </w:rPr>
              <w:t>0.85</w:t>
            </w:r>
          </w:p>
        </w:tc>
      </w:tr>
      <w:tr w:rsidR="003C12F4" w:rsidRPr="003C12F4" w14:paraId="213E1E06" w14:textId="77777777" w:rsidTr="003C12F4">
        <w:tc>
          <w:tcPr>
            <w:tcW w:w="785" w:type="pct"/>
          </w:tcPr>
          <w:p w14:paraId="1AF6C781" w14:textId="77777777" w:rsidR="003C12F4" w:rsidRPr="003C12F4" w:rsidRDefault="003C12F4" w:rsidP="003C12F4">
            <w:pPr>
              <w:jc w:val="both"/>
              <w:rPr>
                <w:rFonts w:ascii="Helvetica" w:hAnsi="Helvetica" w:cs="Helvetica"/>
              </w:rPr>
            </w:pPr>
            <w:r w:rsidRPr="003C12F4">
              <w:rPr>
                <w:rFonts w:ascii="Helvetica" w:hAnsi="Helvetica" w:cs="Helvetica"/>
              </w:rPr>
              <w:t>Socioeconomic status</w:t>
            </w:r>
          </w:p>
        </w:tc>
        <w:tc>
          <w:tcPr>
            <w:tcW w:w="750" w:type="pct"/>
          </w:tcPr>
          <w:p w14:paraId="085060FB" w14:textId="77777777" w:rsidR="003C12F4" w:rsidRPr="003C12F4" w:rsidRDefault="003C12F4" w:rsidP="003C12F4">
            <w:pPr>
              <w:jc w:val="center"/>
              <w:rPr>
                <w:rFonts w:ascii="Helvetica" w:hAnsi="Helvetica" w:cs="Helvetica"/>
              </w:rPr>
            </w:pPr>
            <w:r w:rsidRPr="003C12F4">
              <w:rPr>
                <w:rFonts w:ascii="Helvetica" w:hAnsi="Helvetica" w:cs="Helvetica"/>
              </w:rPr>
              <w:t>-1.030</w:t>
            </w:r>
          </w:p>
        </w:tc>
        <w:tc>
          <w:tcPr>
            <w:tcW w:w="679" w:type="pct"/>
          </w:tcPr>
          <w:p w14:paraId="0EA541BF" w14:textId="77777777" w:rsidR="003C12F4" w:rsidRPr="003C12F4" w:rsidRDefault="003C12F4" w:rsidP="003C12F4">
            <w:pPr>
              <w:jc w:val="center"/>
              <w:rPr>
                <w:rFonts w:ascii="Helvetica" w:hAnsi="Helvetica" w:cs="Helvetica"/>
              </w:rPr>
            </w:pPr>
            <w:r w:rsidRPr="003C12F4">
              <w:rPr>
                <w:rFonts w:ascii="Helvetica" w:hAnsi="Helvetica" w:cs="Helvetica"/>
              </w:rPr>
              <w:t>-0.21</w:t>
            </w:r>
          </w:p>
        </w:tc>
        <w:tc>
          <w:tcPr>
            <w:tcW w:w="679" w:type="pct"/>
          </w:tcPr>
          <w:p w14:paraId="74D7F794" w14:textId="77777777" w:rsidR="003C12F4" w:rsidRPr="003C12F4" w:rsidRDefault="003C12F4" w:rsidP="003C12F4">
            <w:pPr>
              <w:jc w:val="center"/>
              <w:rPr>
                <w:rFonts w:ascii="Helvetica" w:hAnsi="Helvetica" w:cs="Helvetica"/>
              </w:rPr>
            </w:pPr>
            <w:r w:rsidRPr="003C12F4">
              <w:rPr>
                <w:rFonts w:ascii="Helvetica" w:hAnsi="Helvetica" w:cs="Helvetica"/>
              </w:rPr>
              <w:t>2.17</w:t>
            </w:r>
          </w:p>
        </w:tc>
        <w:tc>
          <w:tcPr>
            <w:tcW w:w="750" w:type="pct"/>
          </w:tcPr>
          <w:p w14:paraId="1C41D5A4" w14:textId="77777777" w:rsidR="003C12F4" w:rsidRPr="003C12F4" w:rsidRDefault="003C12F4" w:rsidP="003C12F4">
            <w:pPr>
              <w:jc w:val="center"/>
              <w:rPr>
                <w:rFonts w:ascii="Helvetica" w:hAnsi="Helvetica" w:cs="Helvetica"/>
              </w:rPr>
            </w:pPr>
            <w:r w:rsidRPr="003C12F4">
              <w:rPr>
                <w:rFonts w:ascii="Helvetica" w:hAnsi="Helvetica" w:cs="Helvetica"/>
              </w:rPr>
              <w:t>0.28</w:t>
            </w:r>
          </w:p>
        </w:tc>
        <w:tc>
          <w:tcPr>
            <w:tcW w:w="679" w:type="pct"/>
          </w:tcPr>
          <w:p w14:paraId="24ADA535" w14:textId="77777777" w:rsidR="003C12F4" w:rsidRPr="003C12F4" w:rsidRDefault="003C12F4" w:rsidP="003C12F4">
            <w:pPr>
              <w:jc w:val="center"/>
              <w:rPr>
                <w:rFonts w:ascii="Helvetica" w:hAnsi="Helvetica" w:cs="Helvetica"/>
              </w:rPr>
            </w:pPr>
            <w:r w:rsidRPr="003C12F4">
              <w:rPr>
                <w:rFonts w:ascii="Helvetica" w:hAnsi="Helvetica" w:cs="Helvetica"/>
              </w:rPr>
              <w:t>-0.85</w:t>
            </w:r>
          </w:p>
        </w:tc>
        <w:tc>
          <w:tcPr>
            <w:tcW w:w="678" w:type="pct"/>
          </w:tcPr>
          <w:p w14:paraId="34A7B7AC" w14:textId="77777777" w:rsidR="003C12F4" w:rsidRPr="003C12F4" w:rsidRDefault="003C12F4" w:rsidP="003C12F4">
            <w:pPr>
              <w:jc w:val="center"/>
              <w:rPr>
                <w:rFonts w:ascii="Helvetica" w:hAnsi="Helvetica" w:cs="Helvetica"/>
              </w:rPr>
            </w:pPr>
            <w:r w:rsidRPr="003C12F4">
              <w:rPr>
                <w:rFonts w:ascii="Helvetica" w:hAnsi="Helvetica" w:cs="Helvetica"/>
              </w:rPr>
              <w:t>5.07</w:t>
            </w:r>
          </w:p>
        </w:tc>
      </w:tr>
      <w:tr w:rsidR="003C12F4" w:rsidRPr="003C12F4" w14:paraId="4D982C1B" w14:textId="77777777" w:rsidTr="003C12F4">
        <w:tc>
          <w:tcPr>
            <w:tcW w:w="5000" w:type="pct"/>
            <w:gridSpan w:val="7"/>
            <w:tcBorders>
              <w:bottom w:val="single" w:sz="4" w:space="0" w:color="auto"/>
            </w:tcBorders>
          </w:tcPr>
          <w:p w14:paraId="67128C2B" w14:textId="77777777" w:rsidR="003C12F4" w:rsidRPr="003C12F4" w:rsidRDefault="003C12F4" w:rsidP="003C12F4">
            <w:pPr>
              <w:jc w:val="both"/>
              <w:rPr>
                <w:rFonts w:ascii="Helvetica" w:hAnsi="Helvetica" w:cs="Helvetica"/>
              </w:rPr>
            </w:pPr>
            <w:r w:rsidRPr="003C12F4">
              <w:rPr>
                <w:rFonts w:ascii="Helvetica" w:hAnsi="Helvetica" w:cs="Helvetica"/>
                <w:b/>
                <w:bCs/>
              </w:rPr>
              <w:t>Note</w:t>
            </w:r>
            <w:r w:rsidRPr="003C12F4">
              <w:rPr>
                <w:rFonts w:ascii="Helvetica" w:hAnsi="Helvetica" w:cs="Helvetica"/>
              </w:rPr>
              <w:t>: The results here follow from the total differential decomposition of the concentration indices separately for 2003 and 2014 to examine the changes in CIs using height for age Z-scores following guidelines by Wagstaff et al. (2003). A positive sign suggests that the corresponding variable increases the socioeconomic inequality.</w:t>
            </w:r>
          </w:p>
        </w:tc>
      </w:tr>
      <w:bookmarkEnd w:id="0"/>
    </w:tbl>
    <w:p w14:paraId="61E0E385"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br w:type="page"/>
      </w:r>
    </w:p>
    <w:p w14:paraId="0B854BBF" w14:textId="35F983CE" w:rsidR="003C12F4" w:rsidRPr="003C12F4" w:rsidRDefault="003C12F4" w:rsidP="003C12F4">
      <w:pPr>
        <w:keepNext/>
        <w:spacing w:line="240" w:lineRule="auto"/>
        <w:rPr>
          <w:rFonts w:ascii="Helvetica" w:eastAsia="MS Mincho" w:hAnsi="Helvetica" w:cs="Helvetica"/>
          <w:b/>
          <w:bCs/>
          <w:sz w:val="18"/>
          <w:szCs w:val="18"/>
          <w:lang w:val="en-GB"/>
        </w:rPr>
      </w:pPr>
      <w:r w:rsidRPr="003C12F4">
        <w:rPr>
          <w:rFonts w:ascii="Helvetica" w:eastAsia="MS Mincho" w:hAnsi="Helvetica" w:cs="Helvetica"/>
          <w:b/>
          <w:bCs/>
          <w:sz w:val="24"/>
          <w:szCs w:val="24"/>
          <w:lang w:val="en-GB"/>
        </w:rPr>
        <w:lastRenderedPageBreak/>
        <w:t xml:space="preserve">Table </w:t>
      </w:r>
      <w:r w:rsidR="00242840">
        <w:rPr>
          <w:rFonts w:ascii="Helvetica" w:eastAsia="MS Mincho" w:hAnsi="Helvetica" w:cs="Helvetica"/>
          <w:b/>
          <w:bCs/>
          <w:sz w:val="24"/>
          <w:szCs w:val="24"/>
          <w:lang w:val="en-GB"/>
        </w:rPr>
        <w:t>10</w:t>
      </w:r>
      <w:r w:rsidRPr="003C12F4">
        <w:rPr>
          <w:rFonts w:ascii="Helvetica" w:eastAsia="MS Mincho" w:hAnsi="Helvetica" w:cs="Helvetica"/>
          <w:b/>
          <w:bCs/>
          <w:sz w:val="24"/>
          <w:szCs w:val="24"/>
          <w:lang w:val="en-GB"/>
        </w:rPr>
        <w:t>. Decompositions of the contributions of the determinants of under-five child malnutrition to overall disparities in the concentration indices: underweight</w:t>
      </w:r>
    </w:p>
    <w:tbl>
      <w:tblPr>
        <w:tblStyle w:val="TableGrid"/>
        <w:tblW w:w="5000" w:type="pct"/>
        <w:tblBorders>
          <w:left w:val="none" w:sz="0" w:space="0" w:color="auto"/>
          <w:bottom w:val="none" w:sz="0" w:space="0" w:color="auto"/>
          <w:right w:val="none" w:sz="0" w:space="0" w:color="auto"/>
        </w:tblBorders>
        <w:tblLook w:val="04A0" w:firstRow="1" w:lastRow="0" w:firstColumn="1" w:lastColumn="0" w:noHBand="0" w:noVBand="1"/>
      </w:tblPr>
      <w:tblGrid>
        <w:gridCol w:w="2191"/>
        <w:gridCol w:w="2097"/>
        <w:gridCol w:w="1896"/>
        <w:gridCol w:w="1896"/>
        <w:gridCol w:w="2094"/>
        <w:gridCol w:w="1896"/>
        <w:gridCol w:w="1890"/>
      </w:tblGrid>
      <w:tr w:rsidR="003C12F4" w:rsidRPr="003C12F4" w14:paraId="37134C59" w14:textId="77777777" w:rsidTr="003C12F4">
        <w:tc>
          <w:tcPr>
            <w:tcW w:w="785" w:type="pct"/>
          </w:tcPr>
          <w:p w14:paraId="13B79D7B" w14:textId="77777777" w:rsidR="003C12F4" w:rsidRPr="003C12F4" w:rsidRDefault="003C12F4" w:rsidP="003C12F4">
            <w:pPr>
              <w:jc w:val="both"/>
              <w:rPr>
                <w:rFonts w:ascii="Helvetica" w:hAnsi="Helvetica" w:cs="Helvetica"/>
              </w:rPr>
            </w:pPr>
          </w:p>
        </w:tc>
        <w:tc>
          <w:tcPr>
            <w:tcW w:w="2108" w:type="pct"/>
            <w:gridSpan w:val="3"/>
          </w:tcPr>
          <w:p w14:paraId="062128EA"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underweight in 2003 to observed inequalities</w:t>
            </w:r>
          </w:p>
        </w:tc>
        <w:tc>
          <w:tcPr>
            <w:tcW w:w="2107" w:type="pct"/>
            <w:gridSpan w:val="3"/>
          </w:tcPr>
          <w:p w14:paraId="412B5972" w14:textId="77777777" w:rsidR="003C12F4" w:rsidRPr="003C12F4" w:rsidRDefault="003C12F4" w:rsidP="003C12F4">
            <w:pPr>
              <w:jc w:val="center"/>
              <w:rPr>
                <w:rFonts w:ascii="Helvetica" w:hAnsi="Helvetica" w:cs="Helvetica"/>
                <w:b/>
                <w:bCs/>
              </w:rPr>
            </w:pPr>
            <w:r w:rsidRPr="003C12F4">
              <w:rPr>
                <w:rFonts w:ascii="Helvetica" w:hAnsi="Helvetica" w:cs="Helvetica"/>
                <w:b/>
                <w:bCs/>
              </w:rPr>
              <w:t>The contribution of the determinants of underweight in 2014 to observed inequalities</w:t>
            </w:r>
          </w:p>
        </w:tc>
      </w:tr>
      <w:tr w:rsidR="003C12F4" w:rsidRPr="003C12F4" w14:paraId="7BEFBE5F" w14:textId="77777777" w:rsidTr="003C12F4">
        <w:tc>
          <w:tcPr>
            <w:tcW w:w="785" w:type="pct"/>
          </w:tcPr>
          <w:p w14:paraId="7A64B551" w14:textId="77777777" w:rsidR="003C12F4" w:rsidRPr="003C12F4" w:rsidRDefault="003C12F4" w:rsidP="003C12F4">
            <w:pPr>
              <w:jc w:val="both"/>
              <w:rPr>
                <w:rFonts w:ascii="Helvetica" w:hAnsi="Helvetica" w:cs="Helvetica"/>
              </w:rPr>
            </w:pPr>
          </w:p>
        </w:tc>
        <w:tc>
          <w:tcPr>
            <w:tcW w:w="751" w:type="pct"/>
          </w:tcPr>
          <w:p w14:paraId="048CCD1B"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28A52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9" w:type="pct"/>
          </w:tcPr>
          <w:p w14:paraId="6402EA7C"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c>
          <w:tcPr>
            <w:tcW w:w="750" w:type="pct"/>
          </w:tcPr>
          <w:p w14:paraId="5EEA84F7"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Concentration Index (CIs)</w:t>
            </w:r>
          </w:p>
        </w:tc>
        <w:tc>
          <w:tcPr>
            <w:tcW w:w="679" w:type="pct"/>
          </w:tcPr>
          <w:p w14:paraId="65FBE37A" w14:textId="77777777" w:rsidR="003C12F4" w:rsidRPr="003C12F4" w:rsidRDefault="003C12F4" w:rsidP="003C12F4">
            <w:pPr>
              <w:jc w:val="center"/>
              <w:rPr>
                <w:rFonts w:ascii="Helvetica" w:hAnsi="Helvetica" w:cs="Helvetica"/>
                <w:b/>
                <w:bCs/>
              </w:rPr>
            </w:pPr>
            <w:r w:rsidRPr="003C12F4">
              <w:rPr>
                <w:rFonts w:ascii="Helvetica" w:hAnsi="Helvetica" w:cs="Helvetica"/>
                <w:b/>
                <w:bCs/>
              </w:rPr>
              <w:t>Contribution</w:t>
            </w:r>
          </w:p>
        </w:tc>
        <w:tc>
          <w:tcPr>
            <w:tcW w:w="679" w:type="pct"/>
          </w:tcPr>
          <w:p w14:paraId="0B52A0CE" w14:textId="77777777" w:rsidR="003C12F4" w:rsidRPr="003C12F4" w:rsidRDefault="003C12F4" w:rsidP="003C12F4">
            <w:pPr>
              <w:jc w:val="center"/>
              <w:rPr>
                <w:rFonts w:ascii="Helvetica" w:hAnsi="Helvetica" w:cs="Helvetica"/>
                <w:b/>
                <w:bCs/>
              </w:rPr>
            </w:pPr>
            <w:r w:rsidRPr="003C12F4">
              <w:rPr>
                <w:rFonts w:ascii="Helvetica" w:hAnsi="Helvetica" w:cs="Helvetica"/>
                <w:b/>
                <w:bCs/>
              </w:rPr>
              <w:t>Percentage (%) Contribution</w:t>
            </w:r>
          </w:p>
        </w:tc>
      </w:tr>
      <w:tr w:rsidR="003C12F4" w:rsidRPr="003C12F4" w14:paraId="198EAE58" w14:textId="77777777" w:rsidTr="003C12F4">
        <w:tc>
          <w:tcPr>
            <w:tcW w:w="785" w:type="pct"/>
          </w:tcPr>
          <w:p w14:paraId="376743EA" w14:textId="77777777" w:rsidR="003C12F4" w:rsidRPr="003C12F4" w:rsidRDefault="003C12F4" w:rsidP="003C12F4">
            <w:pPr>
              <w:jc w:val="both"/>
              <w:rPr>
                <w:rFonts w:ascii="Helvetica" w:hAnsi="Helvetica" w:cs="Helvetica"/>
              </w:rPr>
            </w:pPr>
            <w:r w:rsidRPr="003C12F4">
              <w:rPr>
                <w:rFonts w:ascii="Helvetica" w:hAnsi="Helvetica" w:cs="Helvetica"/>
              </w:rPr>
              <w:t>Age (in months)</w:t>
            </w:r>
          </w:p>
        </w:tc>
        <w:tc>
          <w:tcPr>
            <w:tcW w:w="751" w:type="pct"/>
          </w:tcPr>
          <w:p w14:paraId="0FA53629"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501B87AE"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4B30EE4F" w14:textId="77777777" w:rsidR="003C12F4" w:rsidRPr="003C12F4" w:rsidRDefault="003C12F4" w:rsidP="003C12F4">
            <w:pPr>
              <w:jc w:val="center"/>
              <w:rPr>
                <w:rFonts w:ascii="Helvetica" w:hAnsi="Helvetica" w:cs="Helvetica"/>
              </w:rPr>
            </w:pPr>
            <w:r w:rsidRPr="003C12F4">
              <w:rPr>
                <w:rFonts w:ascii="Helvetica" w:hAnsi="Helvetica" w:cs="Helvetica"/>
              </w:rPr>
              <w:t>0.25</w:t>
            </w:r>
          </w:p>
        </w:tc>
        <w:tc>
          <w:tcPr>
            <w:tcW w:w="750" w:type="pct"/>
          </w:tcPr>
          <w:p w14:paraId="2F332D35"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595A224B"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71E2817E" w14:textId="77777777" w:rsidR="003C12F4" w:rsidRPr="003C12F4" w:rsidRDefault="003C12F4" w:rsidP="003C12F4">
            <w:pPr>
              <w:jc w:val="center"/>
              <w:rPr>
                <w:rFonts w:ascii="Helvetica" w:hAnsi="Helvetica" w:cs="Helvetica"/>
              </w:rPr>
            </w:pPr>
            <w:r w:rsidRPr="003C12F4">
              <w:rPr>
                <w:rFonts w:ascii="Helvetica" w:hAnsi="Helvetica" w:cs="Helvetica"/>
              </w:rPr>
              <w:t>-0.03</w:t>
            </w:r>
          </w:p>
        </w:tc>
      </w:tr>
      <w:tr w:rsidR="003C12F4" w:rsidRPr="003C12F4" w14:paraId="35A49F59" w14:textId="77777777" w:rsidTr="003C12F4">
        <w:tc>
          <w:tcPr>
            <w:tcW w:w="785" w:type="pct"/>
          </w:tcPr>
          <w:p w14:paraId="11C32B48" w14:textId="77777777" w:rsidR="003C12F4" w:rsidRPr="003C12F4" w:rsidRDefault="003C12F4" w:rsidP="003C12F4">
            <w:pPr>
              <w:jc w:val="both"/>
              <w:rPr>
                <w:rFonts w:ascii="Helvetica" w:hAnsi="Helvetica" w:cs="Helvetica"/>
              </w:rPr>
            </w:pPr>
            <w:r w:rsidRPr="003C12F4">
              <w:rPr>
                <w:rFonts w:ascii="Helvetica" w:hAnsi="Helvetica" w:cs="Helvetica"/>
              </w:rPr>
              <w:t>Age squared</w:t>
            </w:r>
          </w:p>
        </w:tc>
        <w:tc>
          <w:tcPr>
            <w:tcW w:w="751" w:type="pct"/>
          </w:tcPr>
          <w:p w14:paraId="07601D4F"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0D51235D" w14:textId="77777777" w:rsidR="003C12F4" w:rsidRPr="003C12F4" w:rsidRDefault="003C12F4" w:rsidP="003C12F4">
            <w:pPr>
              <w:jc w:val="center"/>
              <w:rPr>
                <w:rFonts w:ascii="Helvetica" w:hAnsi="Helvetica" w:cs="Helvetica"/>
              </w:rPr>
            </w:pPr>
            <w:r w:rsidRPr="003C12F4">
              <w:rPr>
                <w:rFonts w:ascii="Helvetica" w:hAnsi="Helvetica" w:cs="Helvetica"/>
              </w:rPr>
              <w:t>0.04</w:t>
            </w:r>
          </w:p>
        </w:tc>
        <w:tc>
          <w:tcPr>
            <w:tcW w:w="679" w:type="pct"/>
          </w:tcPr>
          <w:p w14:paraId="7CC65B15" w14:textId="77777777" w:rsidR="003C12F4" w:rsidRPr="003C12F4" w:rsidRDefault="003C12F4" w:rsidP="003C12F4">
            <w:pPr>
              <w:jc w:val="center"/>
              <w:rPr>
                <w:rFonts w:ascii="Helvetica" w:hAnsi="Helvetica" w:cs="Helvetica"/>
              </w:rPr>
            </w:pPr>
            <w:r w:rsidRPr="003C12F4">
              <w:rPr>
                <w:rFonts w:ascii="Helvetica" w:hAnsi="Helvetica" w:cs="Helvetica"/>
              </w:rPr>
              <w:t>-0.34</w:t>
            </w:r>
          </w:p>
        </w:tc>
        <w:tc>
          <w:tcPr>
            <w:tcW w:w="750" w:type="pct"/>
          </w:tcPr>
          <w:p w14:paraId="60A12C96"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22386F5B"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6A14A902" w14:textId="77777777" w:rsidR="003C12F4" w:rsidRPr="003C12F4" w:rsidRDefault="003C12F4" w:rsidP="003C12F4">
            <w:pPr>
              <w:jc w:val="center"/>
              <w:rPr>
                <w:rFonts w:ascii="Helvetica" w:hAnsi="Helvetica" w:cs="Helvetica"/>
              </w:rPr>
            </w:pPr>
            <w:r w:rsidRPr="003C12F4">
              <w:rPr>
                <w:rFonts w:ascii="Helvetica" w:hAnsi="Helvetica" w:cs="Helvetica"/>
              </w:rPr>
              <w:t>0.01</w:t>
            </w:r>
          </w:p>
        </w:tc>
      </w:tr>
      <w:tr w:rsidR="003C12F4" w:rsidRPr="003C12F4" w14:paraId="347EDD3E" w14:textId="77777777" w:rsidTr="003C12F4">
        <w:tc>
          <w:tcPr>
            <w:tcW w:w="785" w:type="pct"/>
          </w:tcPr>
          <w:p w14:paraId="0781E936" w14:textId="77777777" w:rsidR="003C12F4" w:rsidRPr="003C12F4" w:rsidRDefault="003C12F4" w:rsidP="003C12F4">
            <w:pPr>
              <w:jc w:val="both"/>
              <w:rPr>
                <w:rFonts w:ascii="Helvetica" w:hAnsi="Helvetica" w:cs="Helvetica"/>
              </w:rPr>
            </w:pPr>
            <w:r w:rsidRPr="003C12F4">
              <w:rPr>
                <w:rFonts w:ascii="Helvetica" w:hAnsi="Helvetica" w:cs="Helvetica"/>
              </w:rPr>
              <w:t>Sex</w:t>
            </w:r>
          </w:p>
        </w:tc>
        <w:tc>
          <w:tcPr>
            <w:tcW w:w="751" w:type="pct"/>
          </w:tcPr>
          <w:p w14:paraId="1DDC61DC"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2AA2F2F7" w14:textId="77777777" w:rsidR="003C12F4" w:rsidRPr="003C12F4" w:rsidRDefault="003C12F4" w:rsidP="003C12F4">
            <w:pPr>
              <w:jc w:val="center"/>
              <w:rPr>
                <w:rFonts w:ascii="Helvetica" w:hAnsi="Helvetica" w:cs="Helvetica"/>
              </w:rPr>
            </w:pPr>
            <w:r w:rsidRPr="003C12F4">
              <w:rPr>
                <w:rFonts w:ascii="Helvetica" w:hAnsi="Helvetica" w:cs="Helvetica"/>
              </w:rPr>
              <w:t>0.02</w:t>
            </w:r>
          </w:p>
        </w:tc>
        <w:tc>
          <w:tcPr>
            <w:tcW w:w="679" w:type="pct"/>
          </w:tcPr>
          <w:p w14:paraId="484FB07E" w14:textId="77777777" w:rsidR="003C12F4" w:rsidRPr="003C12F4" w:rsidRDefault="003C12F4" w:rsidP="003C12F4">
            <w:pPr>
              <w:jc w:val="center"/>
              <w:rPr>
                <w:rFonts w:ascii="Helvetica" w:hAnsi="Helvetica" w:cs="Helvetica"/>
              </w:rPr>
            </w:pPr>
            <w:r w:rsidRPr="003C12F4">
              <w:rPr>
                <w:rFonts w:ascii="Helvetica" w:hAnsi="Helvetica" w:cs="Helvetica"/>
              </w:rPr>
              <w:t>-0.15</w:t>
            </w:r>
          </w:p>
        </w:tc>
        <w:tc>
          <w:tcPr>
            <w:tcW w:w="750" w:type="pct"/>
          </w:tcPr>
          <w:p w14:paraId="3432A58B"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1605A22F"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712BB2FF" w14:textId="77777777" w:rsidR="003C12F4" w:rsidRPr="003C12F4" w:rsidRDefault="003C12F4" w:rsidP="003C12F4">
            <w:pPr>
              <w:jc w:val="center"/>
              <w:rPr>
                <w:rFonts w:ascii="Helvetica" w:hAnsi="Helvetica" w:cs="Helvetica"/>
              </w:rPr>
            </w:pPr>
            <w:r w:rsidRPr="003C12F4">
              <w:rPr>
                <w:rFonts w:ascii="Helvetica" w:hAnsi="Helvetica" w:cs="Helvetica"/>
              </w:rPr>
              <w:t>0.00</w:t>
            </w:r>
          </w:p>
        </w:tc>
      </w:tr>
      <w:tr w:rsidR="003C12F4" w:rsidRPr="003C12F4" w14:paraId="3C5E447B" w14:textId="77777777" w:rsidTr="003C12F4">
        <w:tc>
          <w:tcPr>
            <w:tcW w:w="785" w:type="pct"/>
          </w:tcPr>
          <w:p w14:paraId="01FA7010" w14:textId="77777777" w:rsidR="003C12F4" w:rsidRPr="003C12F4" w:rsidRDefault="003C12F4" w:rsidP="003C12F4">
            <w:pPr>
              <w:jc w:val="both"/>
              <w:rPr>
                <w:rFonts w:ascii="Helvetica" w:hAnsi="Helvetica" w:cs="Helvetica"/>
              </w:rPr>
            </w:pPr>
            <w:r w:rsidRPr="003C12F4">
              <w:rPr>
                <w:rFonts w:ascii="Helvetica" w:hAnsi="Helvetica" w:cs="Helvetica"/>
              </w:rPr>
              <w:t>Residence</w:t>
            </w:r>
          </w:p>
        </w:tc>
        <w:tc>
          <w:tcPr>
            <w:tcW w:w="751" w:type="pct"/>
          </w:tcPr>
          <w:p w14:paraId="7FA9D5CC" w14:textId="77777777" w:rsidR="003C12F4" w:rsidRPr="003C12F4" w:rsidRDefault="003C12F4" w:rsidP="003C12F4">
            <w:pPr>
              <w:jc w:val="center"/>
              <w:rPr>
                <w:rFonts w:ascii="Helvetica" w:hAnsi="Helvetica" w:cs="Helvetica"/>
              </w:rPr>
            </w:pPr>
            <w:r w:rsidRPr="003C12F4">
              <w:rPr>
                <w:rFonts w:ascii="Helvetica" w:hAnsi="Helvetica" w:cs="Helvetica"/>
              </w:rPr>
              <w:t>-0.04</w:t>
            </w:r>
          </w:p>
        </w:tc>
        <w:tc>
          <w:tcPr>
            <w:tcW w:w="679" w:type="pct"/>
          </w:tcPr>
          <w:p w14:paraId="317BF7F6"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7BE464B7" w14:textId="77777777" w:rsidR="003C12F4" w:rsidRPr="003C12F4" w:rsidRDefault="003C12F4" w:rsidP="003C12F4">
            <w:pPr>
              <w:jc w:val="center"/>
              <w:rPr>
                <w:rFonts w:ascii="Helvetica" w:hAnsi="Helvetica" w:cs="Helvetica"/>
              </w:rPr>
            </w:pPr>
            <w:r w:rsidRPr="003C12F4">
              <w:rPr>
                <w:rFonts w:ascii="Helvetica" w:hAnsi="Helvetica" w:cs="Helvetica"/>
              </w:rPr>
              <w:t>0.68</w:t>
            </w:r>
          </w:p>
        </w:tc>
        <w:tc>
          <w:tcPr>
            <w:tcW w:w="750" w:type="pct"/>
          </w:tcPr>
          <w:p w14:paraId="03F8C435"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798BE550" w14:textId="77777777" w:rsidR="003C12F4" w:rsidRPr="003C12F4" w:rsidRDefault="003C12F4" w:rsidP="003C12F4">
            <w:pPr>
              <w:jc w:val="center"/>
              <w:rPr>
                <w:rFonts w:ascii="Helvetica" w:hAnsi="Helvetica" w:cs="Helvetica"/>
              </w:rPr>
            </w:pPr>
            <w:r w:rsidRPr="003C12F4">
              <w:rPr>
                <w:rFonts w:ascii="Helvetica" w:hAnsi="Helvetica" w:cs="Helvetica"/>
              </w:rPr>
              <w:t>0.02</w:t>
            </w:r>
          </w:p>
        </w:tc>
        <w:tc>
          <w:tcPr>
            <w:tcW w:w="679" w:type="pct"/>
          </w:tcPr>
          <w:p w14:paraId="06E939E2" w14:textId="77777777" w:rsidR="003C12F4" w:rsidRPr="003C12F4" w:rsidRDefault="003C12F4" w:rsidP="003C12F4">
            <w:pPr>
              <w:jc w:val="center"/>
              <w:rPr>
                <w:rFonts w:ascii="Helvetica" w:hAnsi="Helvetica" w:cs="Helvetica"/>
              </w:rPr>
            </w:pPr>
            <w:r w:rsidRPr="003C12F4">
              <w:rPr>
                <w:rFonts w:ascii="Helvetica" w:hAnsi="Helvetica" w:cs="Helvetica"/>
              </w:rPr>
              <w:t>-0.07</w:t>
            </w:r>
          </w:p>
        </w:tc>
      </w:tr>
      <w:tr w:rsidR="003C12F4" w:rsidRPr="003C12F4" w14:paraId="3F79355E" w14:textId="77777777" w:rsidTr="003C12F4">
        <w:tc>
          <w:tcPr>
            <w:tcW w:w="785" w:type="pct"/>
          </w:tcPr>
          <w:p w14:paraId="0775F110" w14:textId="77777777" w:rsidR="003C12F4" w:rsidRPr="003C12F4" w:rsidRDefault="003C12F4" w:rsidP="003C12F4">
            <w:pPr>
              <w:jc w:val="both"/>
              <w:rPr>
                <w:rFonts w:ascii="Helvetica" w:hAnsi="Helvetica" w:cs="Helvetica"/>
              </w:rPr>
            </w:pPr>
            <w:r w:rsidRPr="003C12F4">
              <w:rPr>
                <w:rFonts w:ascii="Helvetica" w:hAnsi="Helvetica" w:cs="Helvetica"/>
              </w:rPr>
              <w:t>Religion</w:t>
            </w:r>
          </w:p>
        </w:tc>
        <w:tc>
          <w:tcPr>
            <w:tcW w:w="751" w:type="pct"/>
          </w:tcPr>
          <w:p w14:paraId="52ADA623"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6ACB76D0" w14:textId="77777777" w:rsidR="003C12F4" w:rsidRPr="003C12F4" w:rsidRDefault="003C12F4" w:rsidP="003C12F4">
            <w:pPr>
              <w:jc w:val="center"/>
              <w:rPr>
                <w:rFonts w:ascii="Helvetica" w:hAnsi="Helvetica" w:cs="Helvetica"/>
              </w:rPr>
            </w:pPr>
            <w:r w:rsidRPr="003C12F4">
              <w:rPr>
                <w:rFonts w:ascii="Helvetica" w:hAnsi="Helvetica" w:cs="Helvetica"/>
              </w:rPr>
              <w:t>-0.00</w:t>
            </w:r>
          </w:p>
        </w:tc>
        <w:tc>
          <w:tcPr>
            <w:tcW w:w="679" w:type="pct"/>
          </w:tcPr>
          <w:p w14:paraId="1A99EB32"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750" w:type="pct"/>
          </w:tcPr>
          <w:p w14:paraId="1DE0AAB8" w14:textId="77777777" w:rsidR="003C12F4" w:rsidRPr="003C12F4" w:rsidRDefault="003C12F4" w:rsidP="003C12F4">
            <w:pPr>
              <w:jc w:val="center"/>
              <w:rPr>
                <w:rFonts w:ascii="Helvetica" w:hAnsi="Helvetica" w:cs="Helvetica"/>
              </w:rPr>
            </w:pPr>
            <w:r w:rsidRPr="003C12F4">
              <w:rPr>
                <w:rFonts w:ascii="Helvetica" w:hAnsi="Helvetica" w:cs="Helvetica"/>
              </w:rPr>
              <w:t>-0.03</w:t>
            </w:r>
          </w:p>
        </w:tc>
        <w:tc>
          <w:tcPr>
            <w:tcW w:w="679" w:type="pct"/>
          </w:tcPr>
          <w:p w14:paraId="4F02083E" w14:textId="77777777" w:rsidR="003C12F4" w:rsidRPr="003C12F4" w:rsidRDefault="003C12F4" w:rsidP="003C12F4">
            <w:pPr>
              <w:jc w:val="center"/>
              <w:rPr>
                <w:rFonts w:ascii="Helvetica" w:hAnsi="Helvetica" w:cs="Helvetica"/>
              </w:rPr>
            </w:pPr>
            <w:r w:rsidRPr="003C12F4">
              <w:rPr>
                <w:rFonts w:ascii="Helvetica" w:hAnsi="Helvetica" w:cs="Helvetica"/>
              </w:rPr>
              <w:t>0.01</w:t>
            </w:r>
          </w:p>
        </w:tc>
        <w:tc>
          <w:tcPr>
            <w:tcW w:w="679" w:type="pct"/>
          </w:tcPr>
          <w:p w14:paraId="1C032398" w14:textId="77777777" w:rsidR="003C12F4" w:rsidRPr="003C12F4" w:rsidRDefault="003C12F4" w:rsidP="003C12F4">
            <w:pPr>
              <w:jc w:val="center"/>
              <w:rPr>
                <w:rFonts w:ascii="Helvetica" w:hAnsi="Helvetica" w:cs="Helvetica"/>
              </w:rPr>
            </w:pPr>
            <w:r w:rsidRPr="003C12F4">
              <w:rPr>
                <w:rFonts w:ascii="Helvetica" w:hAnsi="Helvetica" w:cs="Helvetica"/>
              </w:rPr>
              <w:t>-0.05</w:t>
            </w:r>
          </w:p>
        </w:tc>
      </w:tr>
      <w:tr w:rsidR="003C12F4" w:rsidRPr="003C12F4" w14:paraId="19E0F135" w14:textId="77777777" w:rsidTr="003C12F4">
        <w:tc>
          <w:tcPr>
            <w:tcW w:w="785" w:type="pct"/>
          </w:tcPr>
          <w:p w14:paraId="28012500" w14:textId="77777777" w:rsidR="003C12F4" w:rsidRPr="003C12F4" w:rsidRDefault="003C12F4" w:rsidP="003C12F4">
            <w:pPr>
              <w:jc w:val="both"/>
              <w:rPr>
                <w:rFonts w:ascii="Helvetica" w:hAnsi="Helvetica" w:cs="Helvetica"/>
              </w:rPr>
            </w:pPr>
            <w:r w:rsidRPr="003C12F4">
              <w:rPr>
                <w:rFonts w:ascii="Helvetica" w:hAnsi="Helvetica" w:cs="Helvetica"/>
              </w:rPr>
              <w:t>Mother’s education level</w:t>
            </w:r>
          </w:p>
        </w:tc>
        <w:tc>
          <w:tcPr>
            <w:tcW w:w="751" w:type="pct"/>
          </w:tcPr>
          <w:p w14:paraId="4EF54046" w14:textId="77777777" w:rsidR="003C12F4" w:rsidRPr="003C12F4" w:rsidRDefault="003C12F4" w:rsidP="003C12F4">
            <w:pPr>
              <w:jc w:val="center"/>
              <w:rPr>
                <w:rFonts w:ascii="Helvetica" w:hAnsi="Helvetica" w:cs="Helvetica"/>
              </w:rPr>
            </w:pPr>
            <w:r w:rsidRPr="003C12F4">
              <w:rPr>
                <w:rFonts w:ascii="Helvetica" w:hAnsi="Helvetica" w:cs="Helvetica"/>
              </w:rPr>
              <w:t>0.09</w:t>
            </w:r>
          </w:p>
        </w:tc>
        <w:tc>
          <w:tcPr>
            <w:tcW w:w="679" w:type="pct"/>
          </w:tcPr>
          <w:p w14:paraId="31AF9E03" w14:textId="77777777" w:rsidR="003C12F4" w:rsidRPr="003C12F4" w:rsidRDefault="003C12F4" w:rsidP="003C12F4">
            <w:pPr>
              <w:jc w:val="center"/>
              <w:rPr>
                <w:rFonts w:ascii="Helvetica" w:hAnsi="Helvetica" w:cs="Helvetica"/>
              </w:rPr>
            </w:pPr>
            <w:r w:rsidRPr="003C12F4">
              <w:rPr>
                <w:rFonts w:ascii="Helvetica" w:hAnsi="Helvetica" w:cs="Helvetica"/>
              </w:rPr>
              <w:t>-0.46</w:t>
            </w:r>
          </w:p>
        </w:tc>
        <w:tc>
          <w:tcPr>
            <w:tcW w:w="679" w:type="pct"/>
          </w:tcPr>
          <w:p w14:paraId="394DB81A" w14:textId="77777777" w:rsidR="003C12F4" w:rsidRPr="003C12F4" w:rsidRDefault="003C12F4" w:rsidP="003C12F4">
            <w:pPr>
              <w:jc w:val="center"/>
              <w:rPr>
                <w:rFonts w:ascii="Helvetica" w:hAnsi="Helvetica" w:cs="Helvetica"/>
              </w:rPr>
            </w:pPr>
            <w:r w:rsidRPr="003C12F4">
              <w:rPr>
                <w:rFonts w:ascii="Helvetica" w:hAnsi="Helvetica" w:cs="Helvetica"/>
              </w:rPr>
              <w:t>3.63</w:t>
            </w:r>
          </w:p>
        </w:tc>
        <w:tc>
          <w:tcPr>
            <w:tcW w:w="750" w:type="pct"/>
          </w:tcPr>
          <w:p w14:paraId="759C7D35" w14:textId="77777777" w:rsidR="003C12F4" w:rsidRPr="003C12F4" w:rsidRDefault="003C12F4" w:rsidP="003C12F4">
            <w:pPr>
              <w:jc w:val="center"/>
              <w:rPr>
                <w:rFonts w:ascii="Helvetica" w:hAnsi="Helvetica" w:cs="Helvetica"/>
              </w:rPr>
            </w:pPr>
            <w:r w:rsidRPr="003C12F4">
              <w:rPr>
                <w:rFonts w:ascii="Helvetica" w:hAnsi="Helvetica" w:cs="Helvetica"/>
              </w:rPr>
              <w:t>0.18</w:t>
            </w:r>
          </w:p>
        </w:tc>
        <w:tc>
          <w:tcPr>
            <w:tcW w:w="679" w:type="pct"/>
          </w:tcPr>
          <w:p w14:paraId="0F7C4A33" w14:textId="77777777" w:rsidR="003C12F4" w:rsidRPr="003C12F4" w:rsidRDefault="003C12F4" w:rsidP="003C12F4">
            <w:pPr>
              <w:jc w:val="center"/>
              <w:rPr>
                <w:rFonts w:ascii="Helvetica" w:hAnsi="Helvetica" w:cs="Helvetica"/>
              </w:rPr>
            </w:pPr>
            <w:r w:rsidRPr="003C12F4">
              <w:rPr>
                <w:rFonts w:ascii="Helvetica" w:hAnsi="Helvetica" w:cs="Helvetica"/>
              </w:rPr>
              <w:t>-0.74</w:t>
            </w:r>
          </w:p>
        </w:tc>
        <w:tc>
          <w:tcPr>
            <w:tcW w:w="679" w:type="pct"/>
          </w:tcPr>
          <w:p w14:paraId="2E374864" w14:textId="77777777" w:rsidR="003C12F4" w:rsidRPr="003C12F4" w:rsidRDefault="003C12F4" w:rsidP="003C12F4">
            <w:pPr>
              <w:jc w:val="center"/>
              <w:rPr>
                <w:rFonts w:ascii="Helvetica" w:hAnsi="Helvetica" w:cs="Helvetica"/>
              </w:rPr>
            </w:pPr>
            <w:r w:rsidRPr="003C12F4">
              <w:rPr>
                <w:rFonts w:ascii="Helvetica" w:hAnsi="Helvetica" w:cs="Helvetica"/>
              </w:rPr>
              <w:t>2.63</w:t>
            </w:r>
          </w:p>
        </w:tc>
      </w:tr>
      <w:tr w:rsidR="003C12F4" w:rsidRPr="003C12F4" w14:paraId="262A9A72" w14:textId="77777777" w:rsidTr="003C12F4">
        <w:tc>
          <w:tcPr>
            <w:tcW w:w="785" w:type="pct"/>
          </w:tcPr>
          <w:p w14:paraId="65923FAA" w14:textId="77777777" w:rsidR="003C12F4" w:rsidRPr="003C12F4" w:rsidRDefault="003C12F4" w:rsidP="003C12F4">
            <w:pPr>
              <w:jc w:val="both"/>
              <w:rPr>
                <w:rFonts w:ascii="Helvetica" w:hAnsi="Helvetica" w:cs="Helvetica"/>
              </w:rPr>
            </w:pPr>
            <w:r w:rsidRPr="003C12F4">
              <w:rPr>
                <w:rFonts w:ascii="Helvetica" w:hAnsi="Helvetica" w:cs="Helvetica"/>
              </w:rPr>
              <w:t>Socioeconomic status</w:t>
            </w:r>
          </w:p>
        </w:tc>
        <w:tc>
          <w:tcPr>
            <w:tcW w:w="751" w:type="pct"/>
          </w:tcPr>
          <w:p w14:paraId="36A14C8D" w14:textId="77777777" w:rsidR="003C12F4" w:rsidRPr="003C12F4" w:rsidRDefault="003C12F4" w:rsidP="003C12F4">
            <w:pPr>
              <w:jc w:val="center"/>
              <w:rPr>
                <w:rFonts w:ascii="Helvetica" w:hAnsi="Helvetica" w:cs="Helvetica"/>
              </w:rPr>
            </w:pPr>
            <w:r w:rsidRPr="003C12F4">
              <w:rPr>
                <w:rFonts w:ascii="Helvetica" w:hAnsi="Helvetica" w:cs="Helvetica"/>
              </w:rPr>
              <w:t>0.20</w:t>
            </w:r>
          </w:p>
        </w:tc>
        <w:tc>
          <w:tcPr>
            <w:tcW w:w="679" w:type="pct"/>
          </w:tcPr>
          <w:p w14:paraId="6502975C" w14:textId="77777777" w:rsidR="003C12F4" w:rsidRPr="003C12F4" w:rsidRDefault="003C12F4" w:rsidP="003C12F4">
            <w:pPr>
              <w:jc w:val="center"/>
              <w:rPr>
                <w:rFonts w:ascii="Helvetica" w:hAnsi="Helvetica" w:cs="Helvetica"/>
              </w:rPr>
            </w:pPr>
            <w:r w:rsidRPr="003C12F4">
              <w:rPr>
                <w:rFonts w:ascii="Helvetica" w:hAnsi="Helvetica" w:cs="Helvetica"/>
              </w:rPr>
              <w:t>-0.33</w:t>
            </w:r>
          </w:p>
        </w:tc>
        <w:tc>
          <w:tcPr>
            <w:tcW w:w="679" w:type="pct"/>
          </w:tcPr>
          <w:p w14:paraId="2F7591F8" w14:textId="77777777" w:rsidR="003C12F4" w:rsidRPr="003C12F4" w:rsidRDefault="003C12F4" w:rsidP="003C12F4">
            <w:pPr>
              <w:jc w:val="center"/>
              <w:rPr>
                <w:rFonts w:ascii="Helvetica" w:hAnsi="Helvetica" w:cs="Helvetica"/>
              </w:rPr>
            </w:pPr>
            <w:r w:rsidRPr="003C12F4">
              <w:rPr>
                <w:rFonts w:ascii="Helvetica" w:hAnsi="Helvetica" w:cs="Helvetica"/>
              </w:rPr>
              <w:t>2.59</w:t>
            </w:r>
          </w:p>
        </w:tc>
        <w:tc>
          <w:tcPr>
            <w:tcW w:w="750" w:type="pct"/>
          </w:tcPr>
          <w:p w14:paraId="4C6DA000" w14:textId="77777777" w:rsidR="003C12F4" w:rsidRPr="003C12F4" w:rsidRDefault="003C12F4" w:rsidP="003C12F4">
            <w:pPr>
              <w:jc w:val="center"/>
              <w:rPr>
                <w:rFonts w:ascii="Helvetica" w:hAnsi="Helvetica" w:cs="Helvetica"/>
              </w:rPr>
            </w:pPr>
            <w:r w:rsidRPr="003C12F4">
              <w:rPr>
                <w:rFonts w:ascii="Helvetica" w:hAnsi="Helvetica" w:cs="Helvetica"/>
              </w:rPr>
              <w:t>0.28</w:t>
            </w:r>
          </w:p>
        </w:tc>
        <w:tc>
          <w:tcPr>
            <w:tcW w:w="679" w:type="pct"/>
          </w:tcPr>
          <w:p w14:paraId="249FEFBA" w14:textId="77777777" w:rsidR="003C12F4" w:rsidRPr="003C12F4" w:rsidRDefault="003C12F4" w:rsidP="003C12F4">
            <w:pPr>
              <w:jc w:val="center"/>
              <w:rPr>
                <w:rFonts w:ascii="Helvetica" w:hAnsi="Helvetica" w:cs="Helvetica"/>
              </w:rPr>
            </w:pPr>
            <w:r w:rsidRPr="003C12F4">
              <w:rPr>
                <w:rFonts w:ascii="Helvetica" w:hAnsi="Helvetica" w:cs="Helvetica"/>
              </w:rPr>
              <w:t>-2.63</w:t>
            </w:r>
          </w:p>
        </w:tc>
        <w:tc>
          <w:tcPr>
            <w:tcW w:w="679" w:type="pct"/>
          </w:tcPr>
          <w:p w14:paraId="26BC703D" w14:textId="77777777" w:rsidR="003C12F4" w:rsidRPr="003C12F4" w:rsidRDefault="003C12F4" w:rsidP="003C12F4">
            <w:pPr>
              <w:jc w:val="center"/>
              <w:rPr>
                <w:rFonts w:ascii="Helvetica" w:hAnsi="Helvetica" w:cs="Helvetica"/>
              </w:rPr>
            </w:pPr>
            <w:r w:rsidRPr="003C12F4">
              <w:rPr>
                <w:rFonts w:ascii="Helvetica" w:hAnsi="Helvetica" w:cs="Helvetica"/>
              </w:rPr>
              <w:t>9.33</w:t>
            </w:r>
          </w:p>
        </w:tc>
      </w:tr>
      <w:tr w:rsidR="003C12F4" w:rsidRPr="003C12F4" w14:paraId="34033569" w14:textId="77777777" w:rsidTr="003C12F4">
        <w:tc>
          <w:tcPr>
            <w:tcW w:w="5000" w:type="pct"/>
            <w:gridSpan w:val="7"/>
            <w:tcBorders>
              <w:bottom w:val="single" w:sz="4" w:space="0" w:color="auto"/>
            </w:tcBorders>
          </w:tcPr>
          <w:p w14:paraId="4B73C96D" w14:textId="77777777" w:rsidR="003C12F4" w:rsidRPr="003C12F4" w:rsidRDefault="003C12F4" w:rsidP="003C12F4">
            <w:pPr>
              <w:jc w:val="both"/>
              <w:rPr>
                <w:rFonts w:ascii="Helvetica" w:hAnsi="Helvetica" w:cs="Helvetica"/>
              </w:rPr>
            </w:pPr>
            <w:r w:rsidRPr="003C12F4">
              <w:rPr>
                <w:rFonts w:ascii="Helvetica" w:hAnsi="Helvetica" w:cs="Helvetica"/>
                <w:b/>
                <w:bCs/>
              </w:rPr>
              <w:t>Note</w:t>
            </w:r>
            <w:r w:rsidRPr="003C12F4">
              <w:rPr>
                <w:rFonts w:ascii="Helvetica" w:hAnsi="Helvetica" w:cs="Helvetica"/>
              </w:rPr>
              <w:t xml:space="preserve">: The results here follow from the total differential decomposition of the concentration indices separately for 2003 and 2014 to examine the changes in CIs using weight for age Z-scores following guidelines by Wagstaff et al. (2003). A positive sign suggests that the corresponding variable increases the socioeconomic inequality. </w:t>
            </w:r>
          </w:p>
        </w:tc>
      </w:tr>
    </w:tbl>
    <w:p w14:paraId="7A24DCAD"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7332C963"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Discussion</w:t>
      </w:r>
    </w:p>
    <w:p w14:paraId="7E64D492" w14:textId="0C8E0320" w:rsidR="003C12F4" w:rsidRPr="003C12F4" w:rsidRDefault="00B51A78"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The main objective of this research was to examine </w:t>
      </w:r>
      <w:r w:rsidR="003C12F4" w:rsidRPr="003C12F4">
        <w:rPr>
          <w:rFonts w:ascii="Helvetica" w:eastAsia="MS Mincho" w:hAnsi="Helvetica" w:cs="Helvetica"/>
          <w:sz w:val="24"/>
          <w:szCs w:val="24"/>
          <w:lang w:val="en-GB"/>
        </w:rPr>
        <w:t xml:space="preserve">the trends of socioeconomic disparities in child malnutrition in Kenya using data obtained from the DHS. Malnutrition tends to exhibit substantial and hefty variations across different socioeconomic groups ranging from the poorest to the richest </w:t>
      </w:r>
      <w:r w:rsidR="003C12F4"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{"citationItems":[{"id":"ITEM-1","itemData":{"DOI":"10.1186/1475-9276-5-9","ISSN":"14759276","abstract":"Objectives: To document and compare the magnitude of inequities in child malnutrition across urban and rural areas, and to investigate the extent to which within-urban disparities in child malnutrition are accounted for by the characteristics of communities, households and individuals. Methods: The most recent data sets available from the Demographic and Health Surveys (DHS) of 15 countries in sub-Saharan Africa (SSA) are used. The selection criteria were set to ensure that the number of countries, their geographical spread across Western/Central and Eastern/Southern Africa, and their socioeconomic diversities, constitute a good yardstick for the region and allow us to draw some generalizations. A household wealth index is constructed in each country and area (urban, rural), and the odds ratio between its uppermost and lowermost category, derived from multilevel logistic models, is used as a measure of socioeconomic inequalities. Control variables include mother's and father's education, community socioeconomic status (SES) designed to represent the broad socio-economic ecology of the neighborhoods in which families live, and relevant mother- and child-level covariates. Results: Across countries in SSA, though socioeconomic inequalities in stunting do exist in both urban and rural areas, they are significantly larger in urban areas. Intra-urban differences in child malnutrition are larger than overall urban-rural differentials in child malnutrition, and there seem to be no visible relationships between within-urban inequities in child health on the one hand, and urban population growth, urban malnutrition, or overall rural-urban differentials in malnutrition, on the other. Finally, maternal and father's education, community SES and other measurable covariates at the mother and child levels only explain a slight part of the within-urban differences in child malnutrition. Conclusion: The urban advantage in health masks enormous disparities between the poor and the non-poor in urban areas of SSA. Specific policies geared at preferentially improving the health and nutrition of the urban poor should be implemented, so that while targeting the best attainable average level of health, reducing gaps between population groups is also on target. To successfully monitor the gaps between urban poor and non-poor, existing data collection programs such as the DHS and other nationally representative surveys should be re-designed to capture the changing patterns of the…","author":[{"dropping-particle":"","family":"Fotso","given":"Jean Christophe","non-dropping-particle":"","parse-names":false,"suffix":""}],"container-title":"International Journal for Equity in Health","id":"ITEM-1","issued":{"date-parts":[["2006"]]},"title":"Child health inequities in developing countries: Differences across urban and rural areas","type":"article-journal","volume":"5"},"uris":["http://www.mendeley.com/documents/?uuid=de31042c-c83c-4515-b5df-8124b56396ca"]},{"id":"ITEM-2","itemData":{"DOI":"10.3402/gha.v9.29263","ISSN":"16549880","PMID":"26950558","abstract":"Background: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Action","id":"ITEM-2","issue":"1","issued":{"date-parts":[["2016"]]},"title":"Trends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[15,64]","plainTextFormattedCitation":"[15,64]","previouslyFormattedCitation":"[15,51]"},"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[15,64]</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We have employed standard statistical procedures of understanding inequalities in health variables to examine the trends of socioeconomic disparities in malnutrition in children below the age of five years. </w:t>
      </w:r>
      <w:r w:rsidR="00605D25">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also examined the determinants of child malnutrition in Kenya and employed decompositions to examine the contributions of these determinants to the observed variations, the change in the regression coefficients of these determinants, and the variations that have occurred with regards to the socioeconomic disparities observed between 2003 and 2014.</w:t>
      </w:r>
    </w:p>
    <w:p w14:paraId="7D3BDDBF"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This study began by examining the prevalence of child malnutrition by socioeconomic status and found that between 2003 and 2014, the proportions of child malnutrition decreased significantly. Stunting recorded the highest percentage decrease in the proportions recorded across all socioeconomic groups whereas wasting recorded the least percentage decrease. 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Additionally, concentration indices (in absolute </w:t>
      </w:r>
      <w:r w:rsidRPr="003C12F4">
        <w:rPr>
          <w:rFonts w:ascii="Helvetica" w:eastAsia="MS Mincho" w:hAnsi="Helvetica" w:cs="Helvetica"/>
          <w:sz w:val="24"/>
          <w:szCs w:val="24"/>
          <w:lang w:val="en-GB"/>
        </w:rPr>
        <w:lastRenderedPageBreak/>
        <w:t xml:space="preserve">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statistically significant differences in the CIs between the two time periods. All the CIs were negative suggesting the disproportionate effect of socioeconomic disparities on child malnutrition where children from poor economic backgrounds are relatively disadvantaged relative to children from the richest economic groups. </w:t>
      </w:r>
    </w:p>
    <w:p w14:paraId="7CB6DA33" w14:textId="5B1F6C15"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worsening socio-economic patterns in malnutrition in Kenya between 2003 and 2014 were also reported in a previous study in which a comparative investigation and analysis of socioeconomic inequalities in child stunting were investigated, with a bias on low middle-income nationalities in Africa (Kenya, Zambia, and Ghana). In their paper, Jonah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note how inequalities in stunting appeared to have worsened in the year 2014 in comparison to previous years considered in their analysis. Even though Kenya has recorded subtle improvements in the economy between 2003 and 2014, even graduating to a low middle-income country status, the socioeconomic disparities in malnutrition between poor and rich groups appear incessant and affecting children in urban areas more compared to those in rural areas. This finding is quite unexpected even though previous research studies have reported the poverty levels in urban areas to have increased urban poverty rates in Kenya between 2005 and 2015–16. Poverty levels in Kenyan urban areas have remained unchanged with the number of </w:t>
      </w:r>
      <w:r w:rsidRPr="003C12F4">
        <w:rPr>
          <w:rFonts w:ascii="Helvetica" w:eastAsia="MS Mincho" w:hAnsi="Helvetica" w:cs="Helvetica"/>
          <w:sz w:val="24"/>
          <w:szCs w:val="24"/>
          <w:lang w:val="en-GB"/>
        </w:rPr>
        <w:lastRenderedPageBreak/>
        <w:t xml:space="preserve">poor households increasing from 2.3–3.8 million following the high rate of growth of the population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[65]","plainTextFormattedCitation":"[65]","previouslyFormattedCitation":"[68]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Even so, rural areas often have reduced access to essential services and would generally be expected to have a higher share of the national poverty indices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BE5EE7">
        <w:rPr>
          <w:rFonts w:ascii="Helvetica" w:eastAsia="MS Mincho" w:hAnsi="Helvetica" w:cs="Helvetica"/>
          <w:sz w:val="24"/>
          <w:szCs w:val="24"/>
          <w:lang w:val="en-GB"/>
        </w:rPr>
        <w:t xml:space="preserve">Similarly, the number of children </w:t>
      </w:r>
      <w:r w:rsidR="00635972">
        <w:rPr>
          <w:rFonts w:ascii="Helvetica" w:eastAsia="MS Mincho" w:hAnsi="Helvetica" w:cs="Helvetica"/>
          <w:sz w:val="24"/>
          <w:szCs w:val="24"/>
          <w:lang w:val="en-GB"/>
        </w:rPr>
        <w:t xml:space="preserve">residing in urban areas had increased between 2003 and 2014 </w:t>
      </w:r>
      <w:r w:rsidR="007B165B">
        <w:rPr>
          <w:rFonts w:ascii="Helvetica" w:eastAsia="MS Mincho" w:hAnsi="Helvetica" w:cs="Helvetica"/>
          <w:sz w:val="24"/>
          <w:szCs w:val="24"/>
          <w:lang w:val="en-GB"/>
        </w:rPr>
        <w:t xml:space="preserve">alluding </w:t>
      </w:r>
      <w:r w:rsidR="00BE5EE7" w:rsidRPr="003C12F4">
        <w:rPr>
          <w:rFonts w:ascii="Helvetica" w:eastAsia="MS Mincho" w:hAnsi="Helvetica" w:cs="Helvetica"/>
          <w:sz w:val="24"/>
          <w:szCs w:val="24"/>
          <w:lang w:val="en-GB"/>
        </w:rPr>
        <w:t>to possible shifts in residential preferences of parents to urban areas</w:t>
      </w:r>
      <w:r w:rsidR="0083183F">
        <w:rPr>
          <w:rFonts w:ascii="Helvetica" w:eastAsia="MS Mincho" w:hAnsi="Helvetica" w:cs="Helvetica"/>
          <w:sz w:val="24"/>
          <w:szCs w:val="24"/>
          <w:lang w:val="en-GB"/>
        </w:rPr>
        <w:t xml:space="preserve"> </w:t>
      </w:r>
      <w:r w:rsidR="0083183F">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{"citationItems":[{"id":"ITEM-1","itemData":{"author":[{"dropping-particle":"","family":"Oucho","given":"John O","non-dropping-particle":"","parse-names":false,"suffix":""},{"dropping-particle":"","family":"Oucho","given":"Linda A","non-dropping-particle":"","parse-names":false,"suffix":""},{"dropping-particle":"","family":"Ochieng","given":"Vollan","non-dropping-particle":"","parse-names":false,"suffix":""}],"id":"ITEM-1","issue":"September","issued":{"date-parts":[["2014"]]},"publisher":"Migrating out of Poverty","title":"Is Migration the Solution to Poverty Alleviation in Kenya ? Rural-Urban Migration Experiences of Migrants from Western Kenya to Kisumu and Nairobi","type":"article-journal"},"uris":["http://www.mendeley.com/documents/?uuid=608814c0-0a21-40a7-984c-0fd951df792b"]}],"mendeley":{"formattedCitation":"[66]","plainTextFormattedCitation":"[66]"},"properties":{"noteIndex":0},"schema":"https://github.com/citation-style-language/schema/raw/master/csl-citation.json"}</w:instrText>
      </w:r>
      <w:r w:rsidR="0083183F">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[66]</w:t>
      </w:r>
      <w:r w:rsidR="0083183F">
        <w:rPr>
          <w:rFonts w:ascii="Helvetica" w:eastAsia="MS Mincho" w:hAnsi="Helvetica" w:cs="Helvetica"/>
          <w:sz w:val="24"/>
          <w:szCs w:val="24"/>
          <w:lang w:val="en-GB"/>
        </w:rPr>
        <w:fldChar w:fldCharType="end"/>
      </w:r>
      <w:r w:rsidR="00BE5EE7" w:rsidRPr="003C12F4">
        <w:rPr>
          <w:rFonts w:ascii="Helvetica" w:eastAsia="MS Mincho" w:hAnsi="Helvetica" w:cs="Helvetica"/>
          <w:sz w:val="24"/>
          <w:szCs w:val="24"/>
          <w:lang w:val="en-GB"/>
        </w:rPr>
        <w:t xml:space="preserve">. </w:t>
      </w:r>
    </w:p>
    <w:p w14:paraId="0DDDD370" w14:textId="2F6CD4A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On a different note, this paper has found significant determinants of malnutrition characterized by three indicators to be the child’s age, household irreligion, maternal primary level education, birth order and the wealth index for stunting, child’s age, other household religions, no education (primary maternal level education), birth order, being from the rift valley and Nyanza region, mother’s age at first birth, and the household’s socioeconomic status (poorest). On the other hand, other religions, no maternal education, and the household’s region of residence (Rift Valley, Nyanza, Coast, and Central regions) were found to be substantial determinants of wasting in children under five years. The determinants of child malnutrition as found </w:t>
      </w:r>
      <w:r w:rsidR="002832FF">
        <w:rPr>
          <w:rFonts w:ascii="Helvetica" w:eastAsia="MS Mincho" w:hAnsi="Helvetica" w:cs="Helvetica"/>
          <w:sz w:val="24"/>
          <w:szCs w:val="24"/>
          <w:lang w:val="en-GB"/>
        </w:rPr>
        <w:t xml:space="preserve">in this study </w:t>
      </w:r>
      <w:r w:rsidRPr="003C12F4">
        <w:rPr>
          <w:rFonts w:ascii="Helvetica" w:eastAsia="MS Mincho" w:hAnsi="Helvetica" w:cs="Helvetica"/>
          <w:sz w:val="24"/>
          <w:szCs w:val="24"/>
          <w:lang w:val="en-GB"/>
        </w:rPr>
        <w:t xml:space="preserve">conform with those found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mendeley":{"formattedCitation":"[13,15,36]","plainTextFormattedCitation":"[13,15,36]","previouslyFormattedCitation":"[13,15,38]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[13,15,36]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12051B60" w14:textId="644FAA31"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socioeconomic status of a household is a substantial factor impacting the nutrition status of children in Kenya as observed </w:t>
      </w:r>
      <w:r w:rsidR="002832FF">
        <w:rPr>
          <w:rFonts w:ascii="Helvetica" w:eastAsia="MS Mincho" w:hAnsi="Helvetica" w:cs="Helvetica"/>
          <w:sz w:val="24"/>
          <w:szCs w:val="24"/>
          <w:lang w:val="en-GB"/>
        </w:rPr>
        <w:t>from this investigation</w:t>
      </w:r>
      <w:r w:rsidRPr="003C12F4">
        <w:rPr>
          <w:rFonts w:ascii="Helvetica" w:eastAsia="MS Mincho" w:hAnsi="Helvetica" w:cs="Helvetica"/>
          <w:sz w:val="24"/>
          <w:szCs w:val="24"/>
          <w:lang w:val="en-GB"/>
        </w:rPr>
        <w:t xml:space="preserve">. Even though Kenya has made improvements with regards to improving the nutrition status of its populace as part of the standard development goals, the rapid population growth recorded over the years has not been at a level with the rate of the growth of the economy. The result of </w:t>
      </w:r>
      <w:r w:rsidRPr="003C12F4">
        <w:rPr>
          <w:rFonts w:ascii="Helvetica" w:eastAsia="MS Mincho" w:hAnsi="Helvetica" w:cs="Helvetica"/>
          <w:sz w:val="24"/>
          <w:szCs w:val="24"/>
          <w:lang w:val="en-GB"/>
        </w:rPr>
        <w:lastRenderedPageBreak/>
        <w:t xml:space="preserve">this has been that a much larger subset of the population has remained in poverty. In recent times, statistical estimates have shown a disconnect between the rapid growth of the economy and the improvement of welfare for the larger proportion of the population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[61]","plainTextFormattedCitation":"[61]","previouslyFormattedCitation":"[65]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[65]","plainTextFormattedCitation":"[65]","previouslyFormattedCitation":"[68]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68F7E161" w14:textId="1AEDD878"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The poverty rates in the country declined between 2005–</w:t>
      </w:r>
      <w:proofErr w:type="gramStart"/>
      <w:r w:rsidRPr="003C12F4">
        <w:rPr>
          <w:rFonts w:ascii="Helvetica" w:eastAsia="MS Mincho" w:hAnsi="Helvetica" w:cs="Helvetica"/>
          <w:sz w:val="24"/>
          <w:szCs w:val="24"/>
          <w:lang w:val="en-GB"/>
        </w:rPr>
        <w:t>06  from</w:t>
      </w:r>
      <w:proofErr w:type="gramEnd"/>
      <w:r w:rsidRPr="003C12F4">
        <w:rPr>
          <w:rFonts w:ascii="Helvetica" w:eastAsia="MS Mincho" w:hAnsi="Helvetica" w:cs="Helvetica"/>
          <w:sz w:val="24"/>
          <w:szCs w:val="24"/>
          <w:lang w:val="en-GB"/>
        </w:rPr>
        <w:t xml:space="preserve"> 50% to about 38.8% between 2015–16 in the rural areas, reductions which were largely reflected at the national level. According to Pape and Mejia-Mantilla,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with those found elsewhere where children from poor households were reported to have significantly poor nutrition outcomes in comparison to those from richer households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2013)","type":"article-journal","volume":"14"},"uris":["http://www.mendeley.com/documents/?uuid=1238d34a-9cb6-379c-b0a8-f1b4854e4346"]},{"id":"ITEM-2","itemData":{"DOI":"10.1016/S0277-9536(01)00331-8","ISSN":"02779536","PMID":"12113445","abstract":"While interest in social disparities in health within affluent nations has been growing, discussion of equity in health with regard to low- and middle-income countries has generally focused on north-south and between-country differences, rather than on gaps between social groups within the countries where most of the world's population lives. This paper aims to articulate a rationale for focusing on within- as well as between-country health disparities in nations of all per capita income levels, and to suggest relevant reference material, particularly for developing country researchers. Routine health information can obscure large inter-group disparities within a country. While appropriately disaggregated routine information is lacking, evidence from special studies reveals significant and in many cases widening disparities in health among more and less privileged social groups within low- and middle- as well as high-income countries; avoidable disparities are observed not only across socioeconomic groups but also by gender, ethnicity, and other markers of underlying social disadvantage. Globally, economic inequalities are widening and, where relevant information is available, generally accompanied by widening or stagnant health inequalities. Related global economic trends, including pressures to cut social spending and compete in global markets, are making it especially difficult for lower-income countries to implement and sustain equitable policies. For all of these reasons, explicit concerns about equity in health and its determinants need to be placed higher on the policy and research agendas of both international and national organizations in low-, middle-, and high-income countries. International agencies can strengthen or undermine national efforts to achieve greater equity. The Primary Health Care strategy is at least as relevant today as it was two decades ago; but equity needs to move from being largely implicit to becoming an explicit component of the strategy, and progress toward greater equity must be carefully monitored in countries of all per capita income levels. Particularly in the context of an increasingly globalized world, improvements in health for privileged groups should suggest what could, with political will, be possible for all. Copyright © 2002 Elsevier Science Ltd.","author":[{"dropping-particle":"","family":"Braveman","given":"Paula","non-dropping-particle":"","parse-names":false,"suffix":""},{"dropping-particle":"","family":"Tarimo","given":"Eleuther","non-dropping-particle":"","parse-names":false,"suffix":""}],"container-title":"Social Science and Medicine","id":"ITEM-2","issue":"11","issued":{"date-parts":[["2002"]]},"page":"1621-1635","title":"Social inequalities in health within countries: Not only an issue for affluent nations","type":"article","volume":"54"},"uris":["http://www.mendeley.com/documents/?uuid=5f2ddb5c-e4f8-4f09-afae-7ad46a9581bc"]},{"id":"ITEM-3","itemData":{"DOI":"10.2471/BLT.07.044800","ISSN":"00429686","PMID":"18438517","abstract":"Objective: The objectives of this study were to report on socioeconomic inequality in childhood malnutrition in the developing world, to provide evidence for an association between socioeconomic inequality and the average level of malnutrition, and to draw attention to different patterns of socioeconomic inequality in malnutrition. Methods: Both stunting and wasting were measured using new WHO child growth standards. Socioeconomic status was estimated by principal component analysis using a set of household assets and living conditions. Socioeconomic inequality was measured using an alternative concentration index that avoids problems with dependence on the mean level of malnutrition. Findings: In almost all countries investigated, stunting and wasting disproportionately affected the poor. However, socioeconomic inequality in wasting was limited and was not significant in about one third of countries. After correcting for the concentration index's dependence on mean malnutrition, there was no clear association between average stunting and socioeconomic inequality. The latter showed different patterns, which were termed mass deprivation, queuing and exclusion. Although average levels of malnutrition were higher with the new WHO reference standards, estimates of socioeconomic inequality were largely unaffected by changing the growth standards. Conclusion: Socioeconomic inequality in childhood malnutrition existed throughout the developing world, and was not related to the average malnutrition rate. Failure to tackle this inequality is a cause of social injustice. Moreover, reducing the overall rate of malnutrition does not necessarily lead to a reduction in inequality. Policies should, therefore, take into account the distribution of childhood malnutrition across all socioeconomic groups.","author":[{"dropping-particle":"","family":"Poel","given":"Ellen","non-dropping-particle":"Van De","parse-names":false,"suffix":""},{"dropping-particle":"","family":"Hosseinpoor","given":"Ahmad Reza","non-dropping-particle":"","parse-names":false,"suffix":""},{"dropping-particle":"","family":"Speybroeck","given":"Niko","non-dropping-particle":"","parse-names":false,"suffix":""},{"dropping-particle":"","family":"Ourti","given":"Tom","non-dropping-particle":"Van","parse-names":false,"suffix":""},{"dropping-particle":"","family":"Vega","given":"Jeanette","non-dropping-particle":"","parse-names":false,"suffix":""}],"container-title":"Bulletin of the World Health Organization","id":"ITEM-3","issue":"4","issued":{"date-parts":[["2008"]]},"page":"282-291","title":"Socioeconomic inequality in malnutrition in developing countries","type":"article-journal","volume":"86"},"uris":["http://www.mendeley.com/documents/?uuid=db577564-371c-43c4-a8c6-2bbb6abc868b"]}],"mendeley":{"formattedCitation":"[13,67,68]","plainTextFormattedCitation":"[13,67,68]","previouslyFormattedCitation":"[13,69,70]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[13,67,68]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 household’s socioeconomic status impacts its ability to have access to basic </w:t>
      </w:r>
      <w:r w:rsidRPr="003C12F4">
        <w:rPr>
          <w:rFonts w:ascii="Helvetica" w:eastAsia="MS Mincho" w:hAnsi="Helvetica" w:cs="Helvetica"/>
          <w:sz w:val="24"/>
          <w:szCs w:val="24"/>
          <w:lang w:val="en-GB"/>
        </w:rPr>
        <w:lastRenderedPageBreak/>
        <w:t xml:space="preserve">and essential services including food, water, quality sanitation, and basic healthcare amenities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{"citationItems":[{"id":"ITEM-1","itemData":{"DOI":"10.11604/pamj.2013.15.120.2535","ISSN":"19378688","PMID":"24255726","abstract":"Malnutrition is estimated to contribute to more than one third of all child deaths, although it is rarely listed as the direct cause. Contributing to more than half of deaths in children worldwide; child malnutrition was associated with 54% of deaths in children in developing countries in 2001. Poverty remains the major contributor to this ill. The vicious cycle of poverty, disease and illness aggravates this situation. Grooming undernourished children causes children to start life at mentally sub optimal levels. This becomes a serious developmental threat. Lack of education especially amongst women disadvantages children, especially as far as healthy practices like breastfeeding and child healthy foods are concerned. Adverse climatic conditions have also played significant roles like droughts, poor soils and deforestation. Sociocultural barriers are major hindrances in some communities, with female children usually being the most affected. Corruption and lack of government interest and investment are key players that must be addressed to solve this problem. A multisectorial approach is vital in tackling this problem. Improvement in government policy, fight against corruption, adopting a horizontal approach in implementing programmes at community level must be recognized. Genetically modified foods to increase food production and to survive adverse climatic conditions could be gateways in solving these problems. Socio cultural peculiarities of each community are an essential base line consideration for the implementation of any nutrition health promotion programs. © Luchuo Engelbert Bain et al.","author":[{"dropping-particle":"","family":"Bain","given":"Luchuo Engelbert","non-dropping-particle":"","parse-names":false,"suffix":""},{"dropping-particle":"","family":"Awah","given":"Paschal Kum","non-dropping-particle":"","parse-names":false,"suffix":""},{"dropping-particle":"","family":"Geraldine","given":"Ngia","non-dropping-particle":"","parse-names":false,"suffix":""},{"dropping-particle":"","family":"Kindong","given":"Njem Peter","non-dropping-particle":"","parse-names":false,"suffix":""},{"dropping-particle":"","family":"Sigal","given":"Yelena","non-dropping-particle":"","parse-names":false,"suffix":""},{"dropping-particle":"","family":"Bernard","given":"Nsah","non-dropping-particle":"","parse-names":false,"suffix":""},{"dropping-particle":"","family":"Tanjeko","given":"Ajime Tom","non-dropping-particle":"","parse-names":false,"suffix":""}],"container-title":"Pan African Medical Journal","id":"ITEM-1","issued":{"date-parts":[["2013"]]},"title":"Malnutrition in Sub - Saharan Africa: Burden, causes and prospects","type":"article","volume":"15"},"uris":["http://www.mendeley.com/documents/?uuid=e1e9645d-dcf9-45b3-91e0-e551cd829779"]},{"id":"ITEM-2","itemData":{"abstract":"Malnutrition affects many children and is a leading cause of childhood mortality and non-fatal health loss. Zambia has one of the highest rates of malnutrition in the world. About half of the Zambian children are stunted while one in five is underweight. Prevalence of wasting is much lower. This article examines the determinants of nutritional status among children aged below five years in Zambia using data from a national cross-sectional survey conducted in 2006. Multivariate analysis is used to quantify the effects of several household and child-specific socioeconomic and demographic factors on nutritional status, as well as a geographic context (community level) fixed effect. Our analysis indicates that household expenditure is a leading determinant of nutritional status of a child. Further, the positive effect of parental education was observed. Children become more malnourished as they get older than 18 months. Poor nutrition falls disproportionately on rural children, after all other included covariates were controlled for. The significance of the geographic context suggests an underlying ecological pattern to malnutrition besides the individual and households factors. Understanding the determinants of poor nutritional attainment can provide insights in designing interventions for reducing the high levels of child malnutrition in Zambia. 1. Introduction There is heightened global policy attention to the problem of poor nutritional attainment among children in developing countries. The United Nations has included two nutrition-based indicators, defined as the prevalence of underweight children (under five years of age) and the proportion of population below minimum level of dietary energy consumption, to monitor progress towards its Millennium Development Goal (MDG) number one (eradication of extreme poverty and hunger). Thus, nutritional status is often used as a measure of social development. Furthermore, nutritional status is strongly connected to health outcomes (Braveman 1998; Muller and Krawinkel, 2005). The most recent estimates on deaths attributable to malnutrition indicate that about 20% of all deaths and 20% of health loss (measured in Disability-Adjusted Life Years (DALYs)) among children aged below five years living in low-income countries can be attributed to nutritional deficiency (Black et al., 2008). DALYs are used by the World Bank and the World Health Organisation (WHO) to represent a composite measure of mortality and non-fatal …","author":[{"dropping-particle":"","family":"Masiye","given":"Felix","non-dropping-particle":"","parse-names":false,"suffix":""},{"dropping-particle":"","family":"Chama","given":"Chitalu","non-dropping-particle":"","parse-names":false,"suffix":""},{"dropping-particle":"","family":"Chitah","given":"Bona","non-dropping-particle":"","parse-names":false,"suffix":""},{"dropping-particle":"","family":"Jonsson","given":"Dick","non-dropping-particle":"","parse-names":false,"suffix":""}],"container-title":"Zambia Social Science Journal","id":"ITEM-2","issue":"1","issued":{"date-parts":[["2010"]]},"page":"4","title":"Determinants of Child Nutritional Status in Zambia: An Analysis of a National Survey","type":"article-journal","volume":"1"},"uris":["http://www.mendeley.com/documents/?uuid=f7cafff6-b9c1-4199-a6fc-5dd1fc659a6d"]},{"id":"ITEM-3","itemData":{"DOI":"10.1080/09709274.2017.1305615","ISSN":"0970-9274","abstract":"South Africa is food-secure nationally, but at household level, it is food-insecure due to socio-economic factors that limit access to food to a large number of people who live below poverty line. The study examined the impact of socio-demographic status on food (in) …","author":[{"dropping-particle":"","family":"Masuku","given":"Mfundo","non-dropping-particle":"","parse-names":false,"suffix":""},{"dropping-particle":"","family":"Selepe","given":"Mosa","non-dropping-particle":"","parse-names":false,"suffix":""},{"dropping-particle":"","family":"Ngcobo","given":"Nkosi","non-dropping-particle":"","parse-names":false,"suffix":""}],"container-title":"Journal of Human Ecology","id":"ITEM-3","issue":"1-2","issued":{"date-parts":[["2017"]]},"page":"57-66","title":"The Socio-economic Status as a Factor Affecting Food (In) Security in Rural Areas, uThungulu District Municipality, Kwa-Zulu Natal, South Africa","type":"article-journal","volume":"58"},"uris":["http://www.mendeley.com/documents/?uuid=d0423490-f58c-4ad0-9224-aff65c18d478"]},{"id":"ITEM-4","itemData":{"DOI":"10.1016/j.socscimed.2011.06.024","ISSN":"02779536","PMID":"21798638","abstract":"This paper examines the trends and patterns of economic inequalities with respect to child malnutrition by wealth status of population across major regions and states of India. Data from three rounds of National Family and Health Survey (NFHS) conducted during 1992-2006 were analyzed. The proportion of underweight children (measure of both acute and chronic malnutrition) has been used as a dependent variable. The wealth index is used as proxy for economic status of the population, and was estimated through principal component analysis by employing a set of variables representing durable asset ownership, access to utilities and infrastructure, and housing characteristics of respondents for all the three survey rounds. Bivariate analyses, poor-rich ratio and concentration indices were used to understand the trends in economic inequalities with respect to child malnutrition. Pooled logistic regression models were fitted to estimate the adjusted effect of economic status on the likelihood of child malnutrition over time. Results indicate sluggish change coupled with concomitant rise in economic inequalities with respect to child malnutrition in India during 1992-2006. The burden of malnutrition was disproportionately concentrated among poor children. In addition, average decline in malnutrition concealed large economic disparities across space and time. © 2011 Elsevier Ltd.","author":[{"dropping-particle":"","family":"Pathak","given":"Praveen Kumar","non-dropping-particle":"","parse-names":false,"suffix":""},{"dropping-particle":"","family":"Singh","given":"Abhishek","non-dropping-particle":"","parse-names":false,"suffix":""}],"container-title":"Social Science and Medicine","id":"ITEM-4","issue":"4","issued":{"date-parts":[["2011"]]},"page":"576-585","title":"Trends in malnutrition among children in India: Growing inequalities across different economic groups","type":"article-journal","volume":"73"},"uris":["http://www.mendeley.com/documents/?uuid=b0b84a10-5252-4370-b788-b68a35fcf4d7"]}],"mendeley":{"formattedCitation":"[69–72]","plainTextFormattedCitation":"[69–72]","previouslyFormattedCitation":"[71–74]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[69–72]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With limited finances, a household’s ability to afford a stable supply of food is significantly reduced, effects of which include adverse effects on child growth as well as cognitive development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{"citationItems":[{"id":"ITEM-1","itemData":{"DOI":"10.1111/j.1753-4887.2004.tb00055.x","ISSN":"00296643","PMID":"15478684","abstract":"This review considers the research to date on the role of nutrition in cognitive development in children, with a particular emphasis on the relatively neglected post-infancy period. Undernutrition and deficiencies of iodine, iron, and folate are all important for the development of the brain and the emergent cognitive functions, and there is some evidence to suggest that zinc, vitamin B12, and omega-3 polyunsaturated fatty acids may also be important. Considerations for future research include a focus on the interactions between micronutrients and macronutrients that might be influential in the optimization of cognitive development; investigation of the impact of nutritional factors in children after infancy, with particular emphasis on effects on the developing executive functions; and selection of populations that might benefit from nutritional interventions, for example, children with nutrient deficiencies or those suffering from attention deficit-hyperactivity disorder and dyslexia.","author":[{"dropping-particle":"","family":"Bryan","given":"Janet","non-dropping-particle":"","parse-names":false,"suffix":""},{"dropping-particle":"","family":"Osendarp","given":"Saskia","non-dropping-particle":"","parse-names":false,"suffix":""},{"dropping-particle":"","family":"Hughes","given":"Donna","non-dropping-particle":"","parse-names":false,"suffix":""},{"dropping-particle":"","family":"Calvaresi","given":"Eva","non-dropping-particle":"","parse-names":false,"suffix":""},{"dropping-particle":"","family":"Baghurst","given":"Katrine","non-dropping-particle":"","parse-names":false,"suffix":""},{"dropping-particle":"","family":"Klinken","given":"Jan-Willem","non-dropping-particle":"","parse-names":false,"suffix":""}],"container-title":"Nutrition Reviews","id":"ITEM-1","issue":"8","issued":{"date-parts":[["2004"]]},"page":"295-306","title":"Nutrients for Cognitive Development in School-aged Children","type":"article-journal","volume":"62"},"uris":["http://www.mendeley.com/documents/?uuid=2263b5b5-d774-4809-88ef-007d2019a32b"]},{"id":"ITEM-2","itemData":{"DOI":"10.1590/S1020-49892009000600006","ISSN":"16805348","PMID":"19695145","abstract":"Objective. To assess criterion validity of a household food security scale through its associations with child health status in participants of the Colombian Plan for Improving Food and Nutrition in Antioquia (Mejoramiento Alimentario y Nutricional de Antioquia (MANA)). Methods. A 12-item household food security survey (Colombian Household Food Security Scale, CHFSS) was applied to a cross-sectional stratified random sample of 2 784 low-income households with preschool children receiving MANA food supplements in Antioquia, Colombia. Anthropometrics and health status of the children were also assessed. Chi-square tests were used to initially compare child health status and household food security status. Logistic regression models were further developed to assess this relationship in bivariate and multiple regression models. Results. Statistically significant associations were found between household food insecurity and diagnoses of children's diarrhea, respiratory infections, and parasitosis (P &lt; 0.0001). The risk for child stunting and underweight increased in a dose-response way as food insecurity became more severe. Conclusions. Our research establishes an important link between household food insecurity and child nutritional status in participants of a food assistance program. The results affirm the criterion validity of the CHFSS, establishing the proposed instrument as a valid measure for food insecurity with high-risk populations.","author":[{"dropping-particle":"","family":"Hackett","given":"Michelle","non-dropping-particle":"","parse-names":false,"suffix":""},{"dropping-particle":"","family":"Melgar-Quiñonez","given":"Hugo","non-dropping-particle":"","parse-names":false,"suffix":""},{"dropping-particle":"","family":"Álvarez","given":"Martha Cecilia","non-dropping-particle":"","parse-names":false,"suffix":""}],"container-title":"Revista Panamericana de Salud Publica/Pan American Journal of Public Health","id":"ITEM-2","issue":"6","issued":{"date-parts":[["2009"]]},"page":"506-510","title":"Household food insecurity associated with stunting and underweight among preschool children in Antioquia, Colombia","type":"article-journal","volume":"25"},"uris":["http://www.mendeley.com/documents/?uuid=8f7b2716-ea22-4473-a7ff-a3b1fefdf397"]},{"id":"ITEM-3","itemData":{"DOI":"10.1186/s12889-015-2403-0","ISSN":"14712458","PMID":"26463345","abstract":"Background: Millions of people in low and low middle income countries suffer from extreme hunger and malnutrition. Research on the effect of food insecurity on child nutrition is concentrated in high income settings and has produced mixed results. Moreover, the existing evidence on food security and nutrition in children in low and middle income countries is either cross-sectional and/or is based primarily on rural populations. In this paper, we examine the effect of household food security status and its interaction with household wealth status on stunting among children aged between 6 and 23 months in resource-poor urban setting in Kenya. Methods: We use longitudinal data collected between 2006 and 2012 from two informal settlements in Nairobi, Kenya. Mothers and their new-borns were recruited into the study at birth and followed prospectively. The analytical sample comprised 6858 children from 6552 households. Household food security was measured as a latent variable derived from a set of questions capturing the main domains of access, availability and affordability. A composite measure of wealth was calculated using asset ownership and amenities. Nutritional status was measured using Height-for-Age (HFA) z-scores. Children whose HFA z-scores were below -2 standard deviation were categorized as stunted. We used Cox regression to analyse the data. Results: The prevalence of stunting was 49 %. The risk of stunting increased by 12 % among children from food insecure households. When the joint effect of food security and wealth status was assessed, the risk of stunting increased significantly by 19 and 22 % among children from moderately food insecure and severely food insecure households and ranked in the middle poor wealth status. Among the poorest and least poor households, food security was not statistically associated with stunting. Conclusion: Our results shed light on the joint effect of food security and wealth status on stunting. Study findings underscore the need for social protection policies to reduce the high rates of child malnutrition in the urban informal settlements.","author":[{"dropping-particle":"","family":"Mutisya","given":"Maurice","non-dropping-particle":"","parse-names":false,"suffix":""},{"dropping-particle":"","family":"Kandala","given":"Ngianga Bakwin","non-dropping-particle":"","parse-names":false,"suffix":""},{"dropping-particle":"","family":"Ngware","given":"Moses Waithanji","non-dropping-particle":"","parse-names":false,"suffix":""},{"dropping-particle":"","family":"Kabiru","given":"Caroline W.","non-dropping-particle":"","parse-names":false,"suffix":""}],"container-title":"BMC Public Health","id":"ITEM-3","issue":"1","issued":{"date-parts":[["2015"]]},"title":"Household food (in)security and nutritional status of urban poor children aged 6 to 23 months in Kenya Global health","type":"article-journal","volume":"15"},"uris":["http://www.mendeley.com/documents/?uuid=d30b8380-7f71-4002-90d0-64609ee5e686"]},{"id":"ITEM-4","itemData":{"DOI":"10.1371/journal.pone.0112605","ISSN":"19326203","PMID":"25405764","abstract":"Background: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ONE","id":"ITEM-4","issue":"11","issued":{"date-parts":[["2014"]]},"title":"Stunting, poor iron status and parasite infection are significant risk factors for lower cognitive performance in Cambodian school-aged children","type":"article-journal","volume":"9"},"uris":["http://www.mendeley.com/documents/?uuid=47cdfc06-cfc5-4bf3-9b55-f1433299bcf2"]},{"id":"ITEM-5","itemData":{"DOI":"10.1007/978-981-13-0677-8_4","ISBN":"9789811306778","abstract":"In the past two decades since India achieved high economic growth, a curious problem has haunted the country and vexed its policy makers: India’s rising GDP has had little impact on food security and the nutrition levels of its population. Per capita availability as well as consumption of food grains has declined; the cereal intake of the bottom 30% of the population continues to be much less than that of the top two deciles of the population, despite the latter group’s better access to fruits, vegetables and meat products; the calorie consumption of the bottom half of the population has been consistently going down since 1987; the percentage of under-nourished stunted children was as high as 39% in 2014; and more than half of India’s women and three-quarters of its children are anaemic, with little decline in these estimates in the past eight years, resulting in maternal mortality and underweight babies. As part of the world community, India had pledged to halve hunger by 2015, as stated in the Millennium Development Goal 1, but the available data shows that this target has not been met.","author":[{"dropping-particle":"","family":"Saxena","given":"N. C.","non-dropping-particle":"","parse-names":false,"suffix":""}],"container-title":"Poverty, Chronic Poverty and Poverty Dynamics: Policy Imperatives","id":"ITEM-5","issued":{"date-parts":[["2018"]]},"page":"55-92","title":"Hunger, under-nutrition and food security in India","type":"chapter"},"uris":["http://www.mendeley.com/documents/?uuid=4abc9346-e65b-4362-9482-e69d029dd5e0"]}],"mendeley":{"formattedCitation":"[33,73–76]","plainTextFormattedCitation":"[33,73–76]","previouslyFormattedCitation":"[35,75–78]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[33,73–76]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88E263A" w14:textId="5A1F49CB"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w:t>
      </w:r>
      <w:proofErr w:type="spellStart"/>
      <w:r w:rsidRPr="003C12F4">
        <w:rPr>
          <w:rFonts w:ascii="Helvetica" w:eastAsia="MS Mincho" w:hAnsi="Helvetica" w:cs="Helvetica"/>
          <w:sz w:val="24"/>
          <w:szCs w:val="24"/>
          <w:lang w:val="en-GB"/>
        </w:rPr>
        <w:t>diarrhea</w:t>
      </w:r>
      <w:proofErr w:type="spellEnd"/>
      <w:r w:rsidRPr="003C12F4">
        <w:rPr>
          <w:rFonts w:ascii="Helvetica" w:eastAsia="MS Mincho" w:hAnsi="Helvetica" w:cs="Helvetica"/>
          <w:sz w:val="24"/>
          <w:szCs w:val="24"/>
          <w:lang w:val="en-GB"/>
        </w:rPr>
        <w:t xml:space="preserve">, a major determining factor of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{"citationItems":[{"id":"ITEM-1","itemData":{"DOI":"10.1111/ppe.12222","ISSN":"13653016","PMID":"26332093","abstract":"Background Childhood malnutrition adversely affects short- and long-term health and economic well-being of children. Malnutrition is a global challenge and accounts for around 40% of under-five mortality in Ghana. Limited studies are available indicating determinants of malnutrition among children. This study investigates prevalence and determinants of malnutrition among children under-five with the aim of providing advice to policymakers and other stakeholders responsible for the health and nutrition of children. Methods The study used data from the 2008 Ghana Demographic and Health Survey (GDHS). Analyses were conducted on 2083 children under 5 years old nested within 1641 households with eligible anthropometric measurements, using multilevel regression analysis. Results from the multilevel models were used to compute probabilities of malnutrition. Results This study observed that 588 (28%), 276 (13%), and 176 (8%) of the children were moderately 'stunted', moderately 'underweight', and moderately 'wasted' respectively. Older ages are associated with increased risk of stunting and underweight. Longer breast-feeding duration, multiple births, experience of diarrhoeal episodes, small size at birth, absence of toilet facilities in households, poor households, and mothers who are not covered by national health insurance are associated with increased risk of malnutrition. Increase in mother's years of education and body mass index are associated with decreased malnutrition. Strong residual household-level variations in childhood nutritional outcomes were found. Conclusion Policies and intervention strategies aimed at improving childhood nutrition and health should address the risk factors identified and the need to search for additional risk factors that might account for the unexplained household-level variations.","author":[{"dropping-particle":"","family":"Aheto","given":"Justice Moses K.","non-dropping-particle":"","parse-names":false,"suffix":""},{"dropping-particle":"","family":"Keegan","given":"Thomas J.","non-dropping-particle":"","parse-names":false,"suffix":""},{"dropping-particle":"","family":"Taylor","given":"Benjamin M.","non-dropping-particle":"","parse-names":false,"suffix":""},{"dropping-particle":"","family":"Diggle","given":"Peter J.","non-dropping-particle":"","parse-names":false,"suffix":""}],"container-title":"Paediatric and Perinatal Epidemiology","id":"ITEM-1","issue":"6","issued":{"date-parts":[["2015"]]},"page":"552-561","title":"Childhood Malnutrition and Its Determinants among Under-Five Children in Ghana","type":"article-journal","volume":"29"},"uris":["http://www.mendeley.com/documents/?uuid=7fb10948-6929-480f-8dc7-c69b2efe949b"]},{"id":"ITEM-2","itemData":{"DOI":"10.3390/nu9010044","ISSN":"20726643","PMID":"28075336","abstract":"Wasting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M.","non-dropping-particle":"","parse-names":false,"suffix":""}],"container-title":"Nutrients","id":"ITEM-2","issue":"1","issued":{"date-parts":[["2017"]]},"title":"Multilevel analysis of factors associated with wasting and underweight among children under-five years in Nigeria","type":"article-journal","volume":"9"},"uris":["http://www.mendeley.com/documents/?uuid=1852bd13-bceb-491a-bee6-fee703242049"]},{"id":"ITEM-3","itemData":{"DOI":"10.1186/s12887-016-0770-z","ISSN":"14712431","PMID":"28086835","abstract":"Background: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M.N.","non-dropping-particle":"","parse-names":false,"suffix":""}],"container-title":"BMC Pediatrics","id":"ITEM-3","issue":"1","issued":{"date-parts":[["2017"]]},"title":"Stunting and severe stunting among children under-5 years in Nigeria: A multilevel analysis","type":"article-journal","volume":"17"},"uris":["http://www.mendeley.com/documents/?uuid=6e51cce6-bdaa-42f1-a92c-c29cc60e168c"]}],"mendeley":{"formattedCitation":"[12,77,78]","plainTextFormattedCitation":"[12,77,78]","previouslyFormattedCitation":"[12,79,80]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[12,77,78]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government through the health sector should work towards reducing the effect of poverty on the nutrition status of children through enhancing equitable access to and distribution of resources including clean water, sanitation, and healthcare access. </w:t>
      </w:r>
    </w:p>
    <w:p w14:paraId="505D2655" w14:textId="28AA2A8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mother’s level of education was also found to be a significant determinant of child stunting. These results conform with previous studies in which evidence of a strong link between maternal education and a child’s health were reported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Journal","id":"ITEM-1","issue":"8","issued":{"date-parts":[["2011"]]},"page":"1389-1399","title":"Influence of maternal education on child immunization and stunting in Kenya","type":"article-journal","volume":"15"},"uris":["http://www.mendeley.com/documents/?uuid=62a62b65-78d8-4649-b682-05a4e80b08a7"]},{"id":"ITEM-2","itemData":{"DOI":"10.1016/j.socscimed.2004.05.010","ISSN":"02779536","PMID":"15522494","abstract":"This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Medicine","id":"ITEM-2","issue":"2","issued":{"date-parts":[["2005"]]},"page":"395-407","title":"Maternal education and child nutritional status in Bolivia: Finding the links","type":"article-journal","volume":"60"},"uris":["http://www.mendeley.com/documents/?uuid=8cd0e08d-aa97-4c98-a6b6-40d28ddbe7db"]},{"id":"ITEM-3","itemData":{"DOI":"10.1086/452408","ISSN":"00130079","author":[{"dropping-particle":"","family":"Handa","given":"Sudhanshu","non-dropping-particle":"","parse-names":false,"suffix":""}],"container-title":"Economic Development and Cultural Change","id":"ITEM-3","issue":"2","issued":{"date-parts":[["1999"]]},"page":"420-439","title":"Maternal education and child height","type":"article-journal","volume":"47"},"uris":["http://www.mendeley.com/documents/?uuid=9da30f37-2ab0-4a7a-8f89-f187cbac1fae"]},{"id":"ITEM-4","itemData":{"DOI":"10.12669/pjms.336.13689","ISSN":"1682-024X","abstract":"Objective To determine the impact of maternal education, employment, and family size on nutritional status of children. Methods It was case control study conducted at OPD of children Hospital Lahore, from September 2015 to April 2017. Total 340 children (170 cases and 170 controls) with age range of six months to five years along with their mothers were included. Anthropometric measurements were plotted against WHO growth Charts. 170 wasted (&lt;-2 SD) were matched with 170 controls (≥ -2 SD). Maternal education, employment and family size were compared between the cases and control. Confounding variables noted and dichotomized. Univariate analysis was carried out for factors under consideration i.e.; Maternal Education, employment and family size to study the association of each factor. Logistic regression analysis was applied to study the independent association. Results Maternal education had significant association with growth parameters; OR of 1.32 with confidence interval of (CI= 1.1 to 1.623). Employment status of mothers had OR of 1.132 with insignificant confidence interval of (CI=0.725 to 1.768). Family size had OR of one with insignificant confidence interval (CI=0.8 -1.21). Association remained same after applying bivariate logistic regression analysis. Conclusion Maternal education has definite and significant effect on nutritional status of children. This is the key factor to be addressed for prevention or improvement of childhood malnutrition. For this it is imperative to launch sustainable programs at national and regional level to uplift women educational status to combat this ever increasing burden of malnutrition.","author":[{"dropping-particle":"","family":"Iftikhar","given":"Aisha","non-dropping-particle":"","parse-names":false,"suffix":""},{"dropping-particle":"","family":"Bari","given":"Attiya","non-dropping-particle":"","parse-names":false,"suffix":""},{"dropping-particle":"","family":"Bano","given":"Iqbal","non-dropping-particle":"","parse-names":false,"suffix":""},{"dropping-particle":"","family":"Masood","given":"Qaisar","non-dropping-particle":"","parse-names":false,"suffix":""}],"container-title":"Pakistan Journal of Medical Sciences","id":"ITEM-4","issue":"6","issued":{"date-parts":[["2017"]]},"title":"Impact of maternal education, employment and family size on nutritional status of children","type":"article-journal","volume":"33"},"uris":["http://www.mendeley.com/documents/?uuid=6f04348a-8718-4113-b220-4e1868f13d48"]},{"id":"ITEM-5","itemData":{"DOI":"10.1093/jae/ejn024","ISSN":"09638024","abstract":"This paper uses a pooled sample of the 1998 and 2003 Demographic and Health Survey data sets for Kenya to analyse the determinants of children's nutritional status. We investigate the impact of child, parental, household and community characteristics on children's height and on the probability of stunting. Descriptive and econometric analysis, augmented by policy simulations, is employed to achieve the objectives of the study. In estimation, we control for sample design and possible heterogeneity arising from unobserved community characteristics correlated with children's nutritional status and its determinants. The key findings are that boys suffer more malnutrition than girls, and children of multiple births are more likely to be malnourished than singletons. The results further indicate that maternal education is a more important determinant of children's nutritional status than paternal education. Household assets are also important determinants of children's nutritional status but nutrition improves at a decreasing rate with assets. The use of public health services, more-so modern contraceptives, is also found to be an important determinant of child nutritional status. Policy simulations affirm the potential role of parental, household and community characteristics in reducing long-term malnutrition in Kenya and suggest that the correct policy mix would make a substantial reduction in the current high levels of malnutrition. Our findings suggest that, if Kenya is to achieve her strategic health objectives and millennium development target of reducing the prevalence of malnutrition, strategies for poverty alleviation, promotion of post secondary education for women and provision of basic preventive health care are critical concerns that need to be addressed. © The author 2008. Published by Oxford University Press on behalf of the Centre for the Study of African Economies. All rights reserved.","author":[{"dropping-particle":"","family":"Kabubo-Mariara","given":"Jane","non-dropping-particle":"","parse-names":false,"suffix":""},{"dropping-particle":"","family":"Ndenge","given":"Godfrey K.","non-dropping-particle":"","parse-names":false,"suffix":""},{"dropping-particle":"","family":"Mwabu","given":"Domisiano K.","non-dropping-particle":"","parse-names":false,"suffix":""}],"container-title":"Journal of African Economies","id":"ITEM-5","issue":"3","issued":{"date-parts":[["2009"]]},"page":"363-387","title":"Determinants of children's nutritional status in Kenya: Evidence from Demographic and Health Surveys","type":"article-journal","volume":"18"},"uris":["http://www.mendeley.com/documents/?uuid=bf32224d-d1c6-4137-8805-b4aa14626132"]}],"mendeley":{"formattedCitation":"[79–83]","plainTextFormattedCitation":"[79–83]","previouslyFormattedCitation":"[81–85]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[79–83]</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mechanism explaining the linkage between maternal education and child health is in three forms. Through formal education, future mothers </w:t>
      </w:r>
      <w:proofErr w:type="gramStart"/>
      <w:r w:rsidRPr="003C12F4">
        <w:rPr>
          <w:rFonts w:ascii="Helvetica" w:eastAsia="MS Mincho" w:hAnsi="Helvetica" w:cs="Helvetica"/>
          <w:sz w:val="24"/>
          <w:szCs w:val="24"/>
          <w:lang w:val="en-GB"/>
        </w:rPr>
        <w:t>are able to</w:t>
      </w:r>
      <w:proofErr w:type="gramEnd"/>
      <w:r w:rsidRPr="003C12F4">
        <w:rPr>
          <w:rFonts w:ascii="Helvetica" w:eastAsia="MS Mincho" w:hAnsi="Helvetica" w:cs="Helvetica"/>
          <w:sz w:val="24"/>
          <w:szCs w:val="24"/>
          <w:lang w:val="en-GB"/>
        </w:rPr>
        <w:t xml:space="preserve"> acquire knowledge related to various health issues through which they are able to recognize illnesses and thus seek medical attention for their children. Lastly, through formal education, mothers become more receptive to western medication. In this line, maternal formal education becomes a substantial way through which health outcomes </w:t>
      </w:r>
      <w:r w:rsidRPr="003C12F4">
        <w:rPr>
          <w:rFonts w:ascii="Helvetica" w:eastAsia="MS Mincho" w:hAnsi="Helvetica" w:cs="Helvetica"/>
          <w:sz w:val="24"/>
          <w:szCs w:val="24"/>
          <w:lang w:val="en-GB"/>
        </w:rPr>
        <w:lastRenderedPageBreak/>
        <w:t xml:space="preserve">in children can be improved. These explanations on the link between maternal formal education and child health are described in detail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{"citationItems":[{"id":"ITEM-1","itemData":{"DOI":"10.2307/146305","ISSN":"0022166X","abstract":"Mother's education is often found to be positively correlated with child health and nutrition in developing countries, yet the causal mechanisms are poorly understood. Three possible mechanisms are: (1) Formal education directly teaches health knowledge to future mothers; (2) Literacy and numeracy skills acquired in school assist future mothers in diagnosing and treating child health problems; and (3) Exposure to modern society from formal schooling makes women more receptive to modern medical treatments. This paper uses data from Morocco to assess the role played by these different mechanisms. Mother's health knowledge alone appears to be the crucial skill for raising child health. In Morocco, such knowledge is primarily obtained outside the classroom, although it is obtained using literacy and numeracy skills learned in school; there is no evidence that health knowledge is directly taught in schools. This suggests that teaching of health knowledge skills in Moroccan schools could substantially raise child health and nutrition in Morocco.","author":[{"dropping-particle":"","family":"Glewwe","given":"Paul","non-dropping-particle":"","parse-names":false,"suffix":""}],"container-title":"Journal of Human Resources","id":"ITEM-1","issue":"1","issued":{"date-parts":[["1999"]]},"page":"124-159","title":"Why does mother's schooling raise child health in developing countries? Evidence from Morocco","type":"article-journal","volume":"34"},"uris":["http://www.mendeley.com/documents/?uuid=705e24b7-f0a3-4d11-9428-7af94a4c650a"]}],"mendeley":{"formattedCitation":"[84]","plainTextFormattedCitation":"[84]","previouslyFormattedCitation":"[86]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[84]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20946B9D" w14:textId="7793C45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Decompositions of concentration indices revealed that most of the determinants of child malnutrition worked to reinforce the gap in socioeconomic disparity in malnutrition of children below the age of five years with children from poor households being negatively impacted than those from a rich household. The prevalence of malnutrition in this way can be attributed to the occurrence of determinants </w:t>
      </w:r>
      <w:proofErr w:type="spellStart"/>
      <w:r w:rsidRPr="003C12F4">
        <w:rPr>
          <w:rFonts w:ascii="Helvetica" w:eastAsia="MS Mincho" w:hAnsi="Helvetica" w:cs="Helvetica"/>
          <w:sz w:val="24"/>
          <w:szCs w:val="24"/>
          <w:lang w:val="en-GB"/>
        </w:rPr>
        <w:t>favoring</w:t>
      </w:r>
      <w:proofErr w:type="spellEnd"/>
      <w:r w:rsidRPr="003C12F4">
        <w:rPr>
          <w:rFonts w:ascii="Helvetica" w:eastAsia="MS Mincho" w:hAnsi="Helvetica" w:cs="Helvetica"/>
          <w:sz w:val="24"/>
          <w:szCs w:val="24"/>
          <w:lang w:val="en-GB"/>
        </w:rPr>
        <w:t xml:space="preserve"> malnutrition in the poorest socioeconomic groups or the occurrence of determinants that </w:t>
      </w:r>
      <w:proofErr w:type="spellStart"/>
      <w:r w:rsidRPr="003C12F4">
        <w:rPr>
          <w:rFonts w:ascii="Helvetica" w:eastAsia="MS Mincho" w:hAnsi="Helvetica" w:cs="Helvetica"/>
          <w:sz w:val="24"/>
          <w:szCs w:val="24"/>
          <w:lang w:val="en-GB"/>
        </w:rPr>
        <w:t>favor</w:t>
      </w:r>
      <w:proofErr w:type="spellEnd"/>
      <w:r w:rsidRPr="003C12F4">
        <w:rPr>
          <w:rFonts w:ascii="Helvetica" w:eastAsia="MS Mincho" w:hAnsi="Helvetica" w:cs="Helvetica"/>
          <w:sz w:val="24"/>
          <w:szCs w:val="24"/>
          <w:lang w:val="en-GB"/>
        </w:rPr>
        <w:t xml:space="preserve"> improved nutrition among the richest socioeconomic group. In stunting, the percentage contribution of the mother’s level of education to the total socioeconomic disparities observed in child stunting decreased from 1.02% in 2003 to 0.85% in 2014. On the other hand, the percentage contribution of socioeconomic status rose from 2.17% in 2003 to 5.07% in 2014. 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[65]","plainTextFormattedCitation":"[65]","previouslyFormattedCitation":"[68]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[65]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 similar trend was observed for underweight where the contribution of the mother’s level of education, though higher, decreased from 3.63% in 2003 to 2.63% in 2014. The percentage contribution of socioeconomic status of the household to the observed socioeconomic inequalities in child underweight similarly rose from 2.59% in 2003 to 9.33% in 2014. </w:t>
      </w:r>
    </w:p>
    <w:p w14:paraId="78F12C9D" w14:textId="703BB68C"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lastRenderedPageBreak/>
        <w:t xml:space="preserve">However, the mother’s level of education and socioeconomic status remained the most substantial contributors to the observed wealth-related inequalities in child underweight and stunting. In previous studies in which the contributions of the determinants of child malnutrition were explored and in particular relation to the nature, level, and quantity of their effect on the cumulative socioeconomic inequality, it was observed that the effect of socioeconomic status accounted for the most of the socioeconomic disparity in child stunting and child underweight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Elsewhere, the greater contribution of maternal education has been linked to the role that it plays in relation to making decisions related to health and the allocation of food-related resources within the home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10.18356/e8a4c9ed-en","ISSN":"15644278","author":[{"dropping-particle":"","family":"Matsumura","given":"Masaki","non-dropping-particle":"","parse-names":false,"suffix":""},{"dropping-particle":"","family":"Gubhaju","given":"Bina","non-dropping-particle":"","parse-names":false,"suffix":""}],"container-title":"Asia-Pacific Population Journal","id":"ITEM-2","issue":"1","issued":{"date-parts":[["2001"]]},"page":"23-44","title":"Women's status, household structure and the utilization of maternal health services in Nepal","type":"article-journal","volume":"16"},"uris":["http://www.mendeley.com/documents/?uuid=ecea28a4-df76-4de3-8144-dc8822929cb5"]}],"mendeley":{"formattedCitation":"[13,85]","plainTextFormattedCitation":"[13,85]","previouslyFormattedCitation":"[13,87]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[13,85]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57498748" w14:textId="6D55D4B5"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into these two localities might pose a problem following the heterogeneity associated with large cities and the unavailability of data to quantify these dissimilarities. DHS does not collect data on income and expenditure. </w:t>
      </w:r>
      <w:r w:rsidR="002832FF">
        <w:rPr>
          <w:rFonts w:ascii="Helvetica" w:eastAsia="MS Mincho" w:hAnsi="Helvetica" w:cs="Helvetica"/>
          <w:sz w:val="24"/>
          <w:szCs w:val="24"/>
          <w:lang w:val="en-GB"/>
        </w:rPr>
        <w:t>W</w:t>
      </w:r>
      <w:r w:rsidRPr="003C12F4">
        <w:rPr>
          <w:rFonts w:ascii="Helvetica" w:eastAsia="MS Mincho" w:hAnsi="Helvetica" w:cs="Helvetica"/>
          <w:sz w:val="24"/>
          <w:szCs w:val="24"/>
          <w:lang w:val="en-GB"/>
        </w:rPr>
        <w:t xml:space="preserve">e employed a wealth index as a proxy for socioeconomic status, a situation that might have impacted the influence of the variables </w:t>
      </w:r>
      <w:proofErr w:type="spellStart"/>
      <w:r w:rsidRPr="003C12F4">
        <w:rPr>
          <w:rFonts w:ascii="Helvetica" w:eastAsia="MS Mincho" w:hAnsi="Helvetica" w:cs="Helvetica"/>
          <w:sz w:val="24"/>
          <w:szCs w:val="24"/>
          <w:lang w:val="en-GB"/>
        </w:rPr>
        <w:t>analyzed</w:t>
      </w:r>
      <w:proofErr w:type="spellEnd"/>
      <w:r w:rsidRPr="003C12F4">
        <w:rPr>
          <w:rFonts w:ascii="Helvetica" w:eastAsia="MS Mincho" w:hAnsi="Helvetica" w:cs="Helvetica"/>
          <w:sz w:val="24"/>
          <w:szCs w:val="24"/>
          <w:lang w:val="en-GB"/>
        </w:rPr>
        <w:t xml:space="preserve"> on the outcome variables. In this study, we observed great sample size differences between the 2003 KDHS data and the 2014 KDHS data. Even though the surveys were weighted to reflect the population of Kenya, analyses of the trend and patterns </w:t>
      </w:r>
      <w:r w:rsidRPr="003C12F4">
        <w:rPr>
          <w:rFonts w:ascii="Helvetica" w:eastAsia="MS Mincho" w:hAnsi="Helvetica" w:cs="Helvetica"/>
          <w:sz w:val="24"/>
          <w:szCs w:val="24"/>
          <w:lang w:val="en-GB"/>
        </w:rPr>
        <w:lastRenderedPageBreak/>
        <w:t>of socioeconomic inequity may mirror the differences in the power of tests across the different survey years.</w:t>
      </w:r>
    </w:p>
    <w:p w14:paraId="3AD7C5ED"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Even though this study had quite </w:t>
      </w:r>
      <w:proofErr w:type="gramStart"/>
      <w:r w:rsidRPr="003C12F4">
        <w:rPr>
          <w:rFonts w:ascii="Helvetica" w:eastAsia="MS Mincho" w:hAnsi="Helvetica" w:cs="Helvetica"/>
          <w:sz w:val="24"/>
          <w:szCs w:val="24"/>
          <w:lang w:val="en-GB"/>
        </w:rPr>
        <w:t>a number of</w:t>
      </w:r>
      <w:proofErr w:type="gramEnd"/>
      <w:r w:rsidRPr="003C12F4">
        <w:rPr>
          <w:rFonts w:ascii="Helvetica" w:eastAsia="MS Mincho" w:hAnsi="Helvetica" w:cs="Helvetica"/>
          <w:sz w:val="24"/>
          <w:szCs w:val="24"/>
          <w:lang w:val="en-GB"/>
        </w:rPr>
        <w:t xml:space="preserve"> limitations, the findings presented bear a lot of merit and significance. The burden of child malnutrition shows a great deal of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14:paraId="02D0D6BD"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results from this investigation provide pivotal insights and implications towards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w:t>
      </w:r>
      <w:r w:rsidRPr="003C12F4">
        <w:rPr>
          <w:rFonts w:ascii="Helvetica" w:eastAsia="MS Mincho" w:hAnsi="Helvetica" w:cs="Helvetica"/>
          <w:sz w:val="24"/>
          <w:szCs w:val="24"/>
          <w:lang w:val="en-GB"/>
        </w:rPr>
        <w:lastRenderedPageBreak/>
        <w:t>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the agricultural sector to enhance food security and enhance equity.</w:t>
      </w:r>
    </w:p>
    <w:p w14:paraId="20CAC8A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Conclusion</w:t>
      </w:r>
    </w:p>
    <w:p w14:paraId="1E7FBCA2" w14:textId="1E30B46C" w:rsid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in children below the age of five years in Kenya shows a great deal of dissimilarities across various socioeconomic groups. </w:t>
      </w:r>
      <w:r w:rsidR="00636762" w:rsidRPr="00636762">
        <w:rPr>
          <w:rFonts w:ascii="Helvetica" w:hAnsi="Helvetica" w:cs="Helvetica"/>
          <w:sz w:val="24"/>
          <w:szCs w:val="24"/>
        </w:rPr>
        <w:t>As a result of this, understanding the nature of childhood malnutrition as well as the disparities that exist based on socioeconomic groups will play a crucial role in the design of strategies that target the individuals who are most affected by malnutrition</w:t>
      </w:r>
      <w:r w:rsidR="00E449B9">
        <w:rPr>
          <w:rFonts w:ascii="Helvetica" w:hAnsi="Helvetica" w:cs="Helvetica"/>
          <w:sz w:val="24"/>
          <w:szCs w:val="24"/>
        </w:rPr>
        <w:t xml:space="preserve"> and in </w:t>
      </w:r>
      <w:r w:rsidR="00636762" w:rsidRPr="00636762">
        <w:rPr>
          <w:rFonts w:ascii="Helvetica" w:hAnsi="Helvetica" w:cs="Helvetica"/>
          <w:sz w:val="24"/>
          <w:szCs w:val="24"/>
        </w:rPr>
        <w:t>keeping the existing disparities under check.</w:t>
      </w:r>
      <w:r w:rsidR="00636762">
        <w:rPr>
          <w:rFonts w:asciiTheme="majorHAnsi" w:hAnsiTheme="majorHAnsi" w:cstheme="majorHAnsi"/>
          <w:sz w:val="24"/>
          <w:szCs w:val="24"/>
        </w:rPr>
        <w:t xml:space="preserve"> </w:t>
      </w:r>
      <w:r w:rsidRPr="003C12F4">
        <w:rPr>
          <w:rFonts w:ascii="Helvetica" w:eastAsia="MS Mincho" w:hAnsi="Helvetica" w:cs="Helvetica"/>
          <w:sz w:val="24"/>
          <w:szCs w:val="24"/>
          <w:lang w:val="en-GB"/>
        </w:rPr>
        <w:t xml:space="preserve">Between 2003 and 2014, the socioeconomic disparities in under-five child malnutrition, characterized by child stunting, underweight, and wasting have substantially </w:t>
      </w:r>
      <w:r w:rsidRPr="003C12F4">
        <w:rPr>
          <w:rFonts w:ascii="Helvetica" w:eastAsia="MS Mincho" w:hAnsi="Helvetica" w:cs="Helvetica"/>
          <w:sz w:val="24"/>
          <w:szCs w:val="24"/>
          <w:lang w:val="en-GB"/>
        </w:rPr>
        <w:lastRenderedPageBreak/>
        <w:t xml:space="preserve">increased. This study has found that the inequalities between the rich and the poor are </w:t>
      </w:r>
      <w:proofErr w:type="spellStart"/>
      <w:r w:rsidRPr="003C12F4">
        <w:rPr>
          <w:rFonts w:ascii="Helvetica" w:eastAsia="MS Mincho" w:hAnsi="Helvetica" w:cs="Helvetica"/>
          <w:sz w:val="24"/>
          <w:szCs w:val="24"/>
          <w:lang w:val="en-GB"/>
        </w:rPr>
        <w:t>fueled</w:t>
      </w:r>
      <w:proofErr w:type="spellEnd"/>
      <w:r w:rsidRPr="003C12F4">
        <w:rPr>
          <w:rFonts w:ascii="Helvetica" w:eastAsia="MS Mincho" w:hAnsi="Helvetica" w:cs="Helvetica"/>
          <w:sz w:val="24"/>
          <w:szCs w:val="24"/>
          <w:lang w:val="en-GB"/>
        </w:rPr>
        <w:t xml:space="preserve"> by differences in endowments, a great proportion of which is held by the maternal level of education and the socioeconomic status of the household. </w:t>
      </w:r>
      <w:r w:rsidR="003E2880">
        <w:rPr>
          <w:rFonts w:ascii="Helvetica" w:eastAsia="MS Mincho" w:hAnsi="Helvetica" w:cs="Helvetica"/>
          <w:sz w:val="24"/>
          <w:szCs w:val="24"/>
          <w:lang w:val="en-GB"/>
        </w:rPr>
        <w:t>Despite</w:t>
      </w:r>
      <w:r w:rsidR="005E50CB">
        <w:rPr>
          <w:rFonts w:ascii="Helvetica" w:eastAsia="MS Mincho" w:hAnsi="Helvetica" w:cs="Helvetica"/>
          <w:sz w:val="24"/>
          <w:szCs w:val="24"/>
          <w:lang w:val="en-GB"/>
        </w:rPr>
        <w:t xml:space="preserve"> the economic growth that the country has experienced in the recent past, there is a disconnect between this growth and income distribution between social classes. </w:t>
      </w:r>
      <w:r w:rsidRPr="003C12F4">
        <w:rPr>
          <w:rFonts w:ascii="Helvetica" w:eastAsia="MS Mincho" w:hAnsi="Helvetica" w:cs="Helvetica"/>
          <w:sz w:val="24"/>
          <w:szCs w:val="24"/>
          <w:lang w:val="en-GB"/>
        </w:rPr>
        <w:t>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14:paraId="25744BCD"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References</w:t>
      </w:r>
    </w:p>
    <w:p w14:paraId="6910160C" w14:textId="3AC05ACA" w:rsidR="0083183F" w:rsidRPr="0083183F" w:rsidRDefault="003C12F4"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3C12F4">
        <w:rPr>
          <w:rFonts w:ascii="Helvetica" w:eastAsia="MS Mincho" w:hAnsi="Helvetica" w:cs="Helvetica"/>
          <w:b/>
          <w:sz w:val="24"/>
          <w:szCs w:val="24"/>
          <w:lang w:val="en-GB"/>
        </w:rPr>
        <w:fldChar w:fldCharType="begin" w:fldLock="1"/>
      </w:r>
      <w:r w:rsidRPr="003C12F4">
        <w:rPr>
          <w:rFonts w:ascii="Helvetica" w:eastAsia="MS Mincho" w:hAnsi="Helvetica" w:cs="Helvetica"/>
          <w:b/>
          <w:sz w:val="24"/>
          <w:szCs w:val="24"/>
          <w:lang w:val="en-GB"/>
        </w:rPr>
        <w:instrText xml:space="preserve">ADDIN Mendeley Bibliography CSL_BIBLIOGRAPHY </w:instrText>
      </w:r>
      <w:r w:rsidRPr="003C12F4">
        <w:rPr>
          <w:rFonts w:ascii="Helvetica" w:eastAsia="MS Mincho" w:hAnsi="Helvetica" w:cs="Helvetica"/>
          <w:b/>
          <w:sz w:val="24"/>
          <w:szCs w:val="24"/>
          <w:lang w:val="en-GB"/>
        </w:rPr>
        <w:fldChar w:fldCharType="separate"/>
      </w:r>
      <w:r w:rsidR="0083183F" w:rsidRPr="0083183F">
        <w:rPr>
          <w:rFonts w:ascii="Helvetica" w:hAnsi="Helvetica" w:cs="Helvetica"/>
          <w:noProof/>
          <w:sz w:val="24"/>
          <w:szCs w:val="24"/>
        </w:rPr>
        <w:t xml:space="preserve">1. </w:t>
      </w:r>
      <w:r w:rsidR="0083183F" w:rsidRPr="0083183F">
        <w:rPr>
          <w:rFonts w:ascii="Helvetica" w:hAnsi="Helvetica" w:cs="Helvetica"/>
          <w:noProof/>
          <w:sz w:val="24"/>
          <w:szCs w:val="24"/>
        </w:rPr>
        <w:tab/>
        <w:t>De Onis M, Blössner M, Borghi E. Prevalence and trends of stunting among pre-school children, 1990-2020. Public Health Nutr. 2012;15: 142–148. doi:10.1017/S1368980011001315</w:t>
      </w:r>
    </w:p>
    <w:p w14:paraId="292AC6F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 </w:t>
      </w:r>
      <w:r w:rsidRPr="0083183F">
        <w:rPr>
          <w:rFonts w:ascii="Helvetica" w:hAnsi="Helvetica" w:cs="Helvetica"/>
          <w:noProof/>
          <w:sz w:val="24"/>
          <w:szCs w:val="24"/>
        </w:rPr>
        <w:tab/>
        <w:t>Global Nutrition Report. The burden of malnutrition at a glance. In: Global Nutrition Report | Country Nutrition Profiles  [Internet]. 2021 [cited 12 Feb 2021]. Available: https://globalnutritionreport.org/resources/nutrition-profiles/asia/south-eastern-asia/indonesia/</w:t>
      </w:r>
    </w:p>
    <w:p w14:paraId="691FCE3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 </w:t>
      </w:r>
      <w:r w:rsidRPr="0083183F">
        <w:rPr>
          <w:rFonts w:ascii="Helvetica" w:hAnsi="Helvetica" w:cs="Helvetica"/>
          <w:noProof/>
          <w:sz w:val="24"/>
          <w:szCs w:val="24"/>
        </w:rPr>
        <w:tab/>
        <w:t xml:space="preserve">The United Nations Children’s Fund. Malnutrition in Children: Current </w:t>
      </w:r>
      <w:r w:rsidRPr="0083183F">
        <w:rPr>
          <w:rFonts w:ascii="Helvetica" w:hAnsi="Helvetica" w:cs="Helvetica"/>
          <w:noProof/>
          <w:sz w:val="24"/>
          <w:szCs w:val="24"/>
        </w:rPr>
        <w:lastRenderedPageBreak/>
        <w:t>Status and Progress. In: Malnutrition [Internet]. 2020 [cited 12 Feb 2021]. Available: https://data.unicef.org/topic/nutrition/malnutrition/</w:t>
      </w:r>
    </w:p>
    <w:p w14:paraId="04360D3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 </w:t>
      </w:r>
      <w:r w:rsidRPr="0083183F">
        <w:rPr>
          <w:rFonts w:ascii="Helvetica" w:hAnsi="Helvetica" w:cs="Helvetica"/>
          <w:noProof/>
          <w:sz w:val="24"/>
          <w:szCs w:val="24"/>
        </w:rPr>
        <w:tab/>
        <w:t>Demissie S. Magnitude and Factors Associated with Malnutrition in Children 6-59 Months of Age in Pastoral Community of Dollo Ado District, Somali Region, Ethiopia. Sci J Public Heal. 2013;1: 175. doi:10.11648/j.sjph.20130104.12</w:t>
      </w:r>
    </w:p>
    <w:p w14:paraId="28A4A6A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 </w:t>
      </w:r>
      <w:r w:rsidRPr="0083183F">
        <w:rPr>
          <w:rFonts w:ascii="Helvetica" w:hAnsi="Helvetica" w:cs="Helvetica"/>
          <w:noProof/>
          <w:sz w:val="24"/>
          <w:szCs w:val="24"/>
        </w:rPr>
        <w:tab/>
        <w:t>De Vita MV, Scolfaro C, Santini B, Lezo A, Gobbi F, Buonfrate D, et al. Malnutrition, morbidity and infection in the informal settlements of Nairobi, Kenya: An epidemiological study. Ital J Pediatr. 2019;45. doi:10.1186/s13052-019-0607-0</w:t>
      </w:r>
    </w:p>
    <w:p w14:paraId="4F9B3C8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 </w:t>
      </w:r>
      <w:r w:rsidRPr="0083183F">
        <w:rPr>
          <w:rFonts w:ascii="Helvetica" w:hAnsi="Helvetica" w:cs="Helvetica"/>
          <w:noProof/>
          <w:sz w:val="24"/>
          <w:szCs w:val="24"/>
        </w:rPr>
        <w:tab/>
        <w:t>USAID. Kenya: Nutrition Profile. In: Kenya Nutrition Profile [Internet]. 2018 [cited 12 Feb 2021] pp. 1–6. Available: https://www.usaid.gov/sites/default/files/documents/1864/Kenya-Nutrition-Profile-Mar2018-508.pdf</w:t>
      </w:r>
    </w:p>
    <w:p w14:paraId="116EB0D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 </w:t>
      </w:r>
      <w:r w:rsidRPr="0083183F">
        <w:rPr>
          <w:rFonts w:ascii="Helvetica" w:hAnsi="Helvetica" w:cs="Helvetica"/>
          <w:noProof/>
          <w:sz w:val="24"/>
          <w:szCs w:val="24"/>
        </w:rPr>
        <w:tab/>
        <w:t>USAID. Country Profile Kenya | Feed the Future. In: USAID-Feed the Future [Internet]. 2017 [cited 12 Feb 2021]. Available: https://www.feedthefuture.gov/country/kenya/</w:t>
      </w:r>
    </w:p>
    <w:p w14:paraId="5E81C8E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 </w:t>
      </w:r>
      <w:r w:rsidRPr="0083183F">
        <w:rPr>
          <w:rFonts w:ascii="Helvetica" w:hAnsi="Helvetica" w:cs="Helvetica"/>
          <w:noProof/>
          <w:sz w:val="24"/>
          <w:szCs w:val="24"/>
        </w:rPr>
        <w:tab/>
        <w:t xml:space="preserve">Stratton R, Green C, Elia M. Disease-related malnutrition: an evidence-based approach to treatment. London: CABI; 2003. </w:t>
      </w:r>
    </w:p>
    <w:p w14:paraId="3404CEE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9. </w:t>
      </w:r>
      <w:r w:rsidRPr="0083183F">
        <w:rPr>
          <w:rFonts w:ascii="Helvetica" w:hAnsi="Helvetica" w:cs="Helvetica"/>
          <w:noProof/>
          <w:sz w:val="24"/>
          <w:szCs w:val="24"/>
        </w:rPr>
        <w:tab/>
        <w:t>Saghir Ahmad KY. Malnutrition: Causes and Strategies. J Food Process Technol. 2015;06. doi:10.4172/2157-7110.1000434</w:t>
      </w:r>
    </w:p>
    <w:p w14:paraId="378292B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10. </w:t>
      </w:r>
      <w:r w:rsidRPr="0083183F">
        <w:rPr>
          <w:rFonts w:ascii="Helvetica" w:hAnsi="Helvetica" w:cs="Helvetica"/>
          <w:noProof/>
          <w:sz w:val="24"/>
          <w:szCs w:val="24"/>
        </w:rPr>
        <w:tab/>
        <w:t>Chapman IM. Weight Loss in Older Persons. Medical Clinics of North America. 2011. pp. 579–593. doi:10.1016/j.mcna.2011.02.004</w:t>
      </w:r>
    </w:p>
    <w:p w14:paraId="2742662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11. </w:t>
      </w:r>
      <w:r w:rsidRPr="0083183F">
        <w:rPr>
          <w:rFonts w:ascii="Helvetica" w:hAnsi="Helvetica" w:cs="Helvetica"/>
          <w:noProof/>
          <w:sz w:val="24"/>
          <w:szCs w:val="24"/>
        </w:rPr>
        <w:tab/>
        <w:t>Thomas DR. Loss of skeletal muscle mass in aging: Examining the relationship of starvation, sarcopenia and cachexia. Clinical Nutrition. 2007. pp. 389–399. doi:10.1016/j.clnu.2007.03.008</w:t>
      </w:r>
    </w:p>
    <w:p w14:paraId="39565F9B"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12. </w:t>
      </w:r>
      <w:r w:rsidRPr="0083183F">
        <w:rPr>
          <w:rFonts w:ascii="Helvetica" w:hAnsi="Helvetica" w:cs="Helvetica"/>
          <w:noProof/>
          <w:sz w:val="24"/>
          <w:szCs w:val="24"/>
        </w:rPr>
        <w:tab/>
        <w:t>Akombi BJ, Agho KE, Merom D, Hall JJ, Renzaho AM. Multilevel analysis of factors associated with wasting and underweight among children under-five years in Nigeria. Nutrients. 2017;9. doi:10.3390/nu9010044</w:t>
      </w:r>
    </w:p>
    <w:p w14:paraId="419E8AE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13. </w:t>
      </w:r>
      <w:r w:rsidRPr="0083183F">
        <w:rPr>
          <w:rFonts w:ascii="Helvetica" w:hAnsi="Helvetica" w:cs="Helvetica"/>
          <w:noProof/>
          <w:sz w:val="24"/>
          <w:szCs w:val="24"/>
        </w:rPr>
        <w:tab/>
        <w:t>Akombi BJ, Agho KE, Renzaho AM, Hall JJ, Merom DR. Trends in socioeconomic inequalities in child undernutrition: Evidence from Nigeria demographic and health survey (2003 – 2013). PLoS One. 2019;14. doi:10.1371/journal.pone.0211883</w:t>
      </w:r>
    </w:p>
    <w:p w14:paraId="7A44D38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14. </w:t>
      </w:r>
      <w:r w:rsidRPr="0083183F">
        <w:rPr>
          <w:rFonts w:ascii="Helvetica" w:hAnsi="Helvetica" w:cs="Helvetica"/>
          <w:noProof/>
          <w:sz w:val="24"/>
          <w:szCs w:val="24"/>
        </w:rPr>
        <w:tab/>
        <w:t>Gudu E, Obonyo M, Omballa V, Oyugi E, Kiilu C, Githuku J, et al. Factors associated with malnutrition in children &lt; 5 years in western Kenya: a hospital-based unmatched case control study. BMC Nutr. 2020;6. doi:10.1186/s40795-020-00357-4</w:t>
      </w:r>
    </w:p>
    <w:p w14:paraId="3D74DB8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15. </w:t>
      </w:r>
      <w:r w:rsidRPr="0083183F">
        <w:rPr>
          <w:rFonts w:ascii="Helvetica" w:hAnsi="Helvetica" w:cs="Helvetica"/>
          <w:noProof/>
          <w:sz w:val="24"/>
          <w:szCs w:val="24"/>
        </w:rPr>
        <w:tab/>
        <w:t>Kien VD, Lee HY, Nam YS, Oh J, Giang KB, Van Minh H. Trends in socioeconomic inequalities in child malnutrition in Vietnam: Findings from the Multiple Indicator Cluster Surveys, 2000-2011. Glob Health Action. 2016;9. doi:10.3402/gha.v9.29263</w:t>
      </w:r>
    </w:p>
    <w:p w14:paraId="4716CE7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16. </w:t>
      </w:r>
      <w:r w:rsidRPr="0083183F">
        <w:rPr>
          <w:rFonts w:ascii="Helvetica" w:hAnsi="Helvetica" w:cs="Helvetica"/>
          <w:noProof/>
          <w:sz w:val="24"/>
          <w:szCs w:val="24"/>
        </w:rPr>
        <w:tab/>
        <w:t>Poda GG, Hsu CY, Chao JCJ. Factors associated with malnutrition among children &lt;5 years old in Burkina Faso: Evidence from the Demographic and Health Surveys IV 2010. Int J Qual Heal Care. 2017;29: 901–908. doi:10.1093/intqhc/mzx129</w:t>
      </w:r>
    </w:p>
    <w:p w14:paraId="50FA9D5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17. </w:t>
      </w:r>
      <w:r w:rsidRPr="0083183F">
        <w:rPr>
          <w:rFonts w:ascii="Helvetica" w:hAnsi="Helvetica" w:cs="Helvetica"/>
          <w:noProof/>
          <w:sz w:val="24"/>
          <w:szCs w:val="24"/>
        </w:rPr>
        <w:tab/>
        <w:t>Jonah CMP, Sambu WC, May JD. A comparative analysis of socioeconomic inequities in stunting: A case of three middle-income African countries. Arch Public Heal. 2018;76. doi:10.1186/s13690-018-0320-2</w:t>
      </w:r>
    </w:p>
    <w:p w14:paraId="3972053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18. </w:t>
      </w:r>
      <w:r w:rsidRPr="0083183F">
        <w:rPr>
          <w:rFonts w:ascii="Helvetica" w:hAnsi="Helvetica" w:cs="Helvetica"/>
          <w:noProof/>
          <w:sz w:val="24"/>
          <w:szCs w:val="24"/>
        </w:rPr>
        <w:tab/>
        <w:t>De Onis M, Branca F. Childhood stunting: A global perspective. Matern Child Nutr. 2016;12: 12–26. doi:10.1111/mcn.12231</w:t>
      </w:r>
    </w:p>
    <w:p w14:paraId="663EF22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19. </w:t>
      </w:r>
      <w:r w:rsidRPr="0083183F">
        <w:rPr>
          <w:rFonts w:ascii="Helvetica" w:hAnsi="Helvetica" w:cs="Helvetica"/>
          <w:noProof/>
          <w:sz w:val="24"/>
          <w:szCs w:val="24"/>
        </w:rPr>
        <w:tab/>
        <w:t>Black RE, Allen LH, Bhutta ZA, Caulfield LE, de Onis M, Ezzati M, et al. Maternal and child undernutrition: global and regional exposures and health consequences. The Lancet. 2008. doi:10.1016/S0140-6736(07)61690-0</w:t>
      </w:r>
    </w:p>
    <w:p w14:paraId="17DDE1C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20. </w:t>
      </w:r>
      <w:r w:rsidRPr="0083183F">
        <w:rPr>
          <w:rFonts w:ascii="Helvetica" w:hAnsi="Helvetica" w:cs="Helvetica"/>
          <w:noProof/>
          <w:sz w:val="24"/>
          <w:szCs w:val="24"/>
        </w:rPr>
        <w:tab/>
        <w:t>Victora CG, Adair L, Fall C, Hallal PC, Martorell R, Richter L, et al. Maternal and child undernutrition: consequences for adult health and human capital. The Lancet. 2008. doi:10.1016/S0140-6736(07)61692-4</w:t>
      </w:r>
    </w:p>
    <w:p w14:paraId="362C181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21. </w:t>
      </w:r>
      <w:r w:rsidRPr="0083183F">
        <w:rPr>
          <w:rFonts w:ascii="Helvetica" w:hAnsi="Helvetica" w:cs="Helvetica"/>
          <w:noProof/>
          <w:sz w:val="24"/>
          <w:szCs w:val="24"/>
        </w:rPr>
        <w:tab/>
        <w:t>Angdembe MR, Dulal BP, Bhattarai K, Karn S. Trends and predictors of inequality in childhood stunting in Nepal from 1996 to 2016. Int J Equity Health. 2019;18. doi:10.1186/s12939-019-0944-z</w:t>
      </w:r>
    </w:p>
    <w:p w14:paraId="54A5010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22. </w:t>
      </w:r>
      <w:r w:rsidRPr="0083183F">
        <w:rPr>
          <w:rFonts w:ascii="Helvetica" w:hAnsi="Helvetica" w:cs="Helvetica"/>
          <w:noProof/>
          <w:sz w:val="24"/>
          <w:szCs w:val="24"/>
        </w:rPr>
        <w:tab/>
        <w:t xml:space="preserve">Devkota MD, Adhikari RK, Upreti SR. Stunting in Nepal: Looking back, </w:t>
      </w:r>
      <w:r w:rsidRPr="0083183F">
        <w:rPr>
          <w:rFonts w:ascii="Helvetica" w:hAnsi="Helvetica" w:cs="Helvetica"/>
          <w:noProof/>
          <w:sz w:val="24"/>
          <w:szCs w:val="24"/>
        </w:rPr>
        <w:lastRenderedPageBreak/>
        <w:t>looking ahead. Maternal and Child Nutrition. 2016. pp. 257–259. doi:10.1111/mcn.12286</w:t>
      </w:r>
    </w:p>
    <w:p w14:paraId="59260944"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23. </w:t>
      </w:r>
      <w:r w:rsidRPr="0083183F">
        <w:rPr>
          <w:rFonts w:ascii="Helvetica" w:hAnsi="Helvetica" w:cs="Helvetica"/>
          <w:noProof/>
          <w:sz w:val="24"/>
          <w:szCs w:val="24"/>
        </w:rPr>
        <w:tab/>
        <w:t>Hoddinott J, Alderman H, Behrman JR, Haddad L, Horton S. The economic rationale for investing in stunting reduction. Matern Child Nutr. 2013;9: 69–82. doi:10.1111/mcn.12080</w:t>
      </w:r>
    </w:p>
    <w:p w14:paraId="233E62B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24. </w:t>
      </w:r>
      <w:r w:rsidRPr="0083183F">
        <w:rPr>
          <w:rFonts w:ascii="Helvetica" w:hAnsi="Helvetica" w:cs="Helvetica"/>
          <w:noProof/>
          <w:sz w:val="24"/>
          <w:szCs w:val="24"/>
        </w:rPr>
        <w:tab/>
        <w:t>World Health Organization (WHO). Nutrition Landscape Information System (‎‎NLIS)‎‎ country profile indicators: interpretation guide. Geneva; 2019. Available: https://www.who.int/publications/i/item/9789241516952</w:t>
      </w:r>
    </w:p>
    <w:p w14:paraId="2B5E381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25. </w:t>
      </w:r>
      <w:r w:rsidRPr="0083183F">
        <w:rPr>
          <w:rFonts w:ascii="Helvetica" w:hAnsi="Helvetica" w:cs="Helvetica"/>
          <w:noProof/>
          <w:sz w:val="24"/>
          <w:szCs w:val="24"/>
        </w:rPr>
        <w:tab/>
        <w:t>Zere E, McIntyre D. Inequities in under-five child malnutrition in South Africa. Int J Equity Health. 2003;2. doi:10.1186/1475-9276-2-7</w:t>
      </w:r>
    </w:p>
    <w:p w14:paraId="5899840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26. </w:t>
      </w:r>
      <w:r w:rsidRPr="0083183F">
        <w:rPr>
          <w:rFonts w:ascii="Helvetica" w:hAnsi="Helvetica" w:cs="Helvetica"/>
          <w:noProof/>
          <w:sz w:val="24"/>
          <w:szCs w:val="24"/>
        </w:rPr>
        <w:tab/>
        <w:t>United Nations Childrens Fund (UNICEF). Strategy for improved nutrition of children and women in developing countries. New York; 1990. Available: https://digitallibrary.un.org/record/132779?ln=en</w:t>
      </w:r>
    </w:p>
    <w:p w14:paraId="146A953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27. </w:t>
      </w:r>
      <w:r w:rsidRPr="0083183F">
        <w:rPr>
          <w:rFonts w:ascii="Helvetica" w:hAnsi="Helvetica" w:cs="Helvetica"/>
          <w:noProof/>
          <w:sz w:val="24"/>
          <w:szCs w:val="24"/>
        </w:rPr>
        <w:tab/>
        <w:t>Bhadoria A, Sahoo K, Sahoo B, Choudhury A, Sufi N, Kumar R. Childhood obesity: Causes and consequences. J Fam Med Prim Care. 2015;4: 187. doi:10.4103/2249-4863.154628</w:t>
      </w:r>
    </w:p>
    <w:p w14:paraId="57EB8AA4"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28. </w:t>
      </w:r>
      <w:r w:rsidRPr="0083183F">
        <w:rPr>
          <w:rFonts w:ascii="Helvetica" w:hAnsi="Helvetica" w:cs="Helvetica"/>
          <w:noProof/>
          <w:sz w:val="24"/>
          <w:szCs w:val="24"/>
        </w:rPr>
        <w:tab/>
        <w:t xml:space="preserve">von Grebmer K, Saltzman A, Birol E, Wiesmann D, Prasai N, Yin S, et al. Synopsis of 2014 Global hunger index: The challenge of hidden hunger: Issue briefs. 2014. </w:t>
      </w:r>
    </w:p>
    <w:p w14:paraId="023294B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29. </w:t>
      </w:r>
      <w:r w:rsidRPr="0083183F">
        <w:rPr>
          <w:rFonts w:ascii="Helvetica" w:hAnsi="Helvetica" w:cs="Helvetica"/>
          <w:noProof/>
          <w:sz w:val="24"/>
          <w:szCs w:val="24"/>
        </w:rPr>
        <w:tab/>
        <w:t xml:space="preserve">Kar BR, Rao SL, Chandramouli BA. Cognitive development in children with chronic protein energy malnutrition. Behav Brain Funct. 2008;4. </w:t>
      </w:r>
      <w:r w:rsidRPr="0083183F">
        <w:rPr>
          <w:rFonts w:ascii="Helvetica" w:hAnsi="Helvetica" w:cs="Helvetica"/>
          <w:noProof/>
          <w:sz w:val="24"/>
          <w:szCs w:val="24"/>
        </w:rPr>
        <w:lastRenderedPageBreak/>
        <w:t>doi:10.1186/1744-9081-4-31</w:t>
      </w:r>
    </w:p>
    <w:p w14:paraId="6980E45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30. </w:t>
      </w:r>
      <w:r w:rsidRPr="0083183F">
        <w:rPr>
          <w:rFonts w:ascii="Helvetica" w:hAnsi="Helvetica" w:cs="Helvetica"/>
          <w:noProof/>
          <w:sz w:val="24"/>
          <w:szCs w:val="24"/>
        </w:rPr>
        <w:tab/>
        <w:t>Mendez MA, Adair LS. Severity and timing of stunting in the first two years of life affect performance on cognitive tests in late childhood. J Nutr. 1999;129: 1555–1562. doi:10.1093/jn/129.8.1555</w:t>
      </w:r>
    </w:p>
    <w:p w14:paraId="10C5852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31. </w:t>
      </w:r>
      <w:r w:rsidRPr="0083183F">
        <w:rPr>
          <w:rFonts w:ascii="Helvetica" w:hAnsi="Helvetica" w:cs="Helvetica"/>
          <w:noProof/>
          <w:sz w:val="24"/>
          <w:szCs w:val="24"/>
        </w:rPr>
        <w:tab/>
        <w:t>Heckman JJ. The economics, technology, and neuroscience of human capability formation. Proc Natl Acad Sci U S A. 2007;104: 13250–13255. doi:10.1073/pnas.0701362104</w:t>
      </w:r>
    </w:p>
    <w:p w14:paraId="0490F61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32. </w:t>
      </w:r>
      <w:r w:rsidRPr="0083183F">
        <w:rPr>
          <w:rFonts w:ascii="Helvetica" w:hAnsi="Helvetica" w:cs="Helvetica"/>
          <w:noProof/>
          <w:sz w:val="24"/>
          <w:szCs w:val="24"/>
        </w:rPr>
        <w:tab/>
        <w:t>Hoddinott J, Maluccio JA, Behrman JR, Flores R, Martorell R. Effect of a nutrition intervention during early childhood on economic productivity in Guatemalan adults. Lancet. 2008;371: 411–416. doi:10.1016/S0140-6736(08)60205-6</w:t>
      </w:r>
    </w:p>
    <w:p w14:paraId="483DA58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33. </w:t>
      </w:r>
      <w:r w:rsidRPr="0083183F">
        <w:rPr>
          <w:rFonts w:ascii="Helvetica" w:hAnsi="Helvetica" w:cs="Helvetica"/>
          <w:noProof/>
          <w:sz w:val="24"/>
          <w:szCs w:val="24"/>
        </w:rPr>
        <w:tab/>
        <w:t>Perignon M, Fiorentino M, Kuong K, Burja K, Parker M, Sisokhom S, et al. Stunting, poor iron status and parasite infection are significant risk factors for lower cognitive performance in Cambodian school-aged children. PLoS One. 2014;9. doi:10.1371/journal.pone.0112605</w:t>
      </w:r>
    </w:p>
    <w:p w14:paraId="0004D9D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34. </w:t>
      </w:r>
      <w:r w:rsidRPr="0083183F">
        <w:rPr>
          <w:rFonts w:ascii="Helvetica" w:hAnsi="Helvetica" w:cs="Helvetica"/>
          <w:noProof/>
          <w:sz w:val="24"/>
          <w:szCs w:val="24"/>
        </w:rPr>
        <w:tab/>
        <w:t>Walker SP, Chang SM, Wright A, Osmond C, Grantham-McGregor SM. Early childhood stunting is associated with lower developmental levels in the subsequent generation of children. J Nutr. 2015;145: 823–828. doi:10.3945/jn.114.200261</w:t>
      </w:r>
    </w:p>
    <w:p w14:paraId="552672E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35. </w:t>
      </w:r>
      <w:r w:rsidRPr="0083183F">
        <w:rPr>
          <w:rFonts w:ascii="Helvetica" w:hAnsi="Helvetica" w:cs="Helvetica"/>
          <w:noProof/>
          <w:sz w:val="24"/>
          <w:szCs w:val="24"/>
        </w:rPr>
        <w:tab/>
        <w:t xml:space="preserve">Walker SP, Chang SM, Powell CA, Simonoff E, Grantham-McGregor SM. Early childhood stunting is associated with poor psychological </w:t>
      </w:r>
      <w:r w:rsidRPr="0083183F">
        <w:rPr>
          <w:rFonts w:ascii="Helvetica" w:hAnsi="Helvetica" w:cs="Helvetica"/>
          <w:noProof/>
          <w:sz w:val="24"/>
          <w:szCs w:val="24"/>
        </w:rPr>
        <w:lastRenderedPageBreak/>
        <w:t>functioning in late adolescence and effects are reduced by psychosocial stimulation. J Nutr. 2007;137: 2464–2469. doi:10.1093/jn/137.11.2464</w:t>
      </w:r>
    </w:p>
    <w:p w14:paraId="3F13320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36. </w:t>
      </w:r>
      <w:r w:rsidRPr="0083183F">
        <w:rPr>
          <w:rFonts w:ascii="Helvetica" w:hAnsi="Helvetica" w:cs="Helvetica"/>
          <w:noProof/>
          <w:sz w:val="24"/>
          <w:szCs w:val="24"/>
        </w:rPr>
        <w:tab/>
        <w:t>Rabbani A, Khan A, Yusuf S, Adams A. Trends and determinants of inequities in childhood stunting in Bangladesh from 1996/7 to 2014. Int J Equity Health. 2016;15. doi:10.1186/s12939-016-0477-7</w:t>
      </w:r>
    </w:p>
    <w:p w14:paraId="5E72448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37. </w:t>
      </w:r>
      <w:r w:rsidRPr="0083183F">
        <w:rPr>
          <w:rFonts w:ascii="Helvetica" w:hAnsi="Helvetica" w:cs="Helvetica"/>
          <w:noProof/>
          <w:sz w:val="24"/>
          <w:szCs w:val="24"/>
        </w:rPr>
        <w:tab/>
        <w:t>Bloom DE, Canning D, Sevilla J. The effect of health on economic growth: A production function approach. World Dev. 2004;32: 1–13. doi:10.1016/j.worlddev.2003.07.002</w:t>
      </w:r>
    </w:p>
    <w:p w14:paraId="60BAD12B"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38. </w:t>
      </w:r>
      <w:r w:rsidRPr="0083183F">
        <w:rPr>
          <w:rFonts w:ascii="Helvetica" w:hAnsi="Helvetica" w:cs="Helvetica"/>
          <w:noProof/>
          <w:sz w:val="24"/>
          <w:szCs w:val="24"/>
        </w:rPr>
        <w:tab/>
        <w:t>Ranis G, Stewart F, Ramirez A. Economic growth and human development. World Dev. 2000;28: 197–219. doi:10.1016/S0305-750X(99)00131-X</w:t>
      </w:r>
    </w:p>
    <w:p w14:paraId="79F7435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39. </w:t>
      </w:r>
      <w:r w:rsidRPr="0083183F">
        <w:rPr>
          <w:rFonts w:ascii="Helvetica" w:hAnsi="Helvetica" w:cs="Helvetica"/>
          <w:noProof/>
          <w:sz w:val="24"/>
          <w:szCs w:val="24"/>
        </w:rPr>
        <w:tab/>
        <w:t>Kanbur R, Sumner A. Poor countries or poor people? Development assistance and the new geography of global poverty. J Int Dev. 2012;24: 686–695. doi:10.1002/jid.2861</w:t>
      </w:r>
    </w:p>
    <w:p w14:paraId="1DDEA5C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40. </w:t>
      </w:r>
      <w:r w:rsidRPr="0083183F">
        <w:rPr>
          <w:rFonts w:ascii="Helvetica" w:hAnsi="Helvetica" w:cs="Helvetica"/>
          <w:noProof/>
          <w:sz w:val="24"/>
          <w:szCs w:val="24"/>
        </w:rPr>
        <w:tab/>
        <w:t>Ettner SL. New evidence on the relationship between income and health. J Health Econ. 1996;15: 67–85. doi:10.1016/0167-6296(95)00032-1</w:t>
      </w:r>
    </w:p>
    <w:p w14:paraId="018AF9B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41. </w:t>
      </w:r>
      <w:r w:rsidRPr="0083183F">
        <w:rPr>
          <w:rFonts w:ascii="Helvetica" w:hAnsi="Helvetica" w:cs="Helvetica"/>
          <w:noProof/>
          <w:sz w:val="24"/>
          <w:szCs w:val="24"/>
        </w:rPr>
        <w:tab/>
        <w:t>Marmot M. The influence of income on health: Views of an epidemiologist. Health Aff. 2002;21: 31–46. doi:10.1377/hlthaff.21.2.31</w:t>
      </w:r>
    </w:p>
    <w:p w14:paraId="4B9BD32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42. </w:t>
      </w:r>
      <w:r w:rsidRPr="0083183F">
        <w:rPr>
          <w:rFonts w:ascii="Helvetica" w:hAnsi="Helvetica" w:cs="Helvetica"/>
          <w:noProof/>
          <w:sz w:val="24"/>
          <w:szCs w:val="24"/>
        </w:rPr>
        <w:tab/>
        <w:t xml:space="preserve">Haddad L, Achadi E, Bendech MA, Ahuja A, Bhatia K, Bhutta Z, et al. The global nutrition report 2014: Actions and accountability to </w:t>
      </w:r>
      <w:r w:rsidRPr="0083183F">
        <w:rPr>
          <w:rFonts w:ascii="Helvetica" w:hAnsi="Helvetica" w:cs="Helvetica"/>
          <w:noProof/>
          <w:sz w:val="24"/>
          <w:szCs w:val="24"/>
        </w:rPr>
        <w:lastRenderedPageBreak/>
        <w:t>accelerate the world’s progress on nutrition. J Nutr. 2015;145: 663–671. doi:10.3945/jn.114.206078</w:t>
      </w:r>
    </w:p>
    <w:p w14:paraId="3401476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43. </w:t>
      </w:r>
      <w:r w:rsidRPr="0083183F">
        <w:rPr>
          <w:rFonts w:ascii="Helvetica" w:hAnsi="Helvetica" w:cs="Helvetica"/>
          <w:noProof/>
          <w:sz w:val="24"/>
          <w:szCs w:val="24"/>
        </w:rPr>
        <w:tab/>
        <w:t>Baye K, Laillou A, Chitweke S. Socio-economic inequalities in child stunting reduction in sub-Saharan Africa. Nutrients. 2020;12. doi:10.3390/nu12010253</w:t>
      </w:r>
    </w:p>
    <w:p w14:paraId="301E235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44. </w:t>
      </w:r>
      <w:r w:rsidRPr="0083183F">
        <w:rPr>
          <w:rFonts w:ascii="Helvetica" w:hAnsi="Helvetica" w:cs="Helvetica"/>
          <w:noProof/>
          <w:sz w:val="24"/>
          <w:szCs w:val="24"/>
        </w:rPr>
        <w:tab/>
        <w:t>Garcia V. Children Malnutrition and Horizontal Inequalities in Sub-Saharan Africa : A Focus on Contrasting Domestic Trajectories. undp.org. 2012. Available: https://www.undp.org/content/dam/rba/docs/Working Papers/Child Malnutrition and Inequality.pdf</w:t>
      </w:r>
    </w:p>
    <w:p w14:paraId="0F3EE5C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45. </w:t>
      </w:r>
      <w:r w:rsidRPr="0083183F">
        <w:rPr>
          <w:rFonts w:ascii="Helvetica" w:hAnsi="Helvetica" w:cs="Helvetica"/>
          <w:noProof/>
          <w:sz w:val="24"/>
          <w:szCs w:val="24"/>
        </w:rPr>
        <w:tab/>
        <w:t>Reinbold GW. Economic inequality and child stunting in Bangladesh and Kenya: An investigation of six hypotheses. Popul Dev Rev. 2011;37: 691–719. doi:10.1111/j.1728-4457.2011.00453.x</w:t>
      </w:r>
    </w:p>
    <w:p w14:paraId="7B00B71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46. </w:t>
      </w:r>
      <w:r w:rsidRPr="0083183F">
        <w:rPr>
          <w:rFonts w:ascii="Helvetica" w:hAnsi="Helvetica" w:cs="Helvetica"/>
          <w:noProof/>
          <w:sz w:val="24"/>
          <w:szCs w:val="24"/>
        </w:rPr>
        <w:tab/>
        <w:t>Headey D, Hoddinott J, Ali D, Tesfaye R, Dereje M. The Other Asian Enigma: Explaining the Rapid Reduction of Undernutrition in Bangladesh. World Dev. 2015;66: 749–761. doi:10.1016/j.worlddev.2014.09.022</w:t>
      </w:r>
    </w:p>
    <w:p w14:paraId="657DAE7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47. </w:t>
      </w:r>
      <w:r w:rsidRPr="0083183F">
        <w:rPr>
          <w:rFonts w:ascii="Helvetica" w:hAnsi="Helvetica" w:cs="Helvetica"/>
          <w:noProof/>
          <w:sz w:val="24"/>
          <w:szCs w:val="24"/>
        </w:rPr>
        <w:tab/>
        <w:t>Heltberg R. Malnutrition, poverty, and economic growth. Health Econ. 2009;18. doi:10.1002/hec.1462</w:t>
      </w:r>
    </w:p>
    <w:p w14:paraId="219C2BC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48. </w:t>
      </w:r>
      <w:r w:rsidRPr="0083183F">
        <w:rPr>
          <w:rFonts w:ascii="Helvetica" w:hAnsi="Helvetica" w:cs="Helvetica"/>
          <w:noProof/>
          <w:sz w:val="24"/>
          <w:szCs w:val="24"/>
        </w:rPr>
        <w:tab/>
        <w:t xml:space="preserve">Walker SP, Wachs TD, Grantham-Mcgregor S, Black MM, Nelson CA, Huffman SL, et al. Inequality in early childhood: Risk and protective </w:t>
      </w:r>
      <w:r w:rsidRPr="0083183F">
        <w:rPr>
          <w:rFonts w:ascii="Helvetica" w:hAnsi="Helvetica" w:cs="Helvetica"/>
          <w:noProof/>
          <w:sz w:val="24"/>
          <w:szCs w:val="24"/>
        </w:rPr>
        <w:lastRenderedPageBreak/>
        <w:t>factors for early child development. The Lancet. 2011. pp. 1325–1338. doi:10.1016/S0140-6736(11)60555-2</w:t>
      </w:r>
    </w:p>
    <w:p w14:paraId="7F47815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49. </w:t>
      </w:r>
      <w:r w:rsidRPr="0083183F">
        <w:rPr>
          <w:rFonts w:ascii="Helvetica" w:hAnsi="Helvetica" w:cs="Helvetica"/>
          <w:noProof/>
          <w:sz w:val="24"/>
          <w:szCs w:val="24"/>
        </w:rPr>
        <w:tab/>
        <w:t>Filmer D, Pritchett LH. Estimating wealth effects without expenditure data—or tears: An application to educational enrollments in states of India. Demography. 2001;38: 115–132. doi:10.1353/dem.2001.0003</w:t>
      </w:r>
    </w:p>
    <w:p w14:paraId="753A254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50. </w:t>
      </w:r>
      <w:r w:rsidRPr="0083183F">
        <w:rPr>
          <w:rFonts w:ascii="Helvetica" w:hAnsi="Helvetica" w:cs="Helvetica"/>
          <w:noProof/>
          <w:sz w:val="24"/>
          <w:szCs w:val="24"/>
        </w:rPr>
        <w:tab/>
        <w:t>Jolliffe IT. Principal Component Analysis, Second Edition. Encycl Stat Behav Sci. 2002;30: 487. doi:10.2307/1270093</w:t>
      </w:r>
    </w:p>
    <w:p w14:paraId="52B5B916"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51. </w:t>
      </w:r>
      <w:r w:rsidRPr="0083183F">
        <w:rPr>
          <w:rFonts w:ascii="Helvetica" w:hAnsi="Helvetica" w:cs="Helvetica"/>
          <w:noProof/>
          <w:sz w:val="24"/>
          <w:szCs w:val="24"/>
        </w:rPr>
        <w:tab/>
        <w:t>Hjelm L, Mathiassen A, Miller D, Wadhwa A. Fighting Hunger Worldwide : Creation of a Wealth Index. 2017. Available: https://docs.wfp.org/api/documents/WFP-0000022418/download/</w:t>
      </w:r>
    </w:p>
    <w:p w14:paraId="208A712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52. </w:t>
      </w:r>
      <w:r w:rsidRPr="0083183F">
        <w:rPr>
          <w:rFonts w:ascii="Helvetica" w:hAnsi="Helvetica" w:cs="Helvetica"/>
          <w:noProof/>
          <w:sz w:val="24"/>
          <w:szCs w:val="24"/>
        </w:rPr>
        <w:tab/>
        <w:t>The DHS Program. Wealth-Index-Construction. In: Wealth Index Construction [Internet]. 2016 [cited 17 May 2021]. Available: https://www.dhsprogram.com/topics/wealth-index/Wealth-Index-Construction.cfm</w:t>
      </w:r>
    </w:p>
    <w:p w14:paraId="7A24088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53. </w:t>
      </w:r>
      <w:r w:rsidRPr="0083183F">
        <w:rPr>
          <w:rFonts w:ascii="Helvetica" w:hAnsi="Helvetica" w:cs="Helvetica"/>
          <w:noProof/>
          <w:sz w:val="24"/>
          <w:szCs w:val="24"/>
        </w:rPr>
        <w:tab/>
        <w:t>National Bureau of Statistics Nairobi K. Republic of Kenya Kenya Demographic and Health Survey 2014. 2015. Available: www.DHSprogram.com.</w:t>
      </w:r>
    </w:p>
    <w:p w14:paraId="5367628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54. </w:t>
      </w:r>
      <w:r w:rsidRPr="0083183F">
        <w:rPr>
          <w:rFonts w:ascii="Helvetica" w:hAnsi="Helvetica" w:cs="Helvetica"/>
          <w:noProof/>
          <w:sz w:val="24"/>
          <w:szCs w:val="24"/>
        </w:rPr>
        <w:tab/>
        <w:t>De Onis M, Frongillo EA, Blössner M. Is malnutrition declining? An analysis of changes in levels of child malnutrition since 1980. Bull World Health Organ. 2000;78: 1222–1233. doi:10.1590/S0042-96862000001000008</w:t>
      </w:r>
    </w:p>
    <w:p w14:paraId="403BC643"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55. </w:t>
      </w:r>
      <w:r w:rsidRPr="0083183F">
        <w:rPr>
          <w:rFonts w:ascii="Helvetica" w:hAnsi="Helvetica" w:cs="Helvetica"/>
          <w:noProof/>
          <w:sz w:val="24"/>
          <w:szCs w:val="24"/>
        </w:rPr>
        <w:tab/>
        <w:t xml:space="preserve">Group WHOW. Use and interpretation of anthropometric indicators of nutritional status. Bull World Health Organ. 1986;64: 929–941. </w:t>
      </w:r>
    </w:p>
    <w:p w14:paraId="5031BD6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56. </w:t>
      </w:r>
      <w:r w:rsidRPr="0083183F">
        <w:rPr>
          <w:rFonts w:ascii="Helvetica" w:hAnsi="Helvetica" w:cs="Helvetica"/>
          <w:noProof/>
          <w:sz w:val="24"/>
          <w:szCs w:val="24"/>
        </w:rPr>
        <w:tab/>
        <w:t>Nguyen CK, Le DT, Tran XN, Phan HD, Ha HK. Reduction in childhood malnutrition in Vietnam from 1990 to 2004. Asia Pac J Clin Nutr. 2007;16: 274–278. doi:10.6133/apjcn.2007.16.2.11</w:t>
      </w:r>
    </w:p>
    <w:p w14:paraId="1F3CC43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57. </w:t>
      </w:r>
      <w:r w:rsidRPr="0083183F">
        <w:rPr>
          <w:rFonts w:ascii="Helvetica" w:hAnsi="Helvetica" w:cs="Helvetica"/>
          <w:noProof/>
          <w:sz w:val="24"/>
          <w:szCs w:val="24"/>
        </w:rPr>
        <w:tab/>
        <w:t xml:space="preserve">Nguyen MT, Popkin BM. In an era of economic growth, is inequity holding back reductions in child malnutrition in Vietnam? Asia Pacific Journal of Clinical Nutrition. 2003. pp. 405–410. </w:t>
      </w:r>
    </w:p>
    <w:p w14:paraId="793FF546"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58. </w:t>
      </w:r>
      <w:r w:rsidRPr="0083183F">
        <w:rPr>
          <w:rFonts w:ascii="Helvetica" w:hAnsi="Helvetica" w:cs="Helvetica"/>
          <w:noProof/>
          <w:sz w:val="24"/>
          <w:szCs w:val="24"/>
        </w:rPr>
        <w:tab/>
        <w:t>Thang NM, Popkin B. Child malnutrition in Vietnam and its transition in an era of economic growth. J Hum Nutr Diet. 2003;16: 233–244. doi:10.1046/j.1365-277X.2003.00449.x</w:t>
      </w:r>
    </w:p>
    <w:p w14:paraId="25B17E56"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59. </w:t>
      </w:r>
      <w:r w:rsidRPr="0083183F">
        <w:rPr>
          <w:rFonts w:ascii="Helvetica" w:hAnsi="Helvetica" w:cs="Helvetica"/>
          <w:noProof/>
          <w:sz w:val="24"/>
          <w:szCs w:val="24"/>
        </w:rPr>
        <w:tab/>
        <w:t>Kakwani N, Wagstaff A, Van Doorslaer E. Socioeconomic inequalities in health: Measurement, computation, and statistical inference. J Econom. 1997;77: 87–103. doi:10.1016/S0304-4076(96)01807-6</w:t>
      </w:r>
    </w:p>
    <w:p w14:paraId="25485F1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60. </w:t>
      </w:r>
      <w:r w:rsidRPr="0083183F">
        <w:rPr>
          <w:rFonts w:ascii="Helvetica" w:hAnsi="Helvetica" w:cs="Helvetica"/>
          <w:noProof/>
          <w:sz w:val="24"/>
          <w:szCs w:val="24"/>
        </w:rPr>
        <w:tab/>
        <w:t>Wagstaff A, Paci P, van Doorslaer E. On the measurement of inequalities in health. Soc Sci Med. 1991;33: 545–557. doi:10.1016/0277-9536(91)90212-U</w:t>
      </w:r>
    </w:p>
    <w:p w14:paraId="6475CC6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61. </w:t>
      </w:r>
      <w:r w:rsidRPr="0083183F">
        <w:rPr>
          <w:rFonts w:ascii="Helvetica" w:hAnsi="Helvetica" w:cs="Helvetica"/>
          <w:noProof/>
          <w:sz w:val="24"/>
          <w:szCs w:val="24"/>
        </w:rPr>
        <w:tab/>
        <w:t xml:space="preserve">O’Donnell O, van Doorslaer E, Wagstaff A, Lindelow M. Measurement of Living Standards. Analyzing Health Equity Using Household Survey Data: A Guide to Techniques and Their Implementation. World Bank, Washington, DC. 2008. </w:t>
      </w:r>
    </w:p>
    <w:p w14:paraId="162E6DD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62. </w:t>
      </w:r>
      <w:r w:rsidRPr="0083183F">
        <w:rPr>
          <w:rFonts w:ascii="Helvetica" w:hAnsi="Helvetica" w:cs="Helvetica"/>
          <w:noProof/>
          <w:sz w:val="24"/>
          <w:szCs w:val="24"/>
        </w:rPr>
        <w:tab/>
        <w:t>Wagstaff A, van Doorslaer E. Chapter 34 Equity in health care finance and delivery. Handbook of Health Economics. 2000. pp. 1803–1862. doi:10.1016/S1574-0064(00)80047-5</w:t>
      </w:r>
    </w:p>
    <w:p w14:paraId="0E38D1B0"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63. </w:t>
      </w:r>
      <w:r w:rsidRPr="0083183F">
        <w:rPr>
          <w:rFonts w:ascii="Helvetica" w:hAnsi="Helvetica" w:cs="Helvetica"/>
          <w:noProof/>
          <w:sz w:val="24"/>
          <w:szCs w:val="24"/>
        </w:rPr>
        <w:tab/>
        <w:t>Wagstaff A, Van Doorslaer E, Watanabe N. On decomposing the causes of health sector inequalities with an application to malnutrition inequalities in Vietnam. J Econom. 2003;112: 207–223. doi:10.1016/S0304-4076(02)00161-6</w:t>
      </w:r>
    </w:p>
    <w:p w14:paraId="34D0F4BA"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64. </w:t>
      </w:r>
      <w:r w:rsidRPr="0083183F">
        <w:rPr>
          <w:rFonts w:ascii="Helvetica" w:hAnsi="Helvetica" w:cs="Helvetica"/>
          <w:noProof/>
          <w:sz w:val="24"/>
          <w:szCs w:val="24"/>
        </w:rPr>
        <w:tab/>
        <w:t>Fotso JC. Child health inequities in developing countries: Differences across urban and rural areas. Int J Equity Health. 2006;5. doi:10.1186/1475-9276-5-9</w:t>
      </w:r>
    </w:p>
    <w:p w14:paraId="4F49485B"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65. </w:t>
      </w:r>
      <w:r w:rsidRPr="0083183F">
        <w:rPr>
          <w:rFonts w:ascii="Helvetica" w:hAnsi="Helvetica" w:cs="Helvetica"/>
          <w:noProof/>
          <w:sz w:val="24"/>
          <w:szCs w:val="24"/>
        </w:rPr>
        <w:tab/>
        <w:t>Pape U, Mejia-Mantilla C. More than just growth: Accelerating poverty reduction in Kenya. In: Africa Can End Poverty [Internet]. 12 Feb 2019 [cited 20 May 2021]. Available: https://blogs.worldbank.org/africacan/more-than-just-growth-accelerating-poverty-reduction-in-kenya</w:t>
      </w:r>
    </w:p>
    <w:p w14:paraId="49699B2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66. </w:t>
      </w:r>
      <w:r w:rsidRPr="0083183F">
        <w:rPr>
          <w:rFonts w:ascii="Helvetica" w:hAnsi="Helvetica" w:cs="Helvetica"/>
          <w:noProof/>
          <w:sz w:val="24"/>
          <w:szCs w:val="24"/>
        </w:rPr>
        <w:tab/>
        <w:t xml:space="preserve">Oucho JO, Oucho LA, Ochieng V. Is Migration the Solution to Poverty Alleviation in Kenya ? Rural-Urban Migration Experiences of Migrants from Western Kenya to Kisumu and Nairobi. 2014. </w:t>
      </w:r>
    </w:p>
    <w:p w14:paraId="73722E0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67. </w:t>
      </w:r>
      <w:r w:rsidRPr="0083183F">
        <w:rPr>
          <w:rFonts w:ascii="Helvetica" w:hAnsi="Helvetica" w:cs="Helvetica"/>
          <w:noProof/>
          <w:sz w:val="24"/>
          <w:szCs w:val="24"/>
        </w:rPr>
        <w:tab/>
        <w:t>Braveman P, Tarimo E. Social inequalities in health within countries: Not only an issue for affluent nations. Social Science and Medicine. 2002. pp. 1621–1635. doi:10.1016/S0277-9536(01)00331-8</w:t>
      </w:r>
    </w:p>
    <w:p w14:paraId="7E5D0DAC"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lastRenderedPageBreak/>
        <w:t xml:space="preserve">68. </w:t>
      </w:r>
      <w:r w:rsidRPr="0083183F">
        <w:rPr>
          <w:rFonts w:ascii="Helvetica" w:hAnsi="Helvetica" w:cs="Helvetica"/>
          <w:noProof/>
          <w:sz w:val="24"/>
          <w:szCs w:val="24"/>
        </w:rPr>
        <w:tab/>
        <w:t>Van De Poel E, Hosseinpoor AR, Speybroeck N, Van Ourti T, Vega J. Socioeconomic inequality in malnutrition in developing countries. Bull World Health Organ. 2008;86: 282–291. doi:10.2471/BLT.07.044800</w:t>
      </w:r>
    </w:p>
    <w:p w14:paraId="52E269C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69. </w:t>
      </w:r>
      <w:r w:rsidRPr="0083183F">
        <w:rPr>
          <w:rFonts w:ascii="Helvetica" w:hAnsi="Helvetica" w:cs="Helvetica"/>
          <w:noProof/>
          <w:sz w:val="24"/>
          <w:szCs w:val="24"/>
        </w:rPr>
        <w:tab/>
        <w:t>Bain LE, Awah PK, Geraldine N, Kindong NP, Sigal Y, Bernard N, et al. Malnutrition in Sub - Saharan Africa: Burden, causes and prospects. Pan African Medical Journal. 2013. doi:10.11604/pamj.2013.15.120.2535</w:t>
      </w:r>
    </w:p>
    <w:p w14:paraId="5301FA72"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70. </w:t>
      </w:r>
      <w:r w:rsidRPr="0083183F">
        <w:rPr>
          <w:rFonts w:ascii="Helvetica" w:hAnsi="Helvetica" w:cs="Helvetica"/>
          <w:noProof/>
          <w:sz w:val="24"/>
          <w:szCs w:val="24"/>
        </w:rPr>
        <w:tab/>
        <w:t xml:space="preserve">Masiye F, Chama C, Chitah B, Jonsson D. Determinants of Child Nutritional Status in Zambia: An Analysis of a National Survey. Zambia Soc Sci J. 2010;1: 4. </w:t>
      </w:r>
    </w:p>
    <w:p w14:paraId="0DF1D5D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71. </w:t>
      </w:r>
      <w:r w:rsidRPr="0083183F">
        <w:rPr>
          <w:rFonts w:ascii="Helvetica" w:hAnsi="Helvetica" w:cs="Helvetica"/>
          <w:noProof/>
          <w:sz w:val="24"/>
          <w:szCs w:val="24"/>
        </w:rPr>
        <w:tab/>
        <w:t>Masuku M, Selepe M, Ngcobo N. The Socio-economic Status as a Factor Affecting Food (In) Security in Rural Areas, uThungulu District Municipality, Kwa-Zulu Natal, South Africa. J Hum Ecol. 2017;58: 57–66. doi:10.1080/09709274.2017.1305615</w:t>
      </w:r>
    </w:p>
    <w:p w14:paraId="11A628B9"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72. </w:t>
      </w:r>
      <w:r w:rsidRPr="0083183F">
        <w:rPr>
          <w:rFonts w:ascii="Helvetica" w:hAnsi="Helvetica" w:cs="Helvetica"/>
          <w:noProof/>
          <w:sz w:val="24"/>
          <w:szCs w:val="24"/>
        </w:rPr>
        <w:tab/>
        <w:t>Pathak PK, Singh A. Trends in malnutrition among children in India: Growing inequalities across different economic groups. Soc Sci Med. 2011;73: 576–585. doi:10.1016/j.socscimed.2011.06.024</w:t>
      </w:r>
    </w:p>
    <w:p w14:paraId="2E7505D8"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73. </w:t>
      </w:r>
      <w:r w:rsidRPr="0083183F">
        <w:rPr>
          <w:rFonts w:ascii="Helvetica" w:hAnsi="Helvetica" w:cs="Helvetica"/>
          <w:noProof/>
          <w:sz w:val="24"/>
          <w:szCs w:val="24"/>
        </w:rPr>
        <w:tab/>
        <w:t>Bryan J, Osendarp S, Hughes D, Calvaresi E, Baghurst K, Klinken J-W. Nutrients for Cognitive Development in School-aged Children. Nutr Rev. 2004;62: 295–306. doi:10.1111/j.1753-4887.2004.tb00055.x</w:t>
      </w:r>
    </w:p>
    <w:p w14:paraId="5A6DF1A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74. </w:t>
      </w:r>
      <w:r w:rsidRPr="0083183F">
        <w:rPr>
          <w:rFonts w:ascii="Helvetica" w:hAnsi="Helvetica" w:cs="Helvetica"/>
          <w:noProof/>
          <w:sz w:val="24"/>
          <w:szCs w:val="24"/>
        </w:rPr>
        <w:tab/>
        <w:t xml:space="preserve">Hackett M, Melgar-Quiñonez H, Álvarez MC. Household food insecurity </w:t>
      </w:r>
      <w:r w:rsidRPr="0083183F">
        <w:rPr>
          <w:rFonts w:ascii="Helvetica" w:hAnsi="Helvetica" w:cs="Helvetica"/>
          <w:noProof/>
          <w:sz w:val="24"/>
          <w:szCs w:val="24"/>
        </w:rPr>
        <w:lastRenderedPageBreak/>
        <w:t>associated with stunting and underweight among preschool children in Antioquia, Colombia. Rev Panam Salud Publica/Pan Am J Public Heal. 2009;25: 506–510. doi:10.1590/S1020-49892009000600006</w:t>
      </w:r>
    </w:p>
    <w:p w14:paraId="46DB963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75. </w:t>
      </w:r>
      <w:r w:rsidRPr="0083183F">
        <w:rPr>
          <w:rFonts w:ascii="Helvetica" w:hAnsi="Helvetica" w:cs="Helvetica"/>
          <w:noProof/>
          <w:sz w:val="24"/>
          <w:szCs w:val="24"/>
        </w:rPr>
        <w:tab/>
        <w:t>Mutisya M, Kandala NB, Ngware MW, Kabiru CW. Household food (in)security and nutritional status of urban poor children aged 6 to 23 months in Kenya Global health. BMC Public Health. 2015;15. doi:10.1186/s12889-015-2403-0</w:t>
      </w:r>
    </w:p>
    <w:p w14:paraId="711F7973"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76. </w:t>
      </w:r>
      <w:r w:rsidRPr="0083183F">
        <w:rPr>
          <w:rFonts w:ascii="Helvetica" w:hAnsi="Helvetica" w:cs="Helvetica"/>
          <w:noProof/>
          <w:sz w:val="24"/>
          <w:szCs w:val="24"/>
        </w:rPr>
        <w:tab/>
        <w:t>Saxena NC. Hunger, under-nutrition and food security in India. Poverty, Chronic Poverty and Poverty Dynamics: Policy Imperatives. 2018. pp. 55–92. doi:10.1007/978-981-13-0677-8_4</w:t>
      </w:r>
    </w:p>
    <w:p w14:paraId="5F832211"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77. </w:t>
      </w:r>
      <w:r w:rsidRPr="0083183F">
        <w:rPr>
          <w:rFonts w:ascii="Helvetica" w:hAnsi="Helvetica" w:cs="Helvetica"/>
          <w:noProof/>
          <w:sz w:val="24"/>
          <w:szCs w:val="24"/>
        </w:rPr>
        <w:tab/>
        <w:t>Aheto JMK, Keegan TJ, Taylor BM, Diggle PJ. Childhood Malnutrition and Its Determinants among Under-Five Children in Ghana. Paediatr Perinat Epidemiol. 2015;29: 552–561. doi:10.1111/ppe.12222</w:t>
      </w:r>
    </w:p>
    <w:p w14:paraId="44BED89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78. </w:t>
      </w:r>
      <w:r w:rsidRPr="0083183F">
        <w:rPr>
          <w:rFonts w:ascii="Helvetica" w:hAnsi="Helvetica" w:cs="Helvetica"/>
          <w:noProof/>
          <w:sz w:val="24"/>
          <w:szCs w:val="24"/>
        </w:rPr>
        <w:tab/>
        <w:t>Akombi BJ, Agho KE, Hall JJ, Merom D, Astell-Burt T, Renzaho AMN. Stunting and severe stunting among children under-5 years in Nigeria: A multilevel analysis. BMC Pediatr. 2017;17. doi:10.1186/s12887-016-0770-z</w:t>
      </w:r>
    </w:p>
    <w:p w14:paraId="688800B4"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79. </w:t>
      </w:r>
      <w:r w:rsidRPr="0083183F">
        <w:rPr>
          <w:rFonts w:ascii="Helvetica" w:hAnsi="Helvetica" w:cs="Helvetica"/>
          <w:noProof/>
          <w:sz w:val="24"/>
          <w:szCs w:val="24"/>
        </w:rPr>
        <w:tab/>
        <w:t>Abuya BA, Onsomu EO, Kimani JK, Moore D. Influence of maternal education on child immunization and stunting in Kenya. Matern Child Health J. 2011;15: 1389–1399. doi:10.1007/s10995-010-0670-z</w:t>
      </w:r>
    </w:p>
    <w:p w14:paraId="448FF027"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80. </w:t>
      </w:r>
      <w:r w:rsidRPr="0083183F">
        <w:rPr>
          <w:rFonts w:ascii="Helvetica" w:hAnsi="Helvetica" w:cs="Helvetica"/>
          <w:noProof/>
          <w:sz w:val="24"/>
          <w:szCs w:val="24"/>
        </w:rPr>
        <w:tab/>
        <w:t xml:space="preserve">Frost MB, Forste R, Haas DW. Maternal education and child nutritional </w:t>
      </w:r>
      <w:r w:rsidRPr="0083183F">
        <w:rPr>
          <w:rFonts w:ascii="Helvetica" w:hAnsi="Helvetica" w:cs="Helvetica"/>
          <w:noProof/>
          <w:sz w:val="24"/>
          <w:szCs w:val="24"/>
        </w:rPr>
        <w:lastRenderedPageBreak/>
        <w:t>status in Bolivia: Finding the links. Soc Sci Med. 2005;60: 395–407. doi:10.1016/j.socscimed.2004.05.010</w:t>
      </w:r>
    </w:p>
    <w:p w14:paraId="60FCDE2F"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81. </w:t>
      </w:r>
      <w:r w:rsidRPr="0083183F">
        <w:rPr>
          <w:rFonts w:ascii="Helvetica" w:hAnsi="Helvetica" w:cs="Helvetica"/>
          <w:noProof/>
          <w:sz w:val="24"/>
          <w:szCs w:val="24"/>
        </w:rPr>
        <w:tab/>
        <w:t>Handa S. Maternal education and child height. Econ Dev Cult Change. 1999;47: 420–439. doi:10.1086/452408</w:t>
      </w:r>
    </w:p>
    <w:p w14:paraId="5FE49EFE"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82. </w:t>
      </w:r>
      <w:r w:rsidRPr="0083183F">
        <w:rPr>
          <w:rFonts w:ascii="Helvetica" w:hAnsi="Helvetica" w:cs="Helvetica"/>
          <w:noProof/>
          <w:sz w:val="24"/>
          <w:szCs w:val="24"/>
        </w:rPr>
        <w:tab/>
        <w:t>Iftikhar A, Bari A, Bano I, Masood Q. Impact of maternal education, employment and family size on nutritional status of children. Pakistan J Med Sci. 2017;33. doi:10.12669/pjms.336.13689</w:t>
      </w:r>
    </w:p>
    <w:p w14:paraId="60B46205"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83. </w:t>
      </w:r>
      <w:r w:rsidRPr="0083183F">
        <w:rPr>
          <w:rFonts w:ascii="Helvetica" w:hAnsi="Helvetica" w:cs="Helvetica"/>
          <w:noProof/>
          <w:sz w:val="24"/>
          <w:szCs w:val="24"/>
        </w:rPr>
        <w:tab/>
        <w:t>Kabubo-Mariara J, Ndenge GK, Mwabu DK. Determinants of children’s nutritional status in Kenya: Evidence from Demographic and Health Surveys. J Afr Econ. 2009;18: 363–387. doi:10.1093/jae/ejn024</w:t>
      </w:r>
    </w:p>
    <w:p w14:paraId="03213B4D"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szCs w:val="24"/>
        </w:rPr>
      </w:pPr>
      <w:r w:rsidRPr="0083183F">
        <w:rPr>
          <w:rFonts w:ascii="Helvetica" w:hAnsi="Helvetica" w:cs="Helvetica"/>
          <w:noProof/>
          <w:sz w:val="24"/>
          <w:szCs w:val="24"/>
        </w:rPr>
        <w:t xml:space="preserve">84. </w:t>
      </w:r>
      <w:r w:rsidRPr="0083183F">
        <w:rPr>
          <w:rFonts w:ascii="Helvetica" w:hAnsi="Helvetica" w:cs="Helvetica"/>
          <w:noProof/>
          <w:sz w:val="24"/>
          <w:szCs w:val="24"/>
        </w:rPr>
        <w:tab/>
        <w:t>Glewwe P. Why does mother’s schooling raise child health in developing countries? Evidence from Morocco. J Hum Resour. 1999;34: 124–159. doi:10.2307/146305</w:t>
      </w:r>
    </w:p>
    <w:p w14:paraId="2CECB883" w14:textId="77777777" w:rsidR="0083183F" w:rsidRPr="0083183F" w:rsidRDefault="0083183F" w:rsidP="0083183F">
      <w:pPr>
        <w:widowControl w:val="0"/>
        <w:autoSpaceDE w:val="0"/>
        <w:autoSpaceDN w:val="0"/>
        <w:adjustRightInd w:val="0"/>
        <w:spacing w:before="0" w:after="0" w:line="480" w:lineRule="auto"/>
        <w:ind w:left="640" w:hanging="640"/>
        <w:rPr>
          <w:rFonts w:ascii="Helvetica" w:hAnsi="Helvetica" w:cs="Helvetica"/>
          <w:noProof/>
          <w:sz w:val="24"/>
        </w:rPr>
      </w:pPr>
      <w:r w:rsidRPr="0083183F">
        <w:rPr>
          <w:rFonts w:ascii="Helvetica" w:hAnsi="Helvetica" w:cs="Helvetica"/>
          <w:noProof/>
          <w:sz w:val="24"/>
          <w:szCs w:val="24"/>
        </w:rPr>
        <w:t xml:space="preserve">85. </w:t>
      </w:r>
      <w:r w:rsidRPr="0083183F">
        <w:rPr>
          <w:rFonts w:ascii="Helvetica" w:hAnsi="Helvetica" w:cs="Helvetica"/>
          <w:noProof/>
          <w:sz w:val="24"/>
          <w:szCs w:val="24"/>
        </w:rPr>
        <w:tab/>
        <w:t>Matsumura M, Gubhaju B. Women’s status, household structure and the utilization of maternal health services in Nepal. Asia-Pacific Popul J. 2001;16: 23–44. doi:10.18356/e8a4c9ed-en</w:t>
      </w:r>
    </w:p>
    <w:p w14:paraId="295DF614" w14:textId="2DB0A708" w:rsidR="00CB7494" w:rsidRPr="00F7018A" w:rsidRDefault="003C12F4" w:rsidP="00F7018A">
      <w:pPr>
        <w:spacing w:before="0" w:beforeAutospacing="0" w:after="0" w:afterAutospacing="0" w:line="480" w:lineRule="auto"/>
        <w:rPr>
          <w:rFonts w:ascii="Helvetica" w:eastAsia="MS Mincho" w:hAnsi="Helvetica" w:cs="Helvetica"/>
          <w:b/>
          <w:sz w:val="24"/>
          <w:szCs w:val="24"/>
          <w:lang w:val="en-GB"/>
        </w:rPr>
      </w:pPr>
      <w:r w:rsidRPr="003C12F4">
        <w:rPr>
          <w:rFonts w:ascii="Helvetica" w:eastAsia="MS Mincho" w:hAnsi="Helvetica" w:cs="Helvetica"/>
          <w:b/>
          <w:sz w:val="24"/>
          <w:szCs w:val="24"/>
          <w:lang w:val="en-GB"/>
        </w:rPr>
        <w:fldChar w:fldCharType="end"/>
      </w:r>
    </w:p>
    <w:sectPr w:rsidR="00CB7494" w:rsidRPr="00F7018A" w:rsidSect="003C12F4">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E590" w14:textId="77777777" w:rsidR="00985AE3" w:rsidRDefault="00985AE3">
      <w:pPr>
        <w:spacing w:before="0" w:after="0" w:line="240" w:lineRule="auto"/>
      </w:pPr>
      <w:r>
        <w:separator/>
      </w:r>
    </w:p>
  </w:endnote>
  <w:endnote w:type="continuationSeparator" w:id="0">
    <w:p w14:paraId="766FB983" w14:textId="77777777" w:rsidR="00985AE3" w:rsidRDefault="00985A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2303" w14:textId="77777777" w:rsidR="00CD7E30" w:rsidRDefault="00CD7E30" w:rsidP="003C1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E208E" w14:textId="77777777" w:rsidR="00CD7E30" w:rsidRDefault="00CD7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271058"/>
      <w:docPartObj>
        <w:docPartGallery w:val="Page Numbers (Bottom of Page)"/>
        <w:docPartUnique/>
      </w:docPartObj>
    </w:sdtPr>
    <w:sdtEndPr>
      <w:rPr>
        <w:rFonts w:ascii="Helvetica" w:hAnsi="Helvetica" w:cs="Helvetica"/>
        <w:noProof/>
      </w:rPr>
    </w:sdtEndPr>
    <w:sdtContent>
      <w:p w14:paraId="1AE33AD9" w14:textId="77777777" w:rsidR="00CD7E30" w:rsidRPr="007D658E" w:rsidRDefault="00CD7E30">
        <w:pPr>
          <w:pStyle w:val="Footer"/>
          <w:jc w:val="center"/>
          <w:rPr>
            <w:rFonts w:ascii="Helvetica" w:hAnsi="Helvetica" w:cs="Helvetica"/>
          </w:rPr>
        </w:pPr>
        <w:r w:rsidRPr="007D658E">
          <w:rPr>
            <w:rFonts w:ascii="Helvetica" w:hAnsi="Helvetica" w:cs="Helvetica"/>
          </w:rPr>
          <w:fldChar w:fldCharType="begin"/>
        </w:r>
        <w:r w:rsidRPr="007D658E">
          <w:rPr>
            <w:rFonts w:ascii="Helvetica" w:hAnsi="Helvetica" w:cs="Helvetica"/>
          </w:rPr>
          <w:instrText xml:space="preserve"> PAGE   \* MERGEFORMAT </w:instrText>
        </w:r>
        <w:r w:rsidRPr="007D658E">
          <w:rPr>
            <w:rFonts w:ascii="Helvetica" w:hAnsi="Helvetica" w:cs="Helvetica"/>
          </w:rPr>
          <w:fldChar w:fldCharType="separate"/>
        </w:r>
        <w:r w:rsidRPr="007D658E">
          <w:rPr>
            <w:rFonts w:ascii="Helvetica" w:hAnsi="Helvetica" w:cs="Helvetica"/>
            <w:noProof/>
          </w:rPr>
          <w:t>2</w:t>
        </w:r>
        <w:r w:rsidRPr="007D658E">
          <w:rPr>
            <w:rFonts w:ascii="Helvetica" w:hAnsi="Helvetica" w:cs="Helvetica"/>
            <w:noProof/>
          </w:rPr>
          <w:fldChar w:fldCharType="end"/>
        </w:r>
      </w:p>
    </w:sdtContent>
  </w:sdt>
  <w:p w14:paraId="1A555699" w14:textId="77777777" w:rsidR="00CD7E30" w:rsidRDefault="00CD7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05021" w14:textId="77777777" w:rsidR="00985AE3" w:rsidRDefault="00985AE3">
      <w:pPr>
        <w:spacing w:before="0" w:after="0" w:line="240" w:lineRule="auto"/>
      </w:pPr>
      <w:r>
        <w:separator/>
      </w:r>
    </w:p>
  </w:footnote>
  <w:footnote w:type="continuationSeparator" w:id="0">
    <w:p w14:paraId="05DEAA84" w14:textId="77777777" w:rsidR="00985AE3" w:rsidRDefault="00985A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AD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0429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E400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87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D88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2D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BA1F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426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B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20AE0"/>
    <w:lvl w:ilvl="0">
      <w:start w:val="1"/>
      <w:numFmt w:val="bullet"/>
      <w:lvlText w:val=""/>
      <w:lvlJc w:val="left"/>
      <w:pPr>
        <w:tabs>
          <w:tab w:val="num" w:pos="360"/>
        </w:tabs>
        <w:ind w:left="360" w:hanging="360"/>
      </w:pPr>
      <w:rPr>
        <w:rFonts w:ascii="Symbol" w:hAnsi="Symbol" w:hint="default"/>
      </w:rPr>
    </w:lvl>
  </w:abstractNum>
  <w:num w:numId="1" w16cid:durableId="294529154">
    <w:abstractNumId w:val="9"/>
  </w:num>
  <w:num w:numId="2" w16cid:durableId="307396509">
    <w:abstractNumId w:val="7"/>
  </w:num>
  <w:num w:numId="3" w16cid:durableId="1304504902">
    <w:abstractNumId w:val="6"/>
  </w:num>
  <w:num w:numId="4" w16cid:durableId="1328246068">
    <w:abstractNumId w:val="5"/>
  </w:num>
  <w:num w:numId="5" w16cid:durableId="149560104">
    <w:abstractNumId w:val="4"/>
  </w:num>
  <w:num w:numId="6" w16cid:durableId="1988783273">
    <w:abstractNumId w:val="8"/>
  </w:num>
  <w:num w:numId="7" w16cid:durableId="1962766534">
    <w:abstractNumId w:val="3"/>
  </w:num>
  <w:num w:numId="8" w16cid:durableId="679047754">
    <w:abstractNumId w:val="2"/>
  </w:num>
  <w:num w:numId="9" w16cid:durableId="1050542795">
    <w:abstractNumId w:val="1"/>
  </w:num>
  <w:num w:numId="10" w16cid:durableId="68521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MLIwMTYzMTQwNjJU0lEKTi0uzszPAykwqgUAkJzzSCwAAAA="/>
  </w:docVars>
  <w:rsids>
    <w:rsidRoot w:val="003C12F4"/>
    <w:rsid w:val="00000778"/>
    <w:rsid w:val="000654AD"/>
    <w:rsid w:val="00072E2F"/>
    <w:rsid w:val="000C5EB8"/>
    <w:rsid w:val="000D5A52"/>
    <w:rsid w:val="0011205C"/>
    <w:rsid w:val="00125974"/>
    <w:rsid w:val="00133539"/>
    <w:rsid w:val="0015303D"/>
    <w:rsid w:val="00156C63"/>
    <w:rsid w:val="0016275F"/>
    <w:rsid w:val="001A6377"/>
    <w:rsid w:val="001B336C"/>
    <w:rsid w:val="002012F1"/>
    <w:rsid w:val="002228E4"/>
    <w:rsid w:val="00234326"/>
    <w:rsid w:val="0024189D"/>
    <w:rsid w:val="00242840"/>
    <w:rsid w:val="002832FF"/>
    <w:rsid w:val="00285781"/>
    <w:rsid w:val="00286247"/>
    <w:rsid w:val="002916CF"/>
    <w:rsid w:val="002961C6"/>
    <w:rsid w:val="002B49F0"/>
    <w:rsid w:val="002C60F8"/>
    <w:rsid w:val="00303A31"/>
    <w:rsid w:val="003067D2"/>
    <w:rsid w:val="003108BA"/>
    <w:rsid w:val="00314C59"/>
    <w:rsid w:val="00350595"/>
    <w:rsid w:val="003655E0"/>
    <w:rsid w:val="00391B5C"/>
    <w:rsid w:val="003C12F4"/>
    <w:rsid w:val="003C2619"/>
    <w:rsid w:val="003D49C4"/>
    <w:rsid w:val="003E1A95"/>
    <w:rsid w:val="003E2880"/>
    <w:rsid w:val="003F599E"/>
    <w:rsid w:val="004019E8"/>
    <w:rsid w:val="00423918"/>
    <w:rsid w:val="0044115B"/>
    <w:rsid w:val="00456064"/>
    <w:rsid w:val="00470CE7"/>
    <w:rsid w:val="00474A89"/>
    <w:rsid w:val="00492874"/>
    <w:rsid w:val="004A1545"/>
    <w:rsid w:val="004A5805"/>
    <w:rsid w:val="004B2303"/>
    <w:rsid w:val="004C2358"/>
    <w:rsid w:val="004D285E"/>
    <w:rsid w:val="004D7A6F"/>
    <w:rsid w:val="004E4BFD"/>
    <w:rsid w:val="004F5BE3"/>
    <w:rsid w:val="00512E39"/>
    <w:rsid w:val="00516EF9"/>
    <w:rsid w:val="00533C6B"/>
    <w:rsid w:val="005406E4"/>
    <w:rsid w:val="00586AFA"/>
    <w:rsid w:val="005961AB"/>
    <w:rsid w:val="005974F2"/>
    <w:rsid w:val="005D58FD"/>
    <w:rsid w:val="005E50CB"/>
    <w:rsid w:val="005F2B26"/>
    <w:rsid w:val="00605D25"/>
    <w:rsid w:val="00611C6A"/>
    <w:rsid w:val="006326D3"/>
    <w:rsid w:val="00635972"/>
    <w:rsid w:val="00636762"/>
    <w:rsid w:val="00647447"/>
    <w:rsid w:val="006933AA"/>
    <w:rsid w:val="006C2632"/>
    <w:rsid w:val="006E3235"/>
    <w:rsid w:val="006F6E52"/>
    <w:rsid w:val="007145E9"/>
    <w:rsid w:val="00727C69"/>
    <w:rsid w:val="0074105B"/>
    <w:rsid w:val="00747975"/>
    <w:rsid w:val="00795B33"/>
    <w:rsid w:val="007A1F0D"/>
    <w:rsid w:val="007B165B"/>
    <w:rsid w:val="007B4EAD"/>
    <w:rsid w:val="007E7372"/>
    <w:rsid w:val="0083183F"/>
    <w:rsid w:val="00835012"/>
    <w:rsid w:val="008356A7"/>
    <w:rsid w:val="00835E87"/>
    <w:rsid w:val="00837880"/>
    <w:rsid w:val="008379EF"/>
    <w:rsid w:val="008F52C3"/>
    <w:rsid w:val="00910772"/>
    <w:rsid w:val="00985AE3"/>
    <w:rsid w:val="009A0189"/>
    <w:rsid w:val="009C1588"/>
    <w:rsid w:val="00A06A97"/>
    <w:rsid w:val="00A2753D"/>
    <w:rsid w:val="00A41D56"/>
    <w:rsid w:val="00A42FD9"/>
    <w:rsid w:val="00A6267B"/>
    <w:rsid w:val="00A741AC"/>
    <w:rsid w:val="00A87FF0"/>
    <w:rsid w:val="00A94AC0"/>
    <w:rsid w:val="00AA37C5"/>
    <w:rsid w:val="00AC67CB"/>
    <w:rsid w:val="00B2018F"/>
    <w:rsid w:val="00B22791"/>
    <w:rsid w:val="00B31F12"/>
    <w:rsid w:val="00B51A78"/>
    <w:rsid w:val="00B7669C"/>
    <w:rsid w:val="00B913CB"/>
    <w:rsid w:val="00B96DD5"/>
    <w:rsid w:val="00BA62ED"/>
    <w:rsid w:val="00BA6703"/>
    <w:rsid w:val="00BC6A63"/>
    <w:rsid w:val="00BE5EE7"/>
    <w:rsid w:val="00C02101"/>
    <w:rsid w:val="00C41F60"/>
    <w:rsid w:val="00C47262"/>
    <w:rsid w:val="00CA4856"/>
    <w:rsid w:val="00CB0F02"/>
    <w:rsid w:val="00CB7494"/>
    <w:rsid w:val="00CC2EFC"/>
    <w:rsid w:val="00CD7E30"/>
    <w:rsid w:val="00D10FB2"/>
    <w:rsid w:val="00D56301"/>
    <w:rsid w:val="00D74197"/>
    <w:rsid w:val="00D92712"/>
    <w:rsid w:val="00D92FAA"/>
    <w:rsid w:val="00D96222"/>
    <w:rsid w:val="00E230AC"/>
    <w:rsid w:val="00E2706A"/>
    <w:rsid w:val="00E4325F"/>
    <w:rsid w:val="00E449B9"/>
    <w:rsid w:val="00E56085"/>
    <w:rsid w:val="00E67559"/>
    <w:rsid w:val="00E679EC"/>
    <w:rsid w:val="00EC7CD4"/>
    <w:rsid w:val="00EE5177"/>
    <w:rsid w:val="00F13047"/>
    <w:rsid w:val="00F154E8"/>
    <w:rsid w:val="00F31858"/>
    <w:rsid w:val="00F406CE"/>
    <w:rsid w:val="00F7018A"/>
    <w:rsid w:val="00F73FFA"/>
    <w:rsid w:val="00F83A25"/>
    <w:rsid w:val="00FC049B"/>
    <w:rsid w:val="00FD7F3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21171"/>
  <w15:chartTrackingRefBased/>
  <w15:docId w15:val="{0289521E-997D-445A-A8F5-7826D1AB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2F4"/>
    <w:pPr>
      <w:keepNext/>
      <w:keepLines/>
      <w:spacing w:before="240" w:after="0"/>
      <w:outlineLvl w:val="0"/>
    </w:pPr>
    <w:rPr>
      <w:rFonts w:ascii="Helvetica" w:eastAsia="MS Gothic" w:hAnsi="Helvetica" w:cs="Times New Roman"/>
      <w:b/>
      <w:sz w:val="36"/>
      <w:szCs w:val="32"/>
    </w:rPr>
  </w:style>
  <w:style w:type="paragraph" w:styleId="Heading2">
    <w:name w:val="heading 2"/>
    <w:basedOn w:val="Normal"/>
    <w:next w:val="Normal"/>
    <w:link w:val="Heading2Char"/>
    <w:uiPriority w:val="9"/>
    <w:unhideWhenUsed/>
    <w:qFormat/>
    <w:rsid w:val="0044115B"/>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3C12F4"/>
    <w:pPr>
      <w:keepNext/>
      <w:keepLines/>
      <w:spacing w:before="40" w:after="0"/>
      <w:outlineLvl w:val="2"/>
    </w:pPr>
    <w:rPr>
      <w:rFonts w:ascii="Helvetica" w:eastAsia="MS Gothic" w:hAnsi="Helvetica"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15B"/>
    <w:rPr>
      <w:rFonts w:ascii="Times New Roman" w:eastAsiaTheme="majorEastAsia" w:hAnsi="Times New Roman" w:cstheme="majorBidi"/>
      <w:b/>
      <w:sz w:val="24"/>
      <w:szCs w:val="26"/>
    </w:rPr>
  </w:style>
  <w:style w:type="paragraph" w:customStyle="1" w:styleId="Heading11">
    <w:name w:val="Heading 11"/>
    <w:basedOn w:val="Normal"/>
    <w:next w:val="Normal"/>
    <w:uiPriority w:val="9"/>
    <w:qFormat/>
    <w:rsid w:val="003C12F4"/>
    <w:pPr>
      <w:keepNext/>
      <w:keepLines/>
      <w:spacing w:before="240" w:beforeAutospacing="0" w:after="0" w:afterAutospacing="0" w:line="240" w:lineRule="auto"/>
      <w:outlineLvl w:val="0"/>
    </w:pPr>
    <w:rPr>
      <w:rFonts w:ascii="Helvetica" w:eastAsia="MS Gothic" w:hAnsi="Helvetica" w:cs="Times New Roman"/>
      <w:b/>
      <w:sz w:val="36"/>
      <w:szCs w:val="32"/>
      <w:lang w:val="en-GB"/>
    </w:rPr>
  </w:style>
  <w:style w:type="paragraph" w:customStyle="1" w:styleId="Heading31">
    <w:name w:val="Heading 31"/>
    <w:basedOn w:val="Normal"/>
    <w:next w:val="Normal"/>
    <w:uiPriority w:val="9"/>
    <w:unhideWhenUsed/>
    <w:qFormat/>
    <w:rsid w:val="003C12F4"/>
    <w:pPr>
      <w:keepNext/>
      <w:keepLines/>
      <w:spacing w:before="40" w:beforeAutospacing="0" w:after="0" w:afterAutospacing="0" w:line="240" w:lineRule="auto"/>
      <w:outlineLvl w:val="2"/>
    </w:pPr>
    <w:rPr>
      <w:rFonts w:ascii="Helvetica" w:eastAsia="MS Gothic" w:hAnsi="Helvetica" w:cs="Times New Roman"/>
      <w:b/>
      <w:sz w:val="28"/>
      <w:szCs w:val="24"/>
      <w:lang w:val="en-GB"/>
    </w:rPr>
  </w:style>
  <w:style w:type="numbering" w:customStyle="1" w:styleId="NoList1">
    <w:name w:val="No List1"/>
    <w:next w:val="NoList"/>
    <w:uiPriority w:val="99"/>
    <w:semiHidden/>
    <w:unhideWhenUsed/>
    <w:rsid w:val="003C12F4"/>
  </w:style>
  <w:style w:type="paragraph" w:customStyle="1" w:styleId="EndNoteBibliographyTitle">
    <w:name w:val="EndNote Bibliography Title"/>
    <w:basedOn w:val="Normal"/>
    <w:rsid w:val="003C12F4"/>
    <w:pPr>
      <w:spacing w:before="0" w:beforeAutospacing="0" w:after="0" w:afterAutospacing="0" w:line="240" w:lineRule="auto"/>
      <w:jc w:val="center"/>
    </w:pPr>
    <w:rPr>
      <w:rFonts w:ascii="Times New Roman" w:eastAsia="MS Mincho" w:hAnsi="Times New Roman" w:cs="Times New Roman"/>
      <w:sz w:val="24"/>
      <w:szCs w:val="24"/>
    </w:rPr>
  </w:style>
  <w:style w:type="paragraph" w:customStyle="1" w:styleId="EndNoteBibliography">
    <w:name w:val="EndNote Bibliography"/>
    <w:basedOn w:val="Normal"/>
    <w:rsid w:val="003C12F4"/>
    <w:pPr>
      <w:spacing w:before="0" w:beforeAutospacing="0" w:after="0" w:afterAutospacing="0" w:line="480" w:lineRule="auto"/>
    </w:pPr>
    <w:rPr>
      <w:rFonts w:ascii="Times New Roman" w:eastAsia="MS Mincho" w:hAnsi="Times New Roman" w:cs="Times New Roman"/>
      <w:sz w:val="24"/>
      <w:szCs w:val="24"/>
    </w:rPr>
  </w:style>
  <w:style w:type="character" w:customStyle="1" w:styleId="Hyperlink1">
    <w:name w:val="Hyperlink1"/>
    <w:basedOn w:val="DefaultParagraphFont"/>
    <w:uiPriority w:val="99"/>
    <w:unhideWhenUsed/>
    <w:rsid w:val="003C12F4"/>
    <w:rPr>
      <w:color w:val="0000FF"/>
      <w:u w:val="single"/>
    </w:rPr>
  </w:style>
  <w:style w:type="paragraph" w:styleId="Footer">
    <w:name w:val="footer"/>
    <w:basedOn w:val="Normal"/>
    <w:link w:val="FooterChar"/>
    <w:uiPriority w:val="99"/>
    <w:unhideWhenUsed/>
    <w:rsid w:val="003C12F4"/>
    <w:pPr>
      <w:tabs>
        <w:tab w:val="center" w:pos="4320"/>
        <w:tab w:val="right" w:pos="8640"/>
      </w:tabs>
      <w:spacing w:before="0" w:beforeAutospacing="0" w:after="0" w:afterAutospacing="0" w:line="240" w:lineRule="auto"/>
    </w:pPr>
    <w:rPr>
      <w:rFonts w:eastAsia="MS Mincho"/>
      <w:sz w:val="24"/>
      <w:szCs w:val="24"/>
      <w:lang w:val="en-GB"/>
    </w:rPr>
  </w:style>
  <w:style w:type="character" w:customStyle="1" w:styleId="FooterChar">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unhideWhenUsed/>
    <w:rsid w:val="003C12F4"/>
  </w:style>
  <w:style w:type="paragraph" w:styleId="Header">
    <w:name w:val="header"/>
    <w:basedOn w:val="Normal"/>
    <w:link w:val="HeaderChar"/>
    <w:uiPriority w:val="99"/>
    <w:unhideWhenUsed/>
    <w:rsid w:val="003C12F4"/>
    <w:pPr>
      <w:tabs>
        <w:tab w:val="center" w:pos="4320"/>
        <w:tab w:val="right" w:pos="8640"/>
      </w:tabs>
      <w:spacing w:before="0" w:beforeAutospacing="0" w:after="0" w:afterAutospacing="0" w:line="240" w:lineRule="auto"/>
    </w:pPr>
    <w:rPr>
      <w:rFonts w:eastAsia="MS Mincho"/>
      <w:sz w:val="24"/>
      <w:szCs w:val="24"/>
      <w:lang w:val="en-GB"/>
    </w:rPr>
  </w:style>
  <w:style w:type="character" w:customStyle="1" w:styleId="HeaderChar">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rsid w:val="00286247"/>
  </w:style>
  <w:style w:type="table" w:styleId="TableGrid">
    <w:name w:val="Table Grid"/>
    <w:basedOn w:val="TableNormal"/>
    <w:uiPriority w:val="59"/>
    <w:rsid w:val="003C12F4"/>
    <w:pPr>
      <w:spacing w:before="0" w:beforeAutospacing="0" w:after="0" w:afterAutospacing="0" w:line="240" w:lineRule="auto"/>
    </w:pPr>
    <w:rPr>
      <w:rFonts w:eastAsia="MS Mincho"/>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2F4"/>
    <w:rPr>
      <w:rFonts w:ascii="Helvetica" w:eastAsia="MS Gothic" w:hAnsi="Helvetica" w:cs="Times New Roman"/>
      <w:b/>
      <w:sz w:val="36"/>
      <w:szCs w:val="32"/>
    </w:rPr>
  </w:style>
  <w:style w:type="character" w:customStyle="1" w:styleId="Heading3Char">
    <w:name w:val="Heading 3 Char"/>
    <w:basedOn w:val="DefaultParagraphFont"/>
    <w:link w:val="Heading3"/>
    <w:uiPriority w:val="9"/>
    <w:rsid w:val="003C12F4"/>
    <w:rPr>
      <w:rFonts w:ascii="Helvetica" w:eastAsia="MS Gothic" w:hAnsi="Helvetica" w:cs="Times New Roman"/>
      <w:b/>
      <w:sz w:val="28"/>
    </w:rPr>
  </w:style>
  <w:style w:type="paragraph" w:customStyle="1" w:styleId="Title1">
    <w:name w:val="Title1"/>
    <w:basedOn w:val="Normal"/>
    <w:next w:val="Normal"/>
    <w:uiPriority w:val="10"/>
    <w:qFormat/>
    <w:rsid w:val="003C12F4"/>
    <w:pPr>
      <w:spacing w:before="0" w:beforeAutospacing="0" w:after="0" w:afterAutospacing="0" w:line="240" w:lineRule="auto"/>
      <w:contextualSpacing/>
    </w:pPr>
    <w:rPr>
      <w:rFonts w:ascii="Calibri" w:eastAsia="MS Gothic" w:hAnsi="Calibri" w:cs="Times New Roman"/>
      <w:spacing w:val="-10"/>
      <w:kern w:val="28"/>
      <w:sz w:val="56"/>
      <w:szCs w:val="56"/>
      <w:lang w:val="en-GB"/>
    </w:rPr>
  </w:style>
  <w:style w:type="character" w:customStyle="1" w:styleId="TitleChar">
    <w:name w:val="Title Char"/>
    <w:basedOn w:val="DefaultParagraphFont"/>
    <w:link w:val="Title"/>
    <w:uiPriority w:val="10"/>
    <w:rsid w:val="003C12F4"/>
    <w:rPr>
      <w:rFonts w:ascii="Calibri" w:eastAsia="MS Gothic" w:hAnsi="Calibri" w:cs="Times New Roman"/>
      <w:spacing w:val="-10"/>
      <w:kern w:val="28"/>
      <w:sz w:val="56"/>
      <w:szCs w:val="56"/>
    </w:rPr>
  </w:style>
  <w:style w:type="paragraph" w:styleId="ListParagraph">
    <w:name w:val="List Paragraph"/>
    <w:basedOn w:val="Normal"/>
    <w:uiPriority w:val="34"/>
    <w:qFormat/>
    <w:rsid w:val="003C12F4"/>
    <w:pPr>
      <w:spacing w:before="0" w:beforeAutospacing="0" w:after="0" w:afterAutospacing="0" w:line="240" w:lineRule="auto"/>
      <w:ind w:left="720"/>
      <w:contextualSpacing/>
    </w:pPr>
    <w:rPr>
      <w:rFonts w:eastAsia="MS Mincho"/>
      <w:sz w:val="24"/>
      <w:szCs w:val="24"/>
      <w:lang w:val="en-GB"/>
    </w:rPr>
  </w:style>
  <w:style w:type="table" w:customStyle="1" w:styleId="TableGrid3">
    <w:name w:val="Table Grid3"/>
    <w:basedOn w:val="TableNormal"/>
    <w:next w:val="TableGrid"/>
    <w:uiPriority w:val="59"/>
    <w:rsid w:val="003C12F4"/>
    <w:pPr>
      <w:spacing w:before="0" w:beforeAutospacing="0" w:after="0" w:afterAutospacing="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1">
    <w:name w:val="Caption1"/>
    <w:basedOn w:val="Normal"/>
    <w:next w:val="Normal"/>
    <w:uiPriority w:val="35"/>
    <w:unhideWhenUsed/>
    <w:qFormat/>
    <w:rsid w:val="003C12F4"/>
    <w:pPr>
      <w:spacing w:before="0" w:beforeAutospacing="0" w:after="200" w:afterAutospacing="0" w:line="240" w:lineRule="auto"/>
    </w:pPr>
    <w:rPr>
      <w:rFonts w:eastAsia="MS Mincho"/>
      <w:i/>
      <w:iCs/>
      <w:color w:val="1F497D"/>
      <w:sz w:val="18"/>
      <w:szCs w:val="18"/>
      <w:lang w:val="en-GB"/>
    </w:rPr>
  </w:style>
  <w:style w:type="character" w:styleId="Hyperlink">
    <w:name w:val="Hyperlink"/>
    <w:basedOn w:val="DefaultParagraphFont"/>
    <w:uiPriority w:val="99"/>
    <w:unhideWhenUsed/>
    <w:rsid w:val="003C12F4"/>
    <w:rPr>
      <w:color w:val="0563C1" w:themeColor="hyperlink"/>
      <w:u w:val="single"/>
    </w:rPr>
  </w:style>
  <w:style w:type="character" w:customStyle="1" w:styleId="Heading1Char1">
    <w:name w:val="Heading 1 Char1"/>
    <w:basedOn w:val="DefaultParagraphFont"/>
    <w:uiPriority w:val="9"/>
    <w:rsid w:val="003C12F4"/>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uiPriority w:val="9"/>
    <w:semiHidden/>
    <w:rsid w:val="003C12F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C12F4"/>
    <w:pPr>
      <w:spacing w:before="0" w:after="0" w:line="240" w:lineRule="auto"/>
      <w:contextualSpacing/>
    </w:pPr>
    <w:rPr>
      <w:rFonts w:ascii="Calibri" w:eastAsia="MS Gothic" w:hAnsi="Calibri" w:cs="Times New Roman"/>
      <w:spacing w:val="-10"/>
      <w:kern w:val="28"/>
      <w:sz w:val="56"/>
      <w:szCs w:val="56"/>
    </w:rPr>
  </w:style>
  <w:style w:type="character" w:customStyle="1" w:styleId="TitleChar1">
    <w:name w:val="Title Char1"/>
    <w:basedOn w:val="DefaultParagraphFont"/>
    <w:uiPriority w:val="10"/>
    <w:rsid w:val="003C12F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C6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9782">
      <w:bodyDiv w:val="1"/>
      <w:marLeft w:val="0"/>
      <w:marRight w:val="0"/>
      <w:marTop w:val="0"/>
      <w:marBottom w:val="0"/>
      <w:divBdr>
        <w:top w:val="none" w:sz="0" w:space="0" w:color="auto"/>
        <w:left w:val="none" w:sz="0" w:space="0" w:color="auto"/>
        <w:bottom w:val="none" w:sz="0" w:space="0" w:color="auto"/>
        <w:right w:val="none" w:sz="0" w:space="0" w:color="auto"/>
      </w:divBdr>
    </w:div>
    <w:div w:id="1823080635">
      <w:bodyDiv w:val="1"/>
      <w:marLeft w:val="0"/>
      <w:marRight w:val="0"/>
      <w:marTop w:val="0"/>
      <w:marBottom w:val="0"/>
      <w:divBdr>
        <w:top w:val="none" w:sz="0" w:space="0" w:color="auto"/>
        <w:left w:val="none" w:sz="0" w:space="0" w:color="auto"/>
        <w:bottom w:val="none" w:sz="0" w:space="0" w:color="auto"/>
        <w:right w:val="none" w:sz="0" w:space="0" w:color="auto"/>
      </w:divBdr>
    </w:div>
    <w:div w:id="2091541051">
      <w:bodyDiv w:val="1"/>
      <w:marLeft w:val="0"/>
      <w:marRight w:val="0"/>
      <w:marTop w:val="0"/>
      <w:marBottom w:val="0"/>
      <w:divBdr>
        <w:top w:val="none" w:sz="0" w:space="0" w:color="auto"/>
        <w:left w:val="none" w:sz="0" w:space="0" w:color="auto"/>
        <w:bottom w:val="none" w:sz="0" w:space="0" w:color="auto"/>
        <w:right w:val="none" w:sz="0" w:space="0" w:color="auto"/>
      </w:divBdr>
    </w:div>
    <w:div w:id="21006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DA72-0584-4B24-993A-9E02DE62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61</Pages>
  <Words>58398</Words>
  <Characters>332874</Characters>
  <Application>Microsoft Office Word</Application>
  <DocSecurity>0</DocSecurity>
  <Lines>2773</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c:creator>
  <cp:keywords/>
  <dc:description/>
  <cp:lastModifiedBy>Okutse, Amos</cp:lastModifiedBy>
  <cp:revision>43</cp:revision>
  <cp:lastPrinted>2021-07-03T17:04:00Z</cp:lastPrinted>
  <dcterms:created xsi:type="dcterms:W3CDTF">2021-07-03T16:20:00Z</dcterms:created>
  <dcterms:modified xsi:type="dcterms:W3CDTF">2023-08-23T18:43:00Z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http://www.zotero.org/styles/chicago-fullnote-bibliography-with-ibid</vt:lpwstr>
  </property>
  <property fmtid="{D5CDD505-2E9C-101B-9397-08002B2CF9AE}" pid="7" name="Mendeley Recent Style Name 2_1">
    <vt:lpwstr>Chicago Manual of Style 17th edition (full note, with Ibid.)</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https://csl.mendeley.com/styles/536115801/harvard-cite-them-right-2-AO</vt:lpwstr>
  </property>
  <property fmtid="{D5CDD505-2E9C-101B-9397-08002B2CF9AE}" pid="11" name="Mendeley Recent Style Name 4_1">
    <vt:lpwstr>Cite Them Right 10th edition - Harvard - Amos okutse</vt:lpwstr>
  </property>
  <property fmtid="{D5CDD505-2E9C-101B-9397-08002B2CF9AE}" pid="12" name="Mendeley Recent Style Id 5_1">
    <vt:lpwstr>http://csl.mendeley.com/styles/19284421/harvard-coventry-university</vt:lpwstr>
  </property>
  <property fmtid="{D5CDD505-2E9C-101B-9397-08002B2CF9AE}" pid="13" name="Mendeley Recent Style Name 5_1">
    <vt:lpwstr>Harvard - Coventry University (for Mendeley)</vt:lpwstr>
  </property>
  <property fmtid="{D5CDD505-2E9C-101B-9397-08002B2CF9AE}" pid="14" name="Mendeley Recent Style Id 6_1">
    <vt:lpwstr>http://www.zotero.org/styles/plos-one</vt:lpwstr>
  </property>
  <property fmtid="{D5CDD505-2E9C-101B-9397-08002B2CF9AE}" pid="15" name="Mendeley Recent Style Name 6_1">
    <vt:lpwstr>PLOS ONE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http://csl.mendeley.com/styles/536115801/vancouver</vt:lpwstr>
  </property>
  <property fmtid="{D5CDD505-2E9C-101B-9397-08002B2CF9AE}" pid="19" name="Mendeley Recent Style Name 8_1">
    <vt:lpwstr>Vancouver - Amos okutse</vt:lpwstr>
  </property>
  <property fmtid="{D5CDD505-2E9C-101B-9397-08002B2CF9AE}" pid="20" name="Mendeley Recent Style Id 9_1">
    <vt:lpwstr>http://csl.mendeley.com/styles/16057573/vancouver-2</vt:lpwstr>
  </property>
  <property fmtid="{D5CDD505-2E9C-101B-9397-08002B2CF9AE}" pid="21" name="Mendeley Recent Style Name 9_1">
    <vt:lpwstr>Vancouver - UWA</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ies>
</file>