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2"/>
        </w:rPr>
        <w:t>OKUVU</w:t>
      </w:r>
    </w:p>
    <w:p>
      <w:pPr>
        <w:spacing w:after="40"/>
      </w:pPr>
      <w:r>
        <w:rPr>
          <w:b/>
          <w:i w:val="0"/>
          <w:sz w:val="40"/>
        </w:rPr>
        <w:t>Clinical sign-off record — crisis and safety copy</w:t>
      </w:r>
    </w:p>
    <w:p>
      <w:pPr>
        <w:spacing w:after="280"/>
      </w:pPr>
      <w:r>
        <w:rPr>
          <w:b/>
          <w:i w:val="0"/>
          <w:sz w:val="24"/>
        </w:rPr>
        <w:t>Revision 4 — FINAL. All revisions incorporated.</w:t>
      </w:r>
    </w:p>
    <w:p>
      <w:pPr>
        <w:pBdr>
          <w:bottom w:val="single" w:sz="6" w:space="1" w:color="BBBBBB"/>
        </w:pBdr>
        <w:spacing w:after="160"/>
      </w:pPr>
    </w:p>
    <w:tbl>
      <w:tblPr>
        <w:tblStyle w:val="TableGrid"/>
        <w:tblW w:type="auto" w:w="0"/>
        <w:jc w:val="center"/>
        <w:tblLayout w:type="fixed"/>
        <w:tblLook w:firstColumn="1" w:firstRow="1" w:lastColumn="0" w:lastRow="0" w:noHBand="0" w:noVBand="1" w:val="04A0"/>
      </w:tblPr>
      <w:tblGrid>
        <w:gridCol w:w="4706"/>
        <w:gridCol w:w="4706"/>
      </w:tblGrid>
      <w:tr>
        <w:tc>
          <w:tcPr>
            <w:tcW w:type="dxa" w:w="2041"/>
            <w:shd w:val="clear" w:fill="E8EEF2"/>
          </w:tcPr>
          <w:p>
            <w:pPr>
              <w:spacing w:after="40"/>
            </w:pPr>
            <w:r/>
            <w:r>
              <w:rPr>
                <w:b/>
                <w:sz w:val="18"/>
              </w:rPr>
              <w:t>Field</w:t>
            </w:r>
          </w:p>
        </w:tc>
        <w:tc>
          <w:tcPr>
            <w:tcW w:type="dxa" w:w="7370"/>
            <w:shd w:val="clear" w:fill="E8EEF2"/>
          </w:tcPr>
          <w:p>
            <w:pPr>
              <w:spacing w:after="40"/>
            </w:pPr>
            <w:r/>
            <w:r>
              <w:rPr>
                <w:b/>
                <w:sz w:val="18"/>
              </w:rPr>
              <w:t>Detail</w:t>
            </w:r>
          </w:p>
        </w:tc>
      </w:tr>
      <w:tr>
        <w:tc>
          <w:tcPr>
            <w:tcW w:type="dxa" w:w="2041"/>
          </w:tcPr>
          <w:p>
            <w:pPr>
              <w:spacing w:after="40"/>
            </w:pPr>
            <w:r/>
            <w:r>
              <w:rPr>
                <w:sz w:val="18"/>
              </w:rPr>
              <w:t>Clinical authority</w:t>
            </w:r>
          </w:p>
        </w:tc>
        <w:tc>
          <w:tcPr>
            <w:tcW w:type="dxa" w:w="7370"/>
          </w:tcPr>
          <w:p>
            <w:pPr>
              <w:spacing w:after="40"/>
            </w:pPr>
            <w:r/>
            <w:r>
              <w:rPr>
                <w:sz w:val="18"/>
              </w:rPr>
              <w:t>Dr Shubhangi Goswami, Clinical Psychologist (alphashubhangi@gmail.com)</w:t>
            </w:r>
          </w:p>
        </w:tc>
      </w:tr>
      <w:tr>
        <w:tc>
          <w:tcPr>
            <w:tcW w:type="dxa" w:w="2041"/>
          </w:tcPr>
          <w:p>
            <w:pPr>
              <w:spacing w:after="40"/>
            </w:pPr>
            <w:r/>
            <w:r>
              <w:rPr>
                <w:sz w:val="18"/>
              </w:rPr>
              <w:t>Scope</w:t>
            </w:r>
          </w:p>
        </w:tc>
        <w:tc>
          <w:tcPr>
            <w:tcW w:type="dxa" w:w="7370"/>
          </w:tcPr>
          <w:p>
            <w:pPr>
              <w:spacing w:after="40"/>
            </w:pPr>
            <w:r/>
            <w:r>
              <w:rPr>
                <w:sz w:val="18"/>
              </w:rPr>
              <w:t>S3 reply, S4 crisis card, third-party (csh-08) reply, self-injury reply, helpline list and order, literal-phrase list, idiom guards, precedence rule</w:t>
            </w:r>
          </w:p>
        </w:tc>
      </w:tr>
      <w:tr>
        <w:tc>
          <w:tcPr>
            <w:tcW w:type="dxa" w:w="2041"/>
          </w:tcPr>
          <w:p>
            <w:pPr>
              <w:spacing w:after="40"/>
            </w:pPr>
            <w:r/>
            <w:r>
              <w:rPr>
                <w:sz w:val="18"/>
              </w:rPr>
              <w:t>Status</w:t>
            </w:r>
          </w:p>
        </w:tc>
        <w:tc>
          <w:tcPr>
            <w:tcW w:type="dxa" w:w="7370"/>
          </w:tcPr>
          <w:p>
            <w:pPr>
              <w:spacing w:after="40"/>
            </w:pPr>
            <w:r/>
            <w:r>
              <w:rPr>
                <w:sz w:val="18"/>
              </w:rPr>
              <w:t>APPROVED — digital approval given 31 October 2026. No physical signature required.</w:t>
            </w:r>
          </w:p>
        </w:tc>
      </w:tr>
      <w:tr>
        <w:tc>
          <w:tcPr>
            <w:tcW w:type="dxa" w:w="2041"/>
          </w:tcPr>
          <w:p>
            <w:pPr>
              <w:spacing w:after="40"/>
            </w:pPr>
            <w:r/>
            <w:r>
              <w:rPr>
                <w:sz w:val="18"/>
              </w:rPr>
              <w:t>Supersedes</w:t>
            </w:r>
          </w:p>
        </w:tc>
        <w:tc>
          <w:tcPr>
            <w:tcW w:type="dxa" w:w="7370"/>
          </w:tcPr>
          <w:p>
            <w:pPr>
              <w:spacing w:after="40"/>
            </w:pPr>
            <w:r/>
            <w:r>
              <w:rPr>
                <w:sz w:val="18"/>
              </w:rPr>
              <w:t>Revisions 1–3 of this record, and the returned sign-off form of 31 Oct 2026 12:15 UTC (sha256 af36ceb9…). Those are withdrawn as the operative artefact; this document governs.</w:t>
            </w:r>
          </w:p>
        </w:tc>
      </w:tr>
      <w:tr>
        <w:tc>
          <w:tcPr>
            <w:tcW w:type="dxa" w:w="2041"/>
          </w:tcPr>
          <w:p>
            <w:pPr>
              <w:spacing w:after="40"/>
            </w:pPr>
            <w:r/>
            <w:r>
              <w:rPr>
                <w:sz w:val="18"/>
              </w:rPr>
              <w:t>Product baseline</w:t>
            </w:r>
          </w:p>
        </w:tc>
        <w:tc>
          <w:tcPr>
            <w:tcW w:type="dxa" w:w="7370"/>
          </w:tcPr>
          <w:p>
            <w:pPr>
              <w:spacing w:after="40"/>
            </w:pPr>
            <w:r/>
            <w:r>
              <w:rPr>
                <w:sz w:val="18"/>
              </w:rPr>
              <w:t>okuvu/ts, branch feat/e17-s7-approved-copy, commit 3c8dabd</w:t>
            </w:r>
          </w:p>
        </w:tc>
      </w:tr>
      <w:tr>
        <w:tc>
          <w:tcPr>
            <w:tcW w:type="dxa" w:w="2041"/>
          </w:tcPr>
          <w:p>
            <w:pPr>
              <w:spacing w:after="40"/>
            </w:pPr>
            <w:r/>
            <w:r>
              <w:rPr>
                <w:sz w:val="18"/>
              </w:rPr>
              <w:t>Date of issue</w:t>
            </w:r>
          </w:p>
        </w:tc>
        <w:tc>
          <w:tcPr>
            <w:tcW w:type="dxa" w:w="7370"/>
          </w:tcPr>
          <w:p>
            <w:pPr>
              <w:spacing w:after="40"/>
            </w:pPr>
            <w:r/>
            <w:r>
              <w:rPr>
                <w:sz w:val="18"/>
              </w:rPr>
              <w:t>31 October 2026</w:t>
            </w:r>
          </w:p>
        </w:tc>
      </w:tr>
      <w:tr>
        <w:tc>
          <w:tcPr>
            <w:tcW w:type="dxa" w:w="2041"/>
          </w:tcPr>
          <w:p>
            <w:pPr>
              <w:spacing w:after="40"/>
            </w:pPr>
            <w:r/>
            <w:r>
              <w:rPr>
                <w:sz w:val="18"/>
              </w:rPr>
              <w:t>Prepared by</w:t>
            </w:r>
          </w:p>
        </w:tc>
        <w:tc>
          <w:tcPr>
            <w:tcW w:type="dxa" w:w="7370"/>
          </w:tcPr>
          <w:p>
            <w:pPr>
              <w:spacing w:after="40"/>
            </w:pPr>
            <w:r/>
            <w:r>
              <w:rPr>
                <w:sz w:val="18"/>
              </w:rPr>
              <w:t>Okuvu product team (Keel Assist)</w:t>
            </w:r>
          </w:p>
        </w:tc>
      </w:tr>
    </w:tbl>
    <w:p>
      <w:pPr>
        <w:spacing w:after="80"/>
      </w:pPr>
    </w:p>
    <w:p>
      <w:r>
        <w:rPr>
          <w:b w:val="0"/>
          <w:i w:val="0"/>
          <w:sz w:val="20"/>
        </w:rPr>
        <w:t>How to read this document. Section 2 is the final text of every card, ready to ship. Section 5 is a mechanical inventory of every place in the product that carries clinical words, marked signed or unsigned. Section 6 is the complete list — the only list — of what still needs you. If something clinical is not in section 6, it does not need you.</w:t>
      </w:r>
    </w:p>
    <w:p>
      <w:r>
        <w:br w:type="page"/>
      </w:r>
    </w:p>
    <w:p>
      <w:pPr>
        <w:pStyle w:val="Heading1"/>
      </w:pPr>
      <w:r>
        <w:t>1. Approval statement</w:t>
      </w:r>
    </w:p>
    <w:p>
      <w:r>
        <w:rPr>
          <w:b w:val="0"/>
          <w:i w:val="0"/>
        </w:rPr>
        <w:t>Dr Goswami's instruction of 31 October 2026, verbatim:</w:t>
      </w:r>
    </w:p>
    <w:p>
      <w:pPr>
        <w:pBdr>
          <w:left w:val="single" w:sz="18" w:space="8" w:color="1F5C7A"/>
        </w:pBdr>
        <w:spacing w:after="200"/>
        <w:ind w:left="283"/>
      </w:pPr>
      <w:r>
        <w:rPr>
          <w:sz w:val="21"/>
        </w:rPr>
        <w:t>“All revisions discussed are upgrades that need to be considered. So, once and for all, tell me whatever is required to be done in the final sign off doc. My physical image sign does not matter. Consider the latest doc with all revisions to be final. I am digitally approving that much.”</w:t>
      </w:r>
    </w:p>
    <w:p>
      <w:r>
        <w:rPr>
          <w:b w:val="0"/>
          <w:i w:val="0"/>
        </w:rPr>
        <w:t>Recorded effect. Dr Goswami, as named clinical authority for Okuvu, digitally approves the copy and rules in section 2, 3 and 4 of this document as final. This approval is given by written instruction through the product team's channel on 31 October 2026 and does not depend on a handwritten signature or signature image. The earlier returned form is retained as correspondence, not as the operative approval.</w:t>
      </w:r>
    </w:p>
    <w:p>
      <w:pPr>
        <w:spacing w:after="40"/>
      </w:pPr>
      <w:r>
        <w:rPr>
          <w:b/>
          <w:i w:val="0"/>
        </w:rPr>
        <w:t>What this approval authorises:</w:t>
      </w:r>
    </w:p>
    <w:p>
      <w:pPr>
        <w:pStyle w:val="ListBullet"/>
        <w:spacing w:after="60"/>
      </w:pPr>
      <w:r>
        <w:t>The S3 reply, the S4 crisis card, the third-party reply and the self-injury reply, in the wording of section 2, as the clinical content of the product.</w:t>
      </w:r>
    </w:p>
    <w:p>
      <w:pPr>
        <w:pStyle w:val="ListBullet"/>
        <w:spacing w:after="60"/>
      </w:pPr>
      <w:r>
        <w:t>The six-number helpline block, in the order and with the hours stated in section 2.1, in every fixed reply that carries a helpline block.</w:t>
      </w:r>
    </w:p>
    <w:p>
      <w:pPr>
        <w:pStyle w:val="ListBullet"/>
        <w:spacing w:after="60"/>
      </w:pPr>
      <w:r>
        <w:t>The eleven literal phrases, both idiom guards, the three deliberate omissions, and the precedence rule, as set out in section 3.</w:t>
      </w:r>
    </w:p>
    <w:p>
      <w:pPr>
        <w:pStyle w:val="ListBullet"/>
        <w:spacing w:after="60"/>
      </w:pPr>
      <w:r>
        <w:t>The routing rules in section 4, including that self-injury phrasing reaches the crisis card.</w:t>
      </w:r>
    </w:p>
    <w:p>
      <w:pPr>
        <w:spacing w:after="40"/>
      </w:pPr>
      <w:r>
        <w:rPr>
          <w:b/>
          <w:i w:val="0"/>
        </w:rPr>
        <w:t>What it does not authorise:</w:t>
      </w:r>
    </w:p>
    <w:p>
      <w:pPr>
        <w:pStyle w:val="ListBullet"/>
        <w:spacing w:after="60"/>
      </w:pPr>
      <w:r>
        <w:t>Any public claim that the product, its copy, or its clinical content has been clinically reviewed, validated or endorsed. That is item CD-5, and it is not yet given.</w:t>
      </w:r>
    </w:p>
    <w:p>
      <w:pPr>
        <w:pStyle w:val="ListBullet"/>
        <w:spacing w:after="60"/>
      </w:pPr>
      <w:r>
        <w:t>The medical-emergency copy, the technical-failure replies, or the app's crisis and age-gate screens. Those are not covered by this approval — they are items CD-2, CD-6 and CD-7.</w:t>
      </w:r>
    </w:p>
    <w:p>
      <w:pPr>
        <w:pStyle w:val="ListBullet"/>
        <w:spacing w:after="60"/>
      </w:pPr>
      <w:r>
        <w:t>The A1 classifier's severity definitions, which decide who receives which card. Item CD-8.</w:t>
      </w:r>
    </w:p>
    <w:p>
      <w:pPr>
        <w:pStyle w:val="ListBullet"/>
        <w:spacing w:after="60"/>
      </w:pPr>
      <w:r>
        <w:t>Any behaviour of the software. This approves words and rules; what the code does is reported separately in section 7.</w:t>
      </w:r>
    </w:p>
    <w:p>
      <w:r>
        <w:br w:type="page"/>
      </w:r>
    </w:p>
    <w:p>
      <w:pPr>
        <w:pStyle w:val="Heading1"/>
      </w:pPr>
      <w:r>
        <w:t>2. The approved copy</w:t>
      </w:r>
    </w:p>
    <w:p>
      <w:r>
        <w:rPr>
          <w:b w:val="0"/>
          <w:i w:val="0"/>
        </w:rPr>
        <w:t>Below is the final text of each card. Where a card carries numbers, the block in 2.1 is inserted as printed. These strings are the product's clinical content; changing a word voids the approval for that card and it returns to Dr Goswami before it changes.</w:t>
      </w:r>
    </w:p>
    <w:p>
      <w:pPr>
        <w:pStyle w:val="Heading2"/>
      </w:pPr>
      <w:r>
        <w:t>2.1 The helpline block — final order</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794"/>
            <w:shd w:val="clear" w:fill="E8EEF2"/>
          </w:tcPr>
          <w:p>
            <w:pPr>
              <w:spacing w:after="40"/>
            </w:pPr>
            <w:r/>
            <w:r>
              <w:rPr>
                <w:b/>
                <w:sz w:val="18"/>
              </w:rPr>
              <w:t>Order</w:t>
            </w:r>
          </w:p>
        </w:tc>
        <w:tc>
          <w:tcPr>
            <w:tcW w:type="dxa" w:w="2608"/>
            <w:shd w:val="clear" w:fill="E8EEF2"/>
          </w:tcPr>
          <w:p>
            <w:pPr>
              <w:spacing w:after="40"/>
            </w:pPr>
            <w:r/>
            <w:r>
              <w:rPr>
                <w:b/>
                <w:sz w:val="18"/>
              </w:rPr>
              <w:t>Service</w:t>
            </w:r>
          </w:p>
        </w:tc>
        <w:tc>
          <w:tcPr>
            <w:tcW w:type="dxa" w:w="2608"/>
            <w:shd w:val="clear" w:fill="E8EEF2"/>
          </w:tcPr>
          <w:p>
            <w:pPr>
              <w:spacing w:after="40"/>
            </w:pPr>
            <w:r/>
            <w:r>
              <w:rPr>
                <w:b/>
                <w:sz w:val="18"/>
              </w:rPr>
              <w:t>Number</w:t>
            </w:r>
          </w:p>
        </w:tc>
        <w:tc>
          <w:tcPr>
            <w:tcW w:type="dxa" w:w="2608"/>
            <w:shd w:val="clear" w:fill="E8EEF2"/>
          </w:tcPr>
          <w:p>
            <w:pPr>
              <w:spacing w:after="40"/>
            </w:pPr>
            <w:r/>
            <w:r>
              <w:rPr>
                <w:b/>
                <w:sz w:val="18"/>
              </w:rPr>
              <w:t>Availability</w:t>
            </w:r>
          </w:p>
        </w:tc>
      </w:tr>
      <w:tr>
        <w:tc>
          <w:tcPr>
            <w:tcW w:type="dxa" w:w="794"/>
          </w:tcPr>
          <w:p>
            <w:pPr>
              <w:spacing w:after="40"/>
            </w:pPr>
            <w:r/>
            <w:r>
              <w:rPr>
                <w:sz w:val="18"/>
              </w:rPr>
              <w:t>1</w:t>
            </w:r>
          </w:p>
        </w:tc>
        <w:tc>
          <w:tcPr>
            <w:tcW w:type="dxa" w:w="2608"/>
          </w:tcPr>
          <w:p>
            <w:pPr>
              <w:spacing w:after="40"/>
            </w:pPr>
            <w:r/>
            <w:r>
              <w:rPr>
                <w:sz w:val="18"/>
              </w:rPr>
              <w:t>Tele-MANAS</w:t>
            </w:r>
          </w:p>
        </w:tc>
        <w:tc>
          <w:tcPr>
            <w:tcW w:type="dxa" w:w="2608"/>
          </w:tcPr>
          <w:p>
            <w:pPr>
              <w:spacing w:after="40"/>
            </w:pPr>
            <w:r/>
            <w:r>
              <w:rPr>
                <w:sz w:val="18"/>
              </w:rPr>
              <w:t>14416</w:t>
            </w:r>
          </w:p>
        </w:tc>
        <w:tc>
          <w:tcPr>
            <w:tcW w:type="dxa" w:w="2608"/>
          </w:tcPr>
          <w:p>
            <w:pPr>
              <w:spacing w:after="40"/>
            </w:pPr>
            <w:r/>
            <w:r>
              <w:rPr>
                <w:sz w:val="18"/>
              </w:rPr>
              <w:t>24×7</w:t>
            </w:r>
          </w:p>
        </w:tc>
      </w:tr>
      <w:tr>
        <w:tc>
          <w:tcPr>
            <w:tcW w:type="dxa" w:w="794"/>
          </w:tcPr>
          <w:p>
            <w:pPr>
              <w:spacing w:after="40"/>
            </w:pPr>
            <w:r/>
            <w:r>
              <w:rPr>
                <w:sz w:val="18"/>
              </w:rPr>
              <w:t>2</w:t>
            </w:r>
          </w:p>
        </w:tc>
        <w:tc>
          <w:tcPr>
            <w:tcW w:type="dxa" w:w="2608"/>
          </w:tcPr>
          <w:p>
            <w:pPr>
              <w:spacing w:after="40"/>
            </w:pPr>
            <w:r/>
            <w:r>
              <w:rPr>
                <w:sz w:val="18"/>
              </w:rPr>
              <w:t>Vandrevala Foundation</w:t>
            </w:r>
          </w:p>
        </w:tc>
        <w:tc>
          <w:tcPr>
            <w:tcW w:type="dxa" w:w="2608"/>
          </w:tcPr>
          <w:p>
            <w:pPr>
              <w:spacing w:after="40"/>
            </w:pPr>
            <w:r/>
            <w:r>
              <w:rPr>
                <w:sz w:val="18"/>
              </w:rPr>
              <w:t>+91 9999 666 555</w:t>
            </w:r>
          </w:p>
        </w:tc>
        <w:tc>
          <w:tcPr>
            <w:tcW w:type="dxa" w:w="2608"/>
          </w:tcPr>
          <w:p>
            <w:pPr>
              <w:spacing w:after="40"/>
            </w:pPr>
            <w:r/>
            <w:r>
              <w:rPr>
                <w:sz w:val="18"/>
              </w:rPr>
              <w:t>24×7×365</w:t>
            </w:r>
          </w:p>
        </w:tc>
      </w:tr>
      <w:tr>
        <w:tc>
          <w:tcPr>
            <w:tcW w:type="dxa" w:w="794"/>
          </w:tcPr>
          <w:p>
            <w:pPr>
              <w:spacing w:after="40"/>
            </w:pPr>
            <w:r/>
            <w:r>
              <w:rPr>
                <w:sz w:val="18"/>
              </w:rPr>
              <w:t>3</w:t>
            </w:r>
          </w:p>
        </w:tc>
        <w:tc>
          <w:tcPr>
            <w:tcW w:type="dxa" w:w="2608"/>
          </w:tcPr>
          <w:p>
            <w:pPr>
              <w:spacing w:after="40"/>
            </w:pPr>
            <w:r/>
            <w:r>
              <w:rPr>
                <w:sz w:val="18"/>
              </w:rPr>
              <w:t>Sneha, Chennai</w:t>
            </w:r>
          </w:p>
        </w:tc>
        <w:tc>
          <w:tcPr>
            <w:tcW w:type="dxa" w:w="2608"/>
          </w:tcPr>
          <w:p>
            <w:pPr>
              <w:spacing w:after="40"/>
            </w:pPr>
            <w:r/>
            <w:r>
              <w:rPr>
                <w:sz w:val="18"/>
              </w:rPr>
              <w:t>044-24640050</w:t>
            </w:r>
          </w:p>
        </w:tc>
        <w:tc>
          <w:tcPr>
            <w:tcW w:type="dxa" w:w="2608"/>
          </w:tcPr>
          <w:p>
            <w:pPr>
              <w:spacing w:after="40"/>
            </w:pPr>
            <w:r/>
            <w:r>
              <w:rPr>
                <w:sz w:val="18"/>
              </w:rPr>
              <w:t>10 am – 10 pm</w:t>
            </w:r>
          </w:p>
        </w:tc>
      </w:tr>
      <w:tr>
        <w:tc>
          <w:tcPr>
            <w:tcW w:type="dxa" w:w="794"/>
          </w:tcPr>
          <w:p>
            <w:pPr>
              <w:spacing w:after="40"/>
            </w:pPr>
            <w:r/>
            <w:r>
              <w:rPr>
                <w:sz w:val="18"/>
              </w:rPr>
              <w:t>4</w:t>
            </w:r>
          </w:p>
        </w:tc>
        <w:tc>
          <w:tcPr>
            <w:tcW w:type="dxa" w:w="2608"/>
          </w:tcPr>
          <w:p>
            <w:pPr>
              <w:spacing w:after="40"/>
            </w:pPr>
            <w:r/>
            <w:r>
              <w:rPr>
                <w:sz w:val="18"/>
              </w:rPr>
              <w:t>NIMHANS</w:t>
            </w:r>
          </w:p>
        </w:tc>
        <w:tc>
          <w:tcPr>
            <w:tcW w:type="dxa" w:w="2608"/>
          </w:tcPr>
          <w:p>
            <w:pPr>
              <w:spacing w:after="40"/>
            </w:pPr>
            <w:r/>
            <w:r>
              <w:rPr>
                <w:sz w:val="18"/>
              </w:rPr>
              <w:t>080-46110007</w:t>
            </w:r>
          </w:p>
        </w:tc>
        <w:tc>
          <w:tcPr>
            <w:tcW w:type="dxa" w:w="2608"/>
          </w:tcPr>
          <w:p>
            <w:pPr>
              <w:spacing w:after="40"/>
            </w:pPr>
            <w:r/>
            <w:r>
              <w:rPr>
                <w:sz w:val="18"/>
              </w:rPr>
              <w:t>24×7</w:t>
            </w:r>
          </w:p>
        </w:tc>
      </w:tr>
      <w:tr>
        <w:tc>
          <w:tcPr>
            <w:tcW w:type="dxa" w:w="794"/>
          </w:tcPr>
          <w:p>
            <w:pPr>
              <w:spacing w:after="40"/>
            </w:pPr>
            <w:r/>
            <w:r>
              <w:rPr>
                <w:sz w:val="18"/>
              </w:rPr>
              <w:t>5</w:t>
            </w:r>
          </w:p>
        </w:tc>
        <w:tc>
          <w:tcPr>
            <w:tcW w:type="dxa" w:w="2608"/>
          </w:tcPr>
          <w:p>
            <w:pPr>
              <w:spacing w:after="40"/>
            </w:pPr>
            <w:r/>
            <w:r>
              <w:rPr>
                <w:sz w:val="18"/>
              </w:rPr>
              <w:t>iCall (TISS)</w:t>
            </w:r>
          </w:p>
        </w:tc>
        <w:tc>
          <w:tcPr>
            <w:tcW w:type="dxa" w:w="2608"/>
          </w:tcPr>
          <w:p>
            <w:pPr>
              <w:spacing w:after="40"/>
            </w:pPr>
            <w:r/>
            <w:r>
              <w:rPr>
                <w:sz w:val="18"/>
              </w:rPr>
              <w:t>9152987821</w:t>
            </w:r>
          </w:p>
        </w:tc>
        <w:tc>
          <w:tcPr>
            <w:tcW w:type="dxa" w:w="2608"/>
          </w:tcPr>
          <w:p>
            <w:pPr>
              <w:spacing w:after="40"/>
            </w:pPr>
            <w:r/>
            <w:r>
              <w:rPr>
                <w:sz w:val="18"/>
              </w:rPr>
              <w:t>Mon–Sat, 10 am – 8 pm</w:t>
            </w:r>
          </w:p>
        </w:tc>
      </w:tr>
      <w:tr>
        <w:tc>
          <w:tcPr>
            <w:tcW w:type="dxa" w:w="794"/>
          </w:tcPr>
          <w:p>
            <w:pPr>
              <w:spacing w:after="40"/>
            </w:pPr>
            <w:r/>
            <w:r>
              <w:rPr>
                <w:sz w:val="18"/>
              </w:rPr>
              <w:t>6</w:t>
            </w:r>
          </w:p>
        </w:tc>
        <w:tc>
          <w:tcPr>
            <w:tcW w:type="dxa" w:w="2608"/>
          </w:tcPr>
          <w:p>
            <w:pPr>
              <w:spacing w:after="40"/>
            </w:pPr>
            <w:r/>
            <w:r>
              <w:rPr>
                <w:sz w:val="18"/>
              </w:rPr>
              <w:t>Emergency</w:t>
            </w:r>
          </w:p>
        </w:tc>
        <w:tc>
          <w:tcPr>
            <w:tcW w:type="dxa" w:w="2608"/>
          </w:tcPr>
          <w:p>
            <w:pPr>
              <w:spacing w:after="40"/>
            </w:pPr>
            <w:r/>
            <w:r>
              <w:rPr>
                <w:sz w:val="18"/>
              </w:rPr>
              <w:t>112</w:t>
            </w:r>
          </w:p>
        </w:tc>
        <w:tc>
          <w:tcPr>
            <w:tcW w:type="dxa" w:w="2608"/>
          </w:tcPr>
          <w:p>
            <w:pPr>
              <w:spacing w:after="40"/>
            </w:pPr>
            <w:r/>
            <w:r>
              <w:rPr>
                <w:sz w:val="18"/>
              </w:rPr>
              <w:t>police, fire, ambulance</w:t>
            </w:r>
          </w:p>
        </w:tc>
      </w:tr>
    </w:tbl>
    <w:p>
      <w:pPr>
        <w:spacing w:after="80"/>
      </w:pPr>
    </w:p>
    <w:p>
      <w:r>
        <w:rPr>
          <w:b w:val="0"/>
          <w:i w:val="0"/>
          <w:sz w:val="20"/>
        </w:rPr>
        <w:t>Ordering rationale, in her words: iCall “should not be the first choice during crisis” because it is run by TISS and is not a 24×7 line, so it is placed last with its hours stated. Tele-MANAS leads. NIMHANS is placed immediately before iCall on her instruction. 112 is carried as the emergency line on every card that carries the block.</w:t>
      </w:r>
    </w:p>
    <w:p>
      <w:r>
        <w:rPr>
          <w:b w:val="0"/>
          <w:i/>
          <w:sz w:val="20"/>
        </w:rPr>
        <w:t>One fact held on record: NIMHANS is a 24×7 service and sits fourth, behind Sneha which closes at 10 pm. This follows the instruction given and is recorded so that nobody later re-sorts the list as if it were a slip.</w:t>
      </w:r>
    </w:p>
    <w:p>
      <w:pPr>
        <w:pStyle w:val="Heading2"/>
      </w:pPr>
      <w:r>
        <w:t>2.2 S3 reply — elevated risk, no stated plan</w:t>
      </w:r>
    </w:p>
    <w:p>
      <w:r>
        <w:rPr>
          <w:b w:val="0"/>
          <w:i w:val="0"/>
          <w:sz w:val="20"/>
        </w:rPr>
        <w:t>Served when the message shows hopelessness, burden or escape themes without a stated plan or method. Approved by her as row 1 of the sign-off, with “I am not going anywhere” removed.</w:t>
      </w:r>
    </w:p>
    <w:p>
      <w:pPr>
        <w:spacing w:after="40"/>
      </w:pPr>
      <w:r>
        <w:rPr>
          <w:b/>
          <w:color w:val="555555"/>
          <w:sz w:val="18"/>
        </w:rPr>
        <w:t>SHIPPING TEXT</w:t>
      </w:r>
    </w:p>
    <w:p>
      <w:pPr>
        <w:pBdr>
          <w:left w:val="single" w:sz="18" w:space="8" w:color="1F5C7A"/>
        </w:pBdr>
        <w:spacing w:after="200"/>
        <w:ind w:left="283"/>
      </w:pPr>
      <w:r>
        <w:rPr>
          <w:sz w:val="21"/>
        </w:rPr>
        <w:t>I want to take this seriously with you, and I don’t want this app to be the only support you have with it.</w:t>
        <w:br/>
        <w:br/>
        <w:t>Please reach a person now rather than later:</w:t>
        <w:br/>
        <w:t>Tele-MANAS: 14416 — 24×7</w:t>
        <w:br/>
        <w:t>Vandrevala Foundation: +91 9999 666 555 — 24×7×365</w:t>
        <w:br/>
        <w:t>Sneha, Chennai: 044-24640050 — 10 am – 10 pm</w:t>
        <w:br/>
        <w:t>NIMHANS: 080-46110007 — 24×7</w:t>
        <w:br/>
        <w:t>iCall (TISS): 9152987821 — Mon–Sat, 10 am – 8 pm</w:t>
        <w:br/>
        <w:t>Emergency: 112 — police, fire, ambulance</w:t>
        <w:br/>
        <w:br/>
        <w:t>While you call, try one slow breath in, a longer breath out. Is there anyone with you right now? You can keep writing here as well.</w:t>
      </w:r>
    </w:p>
    <w:p>
      <w:pPr>
        <w:pStyle w:val="Heading2"/>
      </w:pPr>
      <w:r>
        <w:t>2.3 S4 crisis card — explicit crisis</w:t>
      </w:r>
    </w:p>
    <w:p>
      <w:r>
        <w:rPr>
          <w:b w:val="0"/>
          <w:i w:val="0"/>
          <w:sz w:val="20"/>
        </w:rPr>
        <w:t>Approved as row 5 of the sign-off. Her words, with four typographical corrections authorised by her (see 2.6).</w:t>
      </w:r>
    </w:p>
    <w:p>
      <w:pPr>
        <w:spacing w:after="40"/>
      </w:pPr>
      <w:r>
        <w:rPr>
          <w:b/>
          <w:color w:val="555555"/>
          <w:sz w:val="18"/>
        </w:rPr>
        <w:t>SHIPPING TEXT</w:t>
      </w:r>
    </w:p>
    <w:p>
      <w:pPr>
        <w:pBdr>
          <w:left w:val="single" w:sz="18" w:space="8" w:color="1F5C7A"/>
        </w:pBdr>
        <w:spacing w:after="200"/>
        <w:ind w:left="283"/>
      </w:pPr>
      <w:r>
        <w:rPr>
          <w:sz w:val="21"/>
        </w:rPr>
        <w:t>I’m really glad you told me. What you are carrying sounds too much to hold alone. Please contact one of these right now:</w:t>
        <w:br/>
        <w:t>Tele-MANAS: 14416 — 24×7</w:t>
        <w:br/>
        <w:t>Vandrevala Foundation: +91 9999 666 555 — 24×7×365</w:t>
        <w:br/>
        <w:t>Sneha, Chennai: 044-24640050 — 10 am – 10 pm</w:t>
        <w:br/>
        <w:t>NIMHANS: 080-46110007 — 24×7</w:t>
        <w:br/>
        <w:t>iCall (TISS): 9152987821 — Mon–Sat, 10 am – 8 pm</w:t>
        <w:br/>
        <w:t>Emergency: 112 — police, fire, ambulance</w:t>
        <w:br/>
        <w:br/>
        <w:t>I would suggest that you let your therapist or someone you trust know.</w:t>
      </w:r>
    </w:p>
    <w:p>
      <w:pPr>
        <w:pStyle w:val="Heading2"/>
      </w:pPr>
      <w:r>
        <w:t>2.4 Third-party reply — risk is someone else’s (csh-08)</w:t>
      </w:r>
    </w:p>
    <w:p>
      <w:r>
        <w:rPr>
          <w:b w:val="0"/>
          <w:i w:val="0"/>
          <w:sz w:val="20"/>
        </w:rPr>
        <w:t>Approved by paraphrase: “suggest the same emergency numbers and paraphrase the same for the third person.” The shipping text is her paraphrase plus the block. The unreviewed opening and closing of the old card, and its instruction to ask the person directly about intent, are dropped on her instruction (“ok. drop it”).</w:t>
      </w:r>
    </w:p>
    <w:p>
      <w:pPr>
        <w:spacing w:after="40"/>
      </w:pPr>
      <w:r>
        <w:rPr>
          <w:b/>
          <w:color w:val="555555"/>
          <w:sz w:val="18"/>
        </w:rPr>
        <w:t>SHIPPING TEXT</w:t>
      </w:r>
    </w:p>
    <w:p>
      <w:pPr>
        <w:pBdr>
          <w:left w:val="single" w:sz="18" w:space="8" w:color="1F5C7A"/>
        </w:pBdr>
        <w:spacing w:after="200"/>
        <w:ind w:left="283"/>
      </w:pPr>
      <w:r>
        <w:rPr>
          <w:sz w:val="21"/>
        </w:rPr>
        <w:t>This must be too hard on them, but this is a serious thing, and I don’t want this app to be the only support you have with it.</w:t>
        <w:br/>
        <w:br/>
        <w:t>Please reach a person for them now rather than later:</w:t>
        <w:br/>
        <w:t>Tele-MANAS: 14416 — 24×7</w:t>
        <w:br/>
        <w:t>Vandrevala Foundation: +91 9999 666 555 — 24×7×365</w:t>
        <w:br/>
        <w:t>Sneha, Chennai: 044-24640050 — 10 am – 10 pm</w:t>
        <w:br/>
        <w:t>NIMHANS: 080-46110007 — 24×7</w:t>
        <w:br/>
        <w:t>iCall (TISS): 9152987821 — Mon–Sat, 10 am – 8 pm</w:t>
        <w:br/>
        <w:t>Emergency: 112 — police, fire, ambulance</w:t>
      </w:r>
    </w:p>
    <w:p>
      <w:pPr>
        <w:pStyle w:val="Heading2"/>
      </w:pPr>
      <w:r>
        <w:t>2.5 Self-injury reply — “cutting” / “cut myself”</w:t>
      </w:r>
    </w:p>
    <w:p>
      <w:r>
        <w:rPr>
          <w:b w:val="0"/>
          <w:i w:val="0"/>
          <w:sz w:val="20"/>
        </w:rPr>
        <w:t>Approved in her own words as row 6 of her second message, with “trust me,” removed on her instruction 6 of the third. “Please let your therapist know” is retained on her instruction 5 — the app is therapist-guided. Routed to the crisis tier (section 4.2).</w:t>
      </w:r>
    </w:p>
    <w:p>
      <w:pPr>
        <w:spacing w:after="40"/>
      </w:pPr>
      <w:r>
        <w:rPr>
          <w:b/>
          <w:color w:val="555555"/>
          <w:sz w:val="18"/>
        </w:rPr>
        <w:t>SHIPPING TEXT</w:t>
      </w:r>
    </w:p>
    <w:p>
      <w:pPr>
        <w:pBdr>
          <w:left w:val="single" w:sz="18" w:space="8" w:color="1F5C7A"/>
        </w:pBdr>
        <w:spacing w:after="200"/>
        <w:ind w:left="283"/>
      </w:pPr>
      <w:r>
        <w:rPr>
          <w:sz w:val="21"/>
        </w:rPr>
        <w:t>Cutting may seem temporarily relieving, but it can be very dangerous and fatal. It is a coping strategy, but there are alternatives. Please let your therapist know and call any of the following numbers if you feel like cutting now:</w:t>
        <w:br/>
        <w:t>Tele-MANAS: 14416 — 24×7</w:t>
        <w:br/>
        <w:t>Vandrevala Foundation: +91 9999 666 555 — 24×7×365</w:t>
        <w:br/>
        <w:t>Sneha, Chennai: 044-24640050 — 10 am – 10 pm</w:t>
        <w:br/>
        <w:t>NIMHANS: 080-46110007 — 24×7</w:t>
        <w:br/>
        <w:t>iCall (TISS): 9152987821 — Mon–Sat, 10 am – 8 pm</w:t>
        <w:br/>
        <w:t>Emergency: 112 — police, fire, ambulance</w:t>
      </w:r>
    </w:p>
    <w:p>
      <w:pPr>
        <w:pStyle w:val="Heading2"/>
      </w:pPr>
      <w:r>
        <w:t>2.6 Every wording change from her dictation, and why</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1304"/>
            <w:shd w:val="clear" w:fill="E8EEF2"/>
          </w:tcPr>
          <w:p>
            <w:pPr>
              <w:spacing w:after="40"/>
            </w:pPr>
            <w:r/>
            <w:r>
              <w:rPr>
                <w:b/>
                <w:sz w:val="18"/>
              </w:rPr>
              <w:t>Card</w:t>
            </w:r>
          </w:p>
        </w:tc>
        <w:tc>
          <w:tcPr>
            <w:tcW w:type="dxa" w:w="2835"/>
            <w:shd w:val="clear" w:fill="E8EEF2"/>
          </w:tcPr>
          <w:p>
            <w:pPr>
              <w:spacing w:after="40"/>
            </w:pPr>
            <w:r/>
            <w:r>
              <w:rPr>
                <w:b/>
                <w:sz w:val="18"/>
              </w:rPr>
              <w:t>As she wrote it</w:t>
            </w:r>
          </w:p>
        </w:tc>
        <w:tc>
          <w:tcPr>
            <w:tcW w:type="dxa" w:w="2494"/>
            <w:shd w:val="clear" w:fill="E8EEF2"/>
          </w:tcPr>
          <w:p>
            <w:pPr>
              <w:spacing w:after="40"/>
            </w:pPr>
            <w:r/>
            <w:r>
              <w:rPr>
                <w:b/>
                <w:sz w:val="18"/>
              </w:rPr>
              <w:t>As it ships</w:t>
            </w:r>
          </w:p>
        </w:tc>
        <w:tc>
          <w:tcPr>
            <w:tcW w:type="dxa" w:w="2778"/>
            <w:shd w:val="clear" w:fill="E8EEF2"/>
          </w:tcPr>
          <w:p>
            <w:pPr>
              <w:spacing w:after="40"/>
            </w:pPr>
            <w:r/>
            <w:r>
              <w:rPr>
                <w:b/>
                <w:sz w:val="18"/>
              </w:rPr>
              <w:t>Why</w:t>
            </w:r>
          </w:p>
        </w:tc>
      </w:tr>
      <w:tr>
        <w:tc>
          <w:tcPr>
            <w:tcW w:type="dxa" w:w="1304"/>
          </w:tcPr>
          <w:p>
            <w:pPr>
              <w:spacing w:after="40"/>
            </w:pPr>
            <w:r/>
            <w:r>
              <w:rPr>
                <w:sz w:val="18"/>
              </w:rPr>
              <w:t>S3</w:t>
            </w:r>
          </w:p>
        </w:tc>
        <w:tc>
          <w:tcPr>
            <w:tcW w:type="dxa" w:w="2835"/>
          </w:tcPr>
          <w:p>
            <w:pPr>
              <w:spacing w:after="40"/>
            </w:pPr>
            <w:r/>
            <w:r>
              <w:rPr>
                <w:sz w:val="18"/>
              </w:rPr>
              <w:t>provide numbers here</w:t>
            </w:r>
          </w:p>
        </w:tc>
        <w:tc>
          <w:tcPr>
            <w:tcW w:type="dxa" w:w="2494"/>
          </w:tcPr>
          <w:p>
            <w:pPr>
              <w:spacing w:after="40"/>
            </w:pPr>
            <w:r/>
            <w:r>
              <w:rPr>
                <w:sz w:val="18"/>
              </w:rPr>
              <w:t>the block, in line</w:t>
            </w:r>
          </w:p>
        </w:tc>
        <w:tc>
          <w:tcPr>
            <w:tcW w:type="dxa" w:w="2778"/>
          </w:tcPr>
          <w:p>
            <w:pPr>
              <w:spacing w:after="40"/>
            </w:pPr>
            <w:r/>
            <w:r>
              <w:rPr>
                <w:sz w:val="18"/>
              </w:rPr>
              <w:t>placement instruction</w:t>
            </w:r>
          </w:p>
        </w:tc>
      </w:tr>
      <w:tr>
        <w:tc>
          <w:tcPr>
            <w:tcW w:type="dxa" w:w="1304"/>
          </w:tcPr>
          <w:p>
            <w:pPr>
              <w:spacing w:after="40"/>
            </w:pPr>
            <w:r/>
            <w:r>
              <w:rPr>
                <w:sz w:val="18"/>
              </w:rPr>
              <w:t>S3</w:t>
            </w:r>
          </w:p>
        </w:tc>
        <w:tc>
          <w:tcPr>
            <w:tcW w:type="dxa" w:w="2835"/>
          </w:tcPr>
          <w:p>
            <w:pPr>
              <w:spacing w:after="40"/>
            </w:pPr>
            <w:r/>
            <w:r>
              <w:rPr>
                <w:sz w:val="18"/>
              </w:rPr>
              <w:t>anyoe</w:t>
            </w:r>
          </w:p>
        </w:tc>
        <w:tc>
          <w:tcPr>
            <w:tcW w:type="dxa" w:w="2494"/>
          </w:tcPr>
          <w:p>
            <w:pPr>
              <w:spacing w:after="40"/>
            </w:pPr>
            <w:r/>
            <w:r>
              <w:rPr>
                <w:sz w:val="18"/>
              </w:rPr>
              <w:t>anyone</w:t>
            </w:r>
          </w:p>
        </w:tc>
        <w:tc>
          <w:tcPr>
            <w:tcW w:type="dxa" w:w="2778"/>
          </w:tcPr>
          <w:p>
            <w:pPr>
              <w:spacing w:after="40"/>
            </w:pPr>
            <w:r/>
            <w:r>
              <w:rPr>
                <w:sz w:val="18"/>
              </w:rPr>
              <w:t>typographical</w:t>
            </w:r>
          </w:p>
        </w:tc>
      </w:tr>
      <w:tr>
        <w:tc>
          <w:tcPr>
            <w:tcW w:type="dxa" w:w="1304"/>
          </w:tcPr>
          <w:p>
            <w:pPr>
              <w:spacing w:after="40"/>
            </w:pPr>
            <w:r/>
            <w:r>
              <w:rPr>
                <w:sz w:val="18"/>
              </w:rPr>
              <w:t>S3</w:t>
            </w:r>
          </w:p>
        </w:tc>
        <w:tc>
          <w:tcPr>
            <w:tcW w:type="dxa" w:w="2835"/>
          </w:tcPr>
          <w:p>
            <w:pPr>
              <w:spacing w:after="40"/>
            </w:pPr>
            <w:r/>
            <w:r>
              <w:rPr>
                <w:sz w:val="18"/>
              </w:rPr>
              <w:t>“I am not going anywhere”</w:t>
            </w:r>
          </w:p>
        </w:tc>
        <w:tc>
          <w:tcPr>
            <w:tcW w:type="dxa" w:w="2494"/>
          </w:tcPr>
          <w:p>
            <w:pPr>
              <w:spacing w:after="40"/>
            </w:pPr>
            <w:r/>
            <w:r>
              <w:rPr>
                <w:sz w:val="18"/>
              </w:rPr>
              <w:t>removed</w:t>
            </w:r>
          </w:p>
        </w:tc>
        <w:tc>
          <w:tcPr>
            <w:tcW w:type="dxa" w:w="2778"/>
          </w:tcPr>
          <w:p>
            <w:pPr>
              <w:spacing w:after="40"/>
            </w:pPr>
            <w:r/>
            <w:r>
              <w:rPr>
                <w:sz w:val="18"/>
              </w:rPr>
              <w:t>her explicit instruction</w:t>
            </w:r>
          </w:p>
        </w:tc>
      </w:tr>
      <w:tr>
        <w:tc>
          <w:tcPr>
            <w:tcW w:type="dxa" w:w="1304"/>
          </w:tcPr>
          <w:p>
            <w:pPr>
              <w:spacing w:after="40"/>
            </w:pPr>
            <w:r/>
            <w:r>
              <w:rPr>
                <w:sz w:val="18"/>
              </w:rPr>
              <w:t>S4</w:t>
            </w:r>
          </w:p>
        </w:tc>
        <w:tc>
          <w:tcPr>
            <w:tcW w:type="dxa" w:w="2835"/>
          </w:tcPr>
          <w:p>
            <w:pPr>
              <w:spacing w:after="40"/>
            </w:pPr>
            <w:r/>
            <w:r>
              <w:rPr>
                <w:sz w:val="18"/>
              </w:rPr>
              <w:t>What you are carrying sound too much</w:t>
            </w:r>
          </w:p>
        </w:tc>
        <w:tc>
          <w:tcPr>
            <w:tcW w:type="dxa" w:w="2494"/>
          </w:tcPr>
          <w:p>
            <w:pPr>
              <w:spacing w:after="40"/>
            </w:pPr>
            <w:r/>
            <w:r>
              <w:rPr>
                <w:sz w:val="18"/>
              </w:rPr>
              <w:t>sounds too much</w:t>
            </w:r>
          </w:p>
        </w:tc>
        <w:tc>
          <w:tcPr>
            <w:tcW w:type="dxa" w:w="2778"/>
          </w:tcPr>
          <w:p>
            <w:pPr>
              <w:spacing w:after="40"/>
            </w:pPr>
            <w:r/>
            <w:r>
              <w:rPr>
                <w:sz w:val="18"/>
              </w:rPr>
              <w:t>typographical</w:t>
            </w:r>
          </w:p>
        </w:tc>
      </w:tr>
      <w:tr>
        <w:tc>
          <w:tcPr>
            <w:tcW w:type="dxa" w:w="1304"/>
          </w:tcPr>
          <w:p>
            <w:pPr>
              <w:spacing w:after="40"/>
            </w:pPr>
            <w:r/>
            <w:r>
              <w:rPr>
                <w:sz w:val="18"/>
              </w:rPr>
              <w:t>S4</w:t>
            </w:r>
          </w:p>
        </w:tc>
        <w:tc>
          <w:tcPr>
            <w:tcW w:type="dxa" w:w="2835"/>
          </w:tcPr>
          <w:p>
            <w:pPr>
              <w:spacing w:after="40"/>
            </w:pPr>
            <w:r/>
            <w:r>
              <w:rPr>
                <w:sz w:val="18"/>
              </w:rPr>
              <w:t>one of the these</w:t>
            </w:r>
          </w:p>
        </w:tc>
        <w:tc>
          <w:tcPr>
            <w:tcW w:type="dxa" w:w="2494"/>
          </w:tcPr>
          <w:p>
            <w:pPr>
              <w:spacing w:after="40"/>
            </w:pPr>
            <w:r/>
            <w:r>
              <w:rPr>
                <w:sz w:val="18"/>
              </w:rPr>
              <w:t>one of these</w:t>
            </w:r>
          </w:p>
        </w:tc>
        <w:tc>
          <w:tcPr>
            <w:tcW w:type="dxa" w:w="2778"/>
          </w:tcPr>
          <w:p>
            <w:pPr>
              <w:spacing w:after="40"/>
            </w:pPr>
            <w:r/>
            <w:r>
              <w:rPr>
                <w:sz w:val="18"/>
              </w:rPr>
              <w:t>typographical</w:t>
            </w:r>
          </w:p>
        </w:tc>
      </w:tr>
      <w:tr>
        <w:tc>
          <w:tcPr>
            <w:tcW w:type="dxa" w:w="1304"/>
          </w:tcPr>
          <w:p>
            <w:pPr>
              <w:spacing w:after="40"/>
            </w:pPr>
            <w:r/>
            <w:r>
              <w:rPr>
                <w:sz w:val="18"/>
              </w:rPr>
              <w:t>S4</w:t>
            </w:r>
          </w:p>
        </w:tc>
        <w:tc>
          <w:tcPr>
            <w:tcW w:type="dxa" w:w="2835"/>
          </w:tcPr>
          <w:p>
            <w:pPr>
              <w:spacing w:after="40"/>
            </w:pPr>
            <w:r/>
            <w:r>
              <w:rPr>
                <w:sz w:val="18"/>
              </w:rPr>
              <w:t>let you therapist</w:t>
            </w:r>
          </w:p>
        </w:tc>
        <w:tc>
          <w:tcPr>
            <w:tcW w:type="dxa" w:w="2494"/>
          </w:tcPr>
          <w:p>
            <w:pPr>
              <w:spacing w:after="40"/>
            </w:pPr>
            <w:r/>
            <w:r>
              <w:rPr>
                <w:sz w:val="18"/>
              </w:rPr>
              <w:t>let your therapist</w:t>
            </w:r>
          </w:p>
        </w:tc>
        <w:tc>
          <w:tcPr>
            <w:tcW w:type="dxa" w:w="2778"/>
          </w:tcPr>
          <w:p>
            <w:pPr>
              <w:spacing w:after="40"/>
            </w:pPr>
            <w:r/>
            <w:r>
              <w:rPr>
                <w:sz w:val="18"/>
              </w:rPr>
              <w:t>typographical</w:t>
            </w:r>
          </w:p>
        </w:tc>
      </w:tr>
      <w:tr>
        <w:tc>
          <w:tcPr>
            <w:tcW w:type="dxa" w:w="1304"/>
          </w:tcPr>
          <w:p>
            <w:pPr>
              <w:spacing w:after="40"/>
            </w:pPr>
            <w:r/>
            <w:r>
              <w:rPr>
                <w:sz w:val="18"/>
              </w:rPr>
              <w:t>S4</w:t>
            </w:r>
          </w:p>
        </w:tc>
        <w:tc>
          <w:tcPr>
            <w:tcW w:type="dxa" w:w="2835"/>
          </w:tcPr>
          <w:p>
            <w:pPr>
              <w:spacing w:after="40"/>
            </w:pPr>
            <w:r/>
            <w:r>
              <w:rPr>
                <w:sz w:val="18"/>
              </w:rPr>
              <w:t>put phone numbers here</w:t>
            </w:r>
          </w:p>
        </w:tc>
        <w:tc>
          <w:tcPr>
            <w:tcW w:type="dxa" w:w="2494"/>
          </w:tcPr>
          <w:p>
            <w:pPr>
              <w:spacing w:after="40"/>
            </w:pPr>
            <w:r/>
            <w:r>
              <w:rPr>
                <w:sz w:val="18"/>
              </w:rPr>
              <w:t>the block, in line</w:t>
            </w:r>
          </w:p>
        </w:tc>
        <w:tc>
          <w:tcPr>
            <w:tcW w:type="dxa" w:w="2778"/>
          </w:tcPr>
          <w:p>
            <w:pPr>
              <w:spacing w:after="40"/>
            </w:pPr>
            <w:r/>
            <w:r>
              <w:rPr>
                <w:sz w:val="18"/>
              </w:rPr>
              <w:t>placement instruction</w:t>
            </w:r>
          </w:p>
        </w:tc>
      </w:tr>
      <w:tr>
        <w:tc>
          <w:tcPr>
            <w:tcW w:type="dxa" w:w="1304"/>
          </w:tcPr>
          <w:p>
            <w:pPr>
              <w:spacing w:after="40"/>
            </w:pPr>
            <w:r/>
            <w:r>
              <w:rPr>
                <w:sz w:val="18"/>
              </w:rPr>
              <w:t>Self-injury</w:t>
            </w:r>
          </w:p>
        </w:tc>
        <w:tc>
          <w:tcPr>
            <w:tcW w:type="dxa" w:w="2835"/>
          </w:tcPr>
          <w:p>
            <w:pPr>
              <w:spacing w:after="40"/>
            </w:pPr>
            <w:r/>
            <w:r>
              <w:rPr>
                <w:sz w:val="18"/>
              </w:rPr>
              <w:t>but trust me, there are alternatives</w:t>
            </w:r>
          </w:p>
        </w:tc>
        <w:tc>
          <w:tcPr>
            <w:tcW w:type="dxa" w:w="2494"/>
          </w:tcPr>
          <w:p>
            <w:pPr>
              <w:spacing w:after="40"/>
            </w:pPr>
            <w:r/>
            <w:r>
              <w:rPr>
                <w:sz w:val="18"/>
              </w:rPr>
              <w:t>but there are alternatives</w:t>
            </w:r>
          </w:p>
        </w:tc>
        <w:tc>
          <w:tcPr>
            <w:tcW w:type="dxa" w:w="2778"/>
          </w:tcPr>
          <w:p>
            <w:pPr>
              <w:spacing w:after="40"/>
            </w:pPr>
            <w:r/>
            <w:r>
              <w:rPr>
                <w:sz w:val="18"/>
              </w:rPr>
              <w:t>removed on her instruction 6</w:t>
            </w:r>
          </w:p>
        </w:tc>
      </w:tr>
      <w:tr>
        <w:tc>
          <w:tcPr>
            <w:tcW w:type="dxa" w:w="1304"/>
          </w:tcPr>
          <w:p>
            <w:pPr>
              <w:spacing w:after="40"/>
            </w:pPr>
            <w:r/>
            <w:r>
              <w:rPr>
                <w:sz w:val="18"/>
              </w:rPr>
              <w:t>Third-party</w:t>
            </w:r>
          </w:p>
        </w:tc>
        <w:tc>
          <w:tcPr>
            <w:tcW w:type="dxa" w:w="2835"/>
          </w:tcPr>
          <w:p>
            <w:pPr>
              <w:spacing w:after="40"/>
            </w:pPr>
            <w:r/>
            <w:r>
              <w:rPr>
                <w:sz w:val="18"/>
              </w:rPr>
              <w:t>This must be too hard on them… (example given)</w:t>
            </w:r>
          </w:p>
        </w:tc>
        <w:tc>
          <w:tcPr>
            <w:tcW w:type="dxa" w:w="2494"/>
          </w:tcPr>
          <w:p>
            <w:pPr>
              <w:spacing w:after="40"/>
            </w:pPr>
            <w:r/>
            <w:r>
              <w:rPr>
                <w:sz w:val="18"/>
              </w:rPr>
              <w:t>her sentence, third person, plus the block</w:t>
            </w:r>
          </w:p>
        </w:tc>
        <w:tc>
          <w:tcPr>
            <w:tcW w:type="dxa" w:w="2778"/>
          </w:tcPr>
          <w:p>
            <w:pPr>
              <w:spacing w:after="40"/>
            </w:pPr>
            <w:r/>
            <w:r>
              <w:rPr>
                <w:sz w:val="18"/>
              </w:rPr>
              <w:t>her paraphrase instruction; no new clinical content added</w:t>
            </w:r>
          </w:p>
        </w:tc>
      </w:tr>
    </w:tbl>
    <w:p>
      <w:pPr>
        <w:spacing w:after="80"/>
      </w:pPr>
    </w:p>
    <w:p>
      <w:r>
        <w:br w:type="page"/>
      </w:r>
    </w:p>
    <w:p>
      <w:pPr>
        <w:pStyle w:val="Heading1"/>
      </w:pPr>
      <w:r>
        <w:t>3. The literal-phrase list, guards and precedence</w:t>
      </w:r>
    </w:p>
    <w:p>
      <w:r>
        <w:rPr>
          <w:b w:val="0"/>
          <w:i w:val="0"/>
          <w:sz w:val="20"/>
        </w:rPr>
        <w:t>Approved in full: the list with additions, both idiom guards with the three deliberate omissions, and the precedence rule. Eleven phrases in total.</w:t>
      </w:r>
    </w:p>
    <w:p>
      <w:pPr>
        <w:pStyle w:val="Heading2"/>
      </w:pPr>
      <w:r>
        <w:t>3.1 The eleven approved phrases</w:t>
      </w:r>
    </w:p>
    <w:tbl>
      <w:tblPr>
        <w:tblStyle w:val="TableGrid"/>
        <w:tblW w:type="auto" w:w="0"/>
        <w:jc w:val="center"/>
        <w:tblLayout w:type="fixed"/>
        <w:tblLook w:firstColumn="1" w:firstRow="1" w:lastColumn="0" w:lastRow="0" w:noHBand="0" w:noVBand="1" w:val="04A0"/>
      </w:tblPr>
      <w:tblGrid>
        <w:gridCol w:w="2353"/>
        <w:gridCol w:w="2353"/>
        <w:gridCol w:w="2353"/>
        <w:gridCol w:w="2353"/>
      </w:tblGrid>
      <w:tr>
        <w:tc>
          <w:tcPr>
            <w:tcW w:type="dxa" w:w="680"/>
            <w:shd w:val="clear" w:fill="E8EEF2"/>
          </w:tcPr>
          <w:p>
            <w:pPr>
              <w:spacing w:after="40"/>
            </w:pPr>
            <w:r/>
            <w:r>
              <w:rPr>
                <w:b/>
                <w:sz w:val="18"/>
              </w:rPr>
              <w:t>#</w:t>
            </w:r>
          </w:p>
        </w:tc>
        <w:tc>
          <w:tcPr>
            <w:tcW w:type="dxa" w:w="3402"/>
            <w:shd w:val="clear" w:fill="E8EEF2"/>
          </w:tcPr>
          <w:p>
            <w:pPr>
              <w:spacing w:after="40"/>
            </w:pPr>
            <w:r/>
            <w:r>
              <w:rPr>
                <w:b/>
                <w:sz w:val="18"/>
              </w:rPr>
              <w:t>Phrase</w:t>
            </w:r>
          </w:p>
        </w:tc>
        <w:tc>
          <w:tcPr>
            <w:tcW w:type="dxa" w:w="1247"/>
            <w:shd w:val="clear" w:fill="E8EEF2"/>
          </w:tcPr>
          <w:p>
            <w:pPr>
              <w:spacing w:after="40"/>
            </w:pPr>
            <w:r/>
            <w:r>
              <w:rPr>
                <w:b/>
                <w:sz w:val="18"/>
              </w:rPr>
              <w:t>Status</w:t>
            </w:r>
          </w:p>
        </w:tc>
        <w:tc>
          <w:tcPr>
            <w:tcW w:type="dxa" w:w="4082"/>
            <w:shd w:val="clear" w:fill="E8EEF2"/>
          </w:tcPr>
          <w:p>
            <w:pPr>
              <w:spacing w:after="40"/>
            </w:pPr>
            <w:r/>
            <w:r>
              <w:rPr>
                <w:b/>
                <w:sz w:val="18"/>
              </w:rPr>
              <w:t>Note</w:t>
            </w:r>
          </w:p>
        </w:tc>
      </w:tr>
      <w:tr>
        <w:tc>
          <w:tcPr>
            <w:tcW w:type="dxa" w:w="680"/>
          </w:tcPr>
          <w:p>
            <w:pPr>
              <w:spacing w:after="40"/>
            </w:pPr>
            <w:r/>
            <w:r>
              <w:rPr>
                <w:sz w:val="18"/>
              </w:rPr>
              <w:t>1</w:t>
            </w:r>
          </w:p>
        </w:tc>
        <w:tc>
          <w:tcPr>
            <w:tcW w:type="dxa" w:w="3402"/>
          </w:tcPr>
          <w:p>
            <w:pPr>
              <w:spacing w:after="40"/>
            </w:pPr>
            <w:r/>
            <w:r>
              <w:rPr>
                <w:sz w:val="18"/>
              </w:rPr>
              <w:t>kill myself</w:t>
            </w:r>
          </w:p>
        </w:tc>
        <w:tc>
          <w:tcPr>
            <w:tcW w:type="dxa" w:w="1247"/>
          </w:tcPr>
          <w:p>
            <w:pPr>
              <w:spacing w:after="40"/>
            </w:pPr>
            <w:r/>
            <w:r>
              <w:rPr>
                <w:sz w:val="18"/>
              </w:rPr>
              <w:t>existing</w:t>
            </w:r>
          </w:p>
        </w:tc>
        <w:tc>
          <w:tcPr>
            <w:tcW w:type="dxa" w:w="4082"/>
          </w:tcPr>
          <w:p>
            <w:pPr>
              <w:spacing w:after="40"/>
            </w:pPr>
            <w:r/>
            <w:r>
              <w:rPr>
                <w:sz w:val="18"/>
              </w:rPr>
              <w:t>self-directed intent</w:t>
            </w:r>
          </w:p>
        </w:tc>
      </w:tr>
      <w:tr>
        <w:tc>
          <w:tcPr>
            <w:tcW w:type="dxa" w:w="680"/>
          </w:tcPr>
          <w:p>
            <w:pPr>
              <w:spacing w:after="40"/>
            </w:pPr>
            <w:r/>
            <w:r>
              <w:rPr>
                <w:sz w:val="18"/>
              </w:rPr>
              <w:t>2</w:t>
            </w:r>
          </w:p>
        </w:tc>
        <w:tc>
          <w:tcPr>
            <w:tcW w:type="dxa" w:w="3402"/>
          </w:tcPr>
          <w:p>
            <w:pPr>
              <w:spacing w:after="40"/>
            </w:pPr>
            <w:r/>
            <w:r>
              <w:rPr>
                <w:sz w:val="18"/>
              </w:rPr>
              <w:t>suicide</w:t>
            </w:r>
          </w:p>
        </w:tc>
        <w:tc>
          <w:tcPr>
            <w:tcW w:type="dxa" w:w="1247"/>
          </w:tcPr>
          <w:p>
            <w:pPr>
              <w:spacing w:after="40"/>
            </w:pPr>
            <w:r/>
            <w:r>
              <w:rPr>
                <w:sz w:val="18"/>
              </w:rPr>
              <w:t>existing</w:t>
            </w:r>
          </w:p>
        </w:tc>
        <w:tc>
          <w:tcPr>
            <w:tcW w:type="dxa" w:w="4082"/>
          </w:tcPr>
          <w:p>
            <w:pPr>
              <w:spacing w:after="40"/>
            </w:pPr>
            <w:r/>
            <w:r>
              <w:rPr>
                <w:sz w:val="18"/>
              </w:rPr>
              <w:t>self-directed, unguarded by design</w:t>
            </w:r>
          </w:p>
        </w:tc>
      </w:tr>
      <w:tr>
        <w:tc>
          <w:tcPr>
            <w:tcW w:type="dxa" w:w="680"/>
          </w:tcPr>
          <w:p>
            <w:pPr>
              <w:spacing w:after="40"/>
            </w:pPr>
            <w:r/>
            <w:r>
              <w:rPr>
                <w:sz w:val="18"/>
              </w:rPr>
              <w:t>3</w:t>
            </w:r>
          </w:p>
        </w:tc>
        <w:tc>
          <w:tcPr>
            <w:tcW w:type="dxa" w:w="3402"/>
          </w:tcPr>
          <w:p>
            <w:pPr>
              <w:spacing w:after="40"/>
            </w:pPr>
            <w:r/>
            <w:r>
              <w:rPr>
                <w:sz w:val="18"/>
              </w:rPr>
              <w:t>end my life</w:t>
            </w:r>
          </w:p>
        </w:tc>
        <w:tc>
          <w:tcPr>
            <w:tcW w:type="dxa" w:w="1247"/>
          </w:tcPr>
          <w:p>
            <w:pPr>
              <w:spacing w:after="40"/>
            </w:pPr>
            <w:r/>
            <w:r>
              <w:rPr>
                <w:sz w:val="18"/>
              </w:rPr>
              <w:t>existing</w:t>
            </w:r>
          </w:p>
        </w:tc>
        <w:tc>
          <w:tcPr>
            <w:tcW w:type="dxa" w:w="4082"/>
          </w:tcPr>
          <w:p>
            <w:pPr>
              <w:spacing w:after="40"/>
            </w:pPr>
            <w:r/>
            <w:r>
              <w:rPr>
                <w:sz w:val="18"/>
              </w:rPr>
              <w:t>self-directed intent</w:t>
            </w:r>
          </w:p>
        </w:tc>
      </w:tr>
      <w:tr>
        <w:tc>
          <w:tcPr>
            <w:tcW w:type="dxa" w:w="680"/>
          </w:tcPr>
          <w:p>
            <w:pPr>
              <w:spacing w:after="40"/>
            </w:pPr>
            <w:r/>
            <w:r>
              <w:rPr>
                <w:sz w:val="18"/>
              </w:rPr>
              <w:t>4</w:t>
            </w:r>
          </w:p>
        </w:tc>
        <w:tc>
          <w:tcPr>
            <w:tcW w:type="dxa" w:w="3402"/>
          </w:tcPr>
          <w:p>
            <w:pPr>
              <w:spacing w:after="40"/>
            </w:pPr>
            <w:r/>
            <w:r>
              <w:rPr>
                <w:sz w:val="18"/>
              </w:rPr>
              <w:t>want to die</w:t>
            </w:r>
          </w:p>
        </w:tc>
        <w:tc>
          <w:tcPr>
            <w:tcW w:type="dxa" w:w="1247"/>
          </w:tcPr>
          <w:p>
            <w:pPr>
              <w:spacing w:after="40"/>
            </w:pPr>
            <w:r/>
            <w:r>
              <w:rPr>
                <w:sz w:val="18"/>
              </w:rPr>
              <w:t>existing</w:t>
            </w:r>
          </w:p>
        </w:tc>
        <w:tc>
          <w:tcPr>
            <w:tcW w:type="dxa" w:w="4082"/>
          </w:tcPr>
          <w:p>
            <w:pPr>
              <w:spacing w:after="40"/>
            </w:pPr>
            <w:r/>
            <w:r>
              <w:rPr>
                <w:sz w:val="18"/>
              </w:rPr>
              <w:t>guarded against “of …” and “laughing”</w:t>
            </w:r>
          </w:p>
        </w:tc>
      </w:tr>
      <w:tr>
        <w:tc>
          <w:tcPr>
            <w:tcW w:type="dxa" w:w="680"/>
          </w:tcPr>
          <w:p>
            <w:pPr>
              <w:spacing w:after="40"/>
            </w:pPr>
            <w:r/>
            <w:r>
              <w:rPr>
                <w:sz w:val="18"/>
              </w:rPr>
              <w:t>5</w:t>
            </w:r>
          </w:p>
        </w:tc>
        <w:tc>
          <w:tcPr>
            <w:tcW w:type="dxa" w:w="3402"/>
          </w:tcPr>
          <w:p>
            <w:pPr>
              <w:spacing w:after="40"/>
            </w:pPr>
            <w:r/>
            <w:r>
              <w:rPr>
                <w:sz w:val="18"/>
              </w:rPr>
              <w:t>end it all</w:t>
            </w:r>
          </w:p>
        </w:tc>
        <w:tc>
          <w:tcPr>
            <w:tcW w:type="dxa" w:w="1247"/>
          </w:tcPr>
          <w:p>
            <w:pPr>
              <w:spacing w:after="40"/>
            </w:pPr>
            <w:r/>
            <w:r>
              <w:rPr>
                <w:sz w:val="18"/>
              </w:rPr>
              <w:t>existing</w:t>
            </w:r>
          </w:p>
        </w:tc>
        <w:tc>
          <w:tcPr>
            <w:tcW w:type="dxa" w:w="4082"/>
          </w:tcPr>
          <w:p>
            <w:pPr>
              <w:spacing w:after="40"/>
            </w:pPr>
            <w:r/>
            <w:r>
              <w:rPr>
                <w:sz w:val="18"/>
              </w:rPr>
              <w:t>self-directed, unguarded by design</w:t>
            </w:r>
          </w:p>
        </w:tc>
      </w:tr>
      <w:tr>
        <w:tc>
          <w:tcPr>
            <w:tcW w:type="dxa" w:w="680"/>
          </w:tcPr>
          <w:p>
            <w:pPr>
              <w:spacing w:after="40"/>
            </w:pPr>
            <w:r/>
            <w:r>
              <w:rPr>
                <w:sz w:val="18"/>
              </w:rPr>
              <w:t>6</w:t>
            </w:r>
          </w:p>
        </w:tc>
        <w:tc>
          <w:tcPr>
            <w:tcW w:type="dxa" w:w="3402"/>
          </w:tcPr>
          <w:p>
            <w:pPr>
              <w:spacing w:after="40"/>
            </w:pPr>
            <w:r/>
            <w:r>
              <w:rPr>
                <w:sz w:val="18"/>
              </w:rPr>
              <w:t>ending my life</w:t>
            </w:r>
          </w:p>
        </w:tc>
        <w:tc>
          <w:tcPr>
            <w:tcW w:type="dxa" w:w="1247"/>
          </w:tcPr>
          <w:p>
            <w:pPr>
              <w:spacing w:after="40"/>
            </w:pPr>
            <w:r/>
            <w:r>
              <w:rPr>
                <w:sz w:val="18"/>
              </w:rPr>
              <w:t>added</w:t>
            </w:r>
          </w:p>
        </w:tc>
        <w:tc>
          <w:tcPr>
            <w:tcW w:type="dxa" w:w="4082"/>
          </w:tcPr>
          <w:p>
            <w:pPr>
              <w:spacing w:after="40"/>
            </w:pPr>
            <w:r/>
            <w:r>
              <w:rPr>
                <w:sz w:val="18"/>
              </w:rPr>
              <w:t>the exact wording of csh-01, missed on word form</w:t>
            </w:r>
          </w:p>
        </w:tc>
      </w:tr>
      <w:tr>
        <w:tc>
          <w:tcPr>
            <w:tcW w:type="dxa" w:w="680"/>
          </w:tcPr>
          <w:p>
            <w:pPr>
              <w:spacing w:after="40"/>
            </w:pPr>
            <w:r/>
            <w:r>
              <w:rPr>
                <w:sz w:val="18"/>
              </w:rPr>
              <w:t>7</w:t>
            </w:r>
          </w:p>
        </w:tc>
        <w:tc>
          <w:tcPr>
            <w:tcW w:type="dxa" w:w="3402"/>
          </w:tcPr>
          <w:p>
            <w:pPr>
              <w:spacing w:after="40"/>
            </w:pPr>
            <w:r/>
            <w:r>
              <w:rPr>
                <w:sz w:val="18"/>
              </w:rPr>
              <w:t>ending it all</w:t>
            </w:r>
          </w:p>
        </w:tc>
        <w:tc>
          <w:tcPr>
            <w:tcW w:type="dxa" w:w="1247"/>
          </w:tcPr>
          <w:p>
            <w:pPr>
              <w:spacing w:after="40"/>
            </w:pPr>
            <w:r/>
            <w:r>
              <w:rPr>
                <w:sz w:val="18"/>
              </w:rPr>
              <w:t>added</w:t>
            </w:r>
          </w:p>
        </w:tc>
        <w:tc>
          <w:tcPr>
            <w:tcW w:type="dxa" w:w="4082"/>
          </w:tcPr>
          <w:p>
            <w:pPr>
              <w:spacing w:after="40"/>
            </w:pPr>
            <w:r/>
            <w:r>
              <w:rPr>
                <w:sz w:val="18"/>
              </w:rPr>
              <w:t>same phrase, different tense</w:t>
            </w:r>
          </w:p>
        </w:tc>
      </w:tr>
      <w:tr>
        <w:tc>
          <w:tcPr>
            <w:tcW w:type="dxa" w:w="680"/>
          </w:tcPr>
          <w:p>
            <w:pPr>
              <w:spacing w:after="40"/>
            </w:pPr>
            <w:r/>
            <w:r>
              <w:rPr>
                <w:sz w:val="18"/>
              </w:rPr>
              <w:t>8</w:t>
            </w:r>
          </w:p>
        </w:tc>
        <w:tc>
          <w:tcPr>
            <w:tcW w:type="dxa" w:w="3402"/>
          </w:tcPr>
          <w:p>
            <w:pPr>
              <w:spacing w:after="40"/>
            </w:pPr>
            <w:r/>
            <w:r>
              <w:rPr>
                <w:sz w:val="18"/>
              </w:rPr>
              <w:t>killing myself</w:t>
            </w:r>
          </w:p>
        </w:tc>
        <w:tc>
          <w:tcPr>
            <w:tcW w:type="dxa" w:w="1247"/>
          </w:tcPr>
          <w:p>
            <w:pPr>
              <w:spacing w:after="40"/>
            </w:pPr>
            <w:r/>
            <w:r>
              <w:rPr>
                <w:sz w:val="18"/>
              </w:rPr>
              <w:t>added</w:t>
            </w:r>
          </w:p>
        </w:tc>
        <w:tc>
          <w:tcPr>
            <w:tcW w:type="dxa" w:w="4082"/>
          </w:tcPr>
          <w:p>
            <w:pPr>
              <w:spacing w:after="40"/>
            </w:pPr>
            <w:r/>
            <w:r>
              <w:rPr>
                <w:sz w:val="18"/>
              </w:rPr>
              <w:t>same phrase, different tense</w:t>
            </w:r>
          </w:p>
        </w:tc>
      </w:tr>
      <w:tr>
        <w:tc>
          <w:tcPr>
            <w:tcW w:type="dxa" w:w="680"/>
          </w:tcPr>
          <w:p>
            <w:pPr>
              <w:spacing w:after="40"/>
            </w:pPr>
            <w:r/>
            <w:r>
              <w:rPr>
                <w:sz w:val="18"/>
              </w:rPr>
              <w:t>9</w:t>
            </w:r>
          </w:p>
        </w:tc>
        <w:tc>
          <w:tcPr>
            <w:tcW w:type="dxa" w:w="3402"/>
          </w:tcPr>
          <w:p>
            <w:pPr>
              <w:spacing w:after="40"/>
            </w:pPr>
            <w:r/>
            <w:r>
              <w:rPr>
                <w:sz w:val="18"/>
              </w:rPr>
              <w:t>marna chahta / marni chahti</w:t>
            </w:r>
          </w:p>
        </w:tc>
        <w:tc>
          <w:tcPr>
            <w:tcW w:type="dxa" w:w="1247"/>
          </w:tcPr>
          <w:p>
            <w:pPr>
              <w:spacing w:after="40"/>
            </w:pPr>
            <w:r/>
            <w:r>
              <w:rPr>
                <w:sz w:val="18"/>
              </w:rPr>
              <w:t>added</w:t>
            </w:r>
          </w:p>
        </w:tc>
        <w:tc>
          <w:tcPr>
            <w:tcW w:type="dxa" w:w="4082"/>
          </w:tcPr>
          <w:p>
            <w:pPr>
              <w:spacing w:after="40"/>
            </w:pPr>
            <w:r/>
            <w:r>
              <w:rPr>
                <w:sz w:val="18"/>
              </w:rPr>
              <w:t>Hindi, the wording of csh-06</w:t>
            </w:r>
          </w:p>
        </w:tc>
      </w:tr>
      <w:tr>
        <w:tc>
          <w:tcPr>
            <w:tcW w:type="dxa" w:w="680"/>
          </w:tcPr>
          <w:p>
            <w:pPr>
              <w:spacing w:after="40"/>
            </w:pPr>
            <w:r/>
            <w:r>
              <w:rPr>
                <w:sz w:val="18"/>
              </w:rPr>
              <w:t>10</w:t>
            </w:r>
          </w:p>
        </w:tc>
        <w:tc>
          <w:tcPr>
            <w:tcW w:type="dxa" w:w="3402"/>
          </w:tcPr>
          <w:p>
            <w:pPr>
              <w:spacing w:after="40"/>
            </w:pPr>
            <w:r/>
            <w:r>
              <w:rPr>
                <w:sz w:val="18"/>
              </w:rPr>
              <w:t>khud ko khatam</w:t>
            </w:r>
          </w:p>
        </w:tc>
        <w:tc>
          <w:tcPr>
            <w:tcW w:type="dxa" w:w="1247"/>
          </w:tcPr>
          <w:p>
            <w:pPr>
              <w:spacing w:after="40"/>
            </w:pPr>
            <w:r/>
            <w:r>
              <w:rPr>
                <w:sz w:val="18"/>
              </w:rPr>
              <w:t>added</w:t>
            </w:r>
          </w:p>
        </w:tc>
        <w:tc>
          <w:tcPr>
            <w:tcW w:type="dxa" w:w="4082"/>
          </w:tcPr>
          <w:p>
            <w:pPr>
              <w:spacing w:after="40"/>
            </w:pPr>
            <w:r/>
            <w:r>
              <w:rPr>
                <w:sz w:val="18"/>
              </w:rPr>
              <w:t>Hinglish, already literal S4 in the approved classifier prompt</w:t>
            </w:r>
          </w:p>
        </w:tc>
      </w:tr>
      <w:tr>
        <w:tc>
          <w:tcPr>
            <w:tcW w:type="dxa" w:w="680"/>
          </w:tcPr>
          <w:p>
            <w:pPr>
              <w:spacing w:after="40"/>
            </w:pPr>
            <w:r/>
            <w:r>
              <w:rPr>
                <w:sz w:val="18"/>
              </w:rPr>
              <w:t>11</w:t>
            </w:r>
          </w:p>
        </w:tc>
        <w:tc>
          <w:tcPr>
            <w:tcW w:type="dxa" w:w="3402"/>
          </w:tcPr>
          <w:p>
            <w:pPr>
              <w:spacing w:after="40"/>
            </w:pPr>
            <w:r/>
            <w:r>
              <w:rPr>
                <w:sz w:val="18"/>
              </w:rPr>
              <w:t>jeena nahi chahti / jeena nahi chahta</w:t>
            </w:r>
          </w:p>
        </w:tc>
        <w:tc>
          <w:tcPr>
            <w:tcW w:type="dxa" w:w="1247"/>
          </w:tcPr>
          <w:p>
            <w:pPr>
              <w:spacing w:after="40"/>
            </w:pPr>
            <w:r/>
            <w:r>
              <w:rPr>
                <w:sz w:val="18"/>
              </w:rPr>
              <w:t>added</w:t>
            </w:r>
          </w:p>
        </w:tc>
        <w:tc>
          <w:tcPr>
            <w:tcW w:type="dxa" w:w="4082"/>
          </w:tcPr>
          <w:p>
            <w:pPr>
              <w:spacing w:after="40"/>
            </w:pPr>
            <w:r/>
            <w:r>
              <w:rPr>
                <w:sz w:val="18"/>
              </w:rPr>
              <w:t>her own addition</w:t>
            </w:r>
          </w:p>
        </w:tc>
      </w:tr>
    </w:tbl>
    <w:p>
      <w:pPr>
        <w:spacing w:after="80"/>
      </w:pPr>
    </w:p>
    <w:p>
      <w:r>
        <w:rPr>
          <w:b w:val="0"/>
          <w:i w:val="0"/>
          <w:sz w:val="20"/>
        </w:rPr>
        <w:t>Typing variants are a build obligation, not a clinical one: “nahin” and “nhi” must match, or the list misses the messages it was added to catch.</w:t>
      </w:r>
    </w:p>
    <w:p>
      <w:pPr>
        <w:pStyle w:val="Heading2"/>
      </w:pPr>
      <w:r>
        <w:t>3.2 Self-injury phrasing — routed to crisis, by her instruction</w:t>
      </w:r>
    </w:p>
    <w:p>
      <w:r>
        <w:rPr>
          <w:b w:val="0"/>
          <w:i w:val="0"/>
        </w:rPr>
        <w:t>“Cutting”, “cut myself” and their forms are treated as intent-or-act of self-harm and reach the S4 crisis card (instruction 3). One consequence, seen and accepted: because the rule acts on every message, a past-tense mention (“I used to cut myself”) also reaches this card. Accepted for launch on her “if change is required we will change it later”; a past-tense guard can be added at any time without reopening anything else.</w:t>
      </w:r>
    </w:p>
    <w:p>
      <w:pPr>
        <w:pStyle w:val="Heading2"/>
      </w:pPr>
      <w:r>
        <w:t>3.3 Guards retained</w:t>
      </w:r>
    </w:p>
    <w:tbl>
      <w:tblPr>
        <w:tblStyle w:val="TableGrid"/>
        <w:tblW w:type="auto" w:w="0"/>
        <w:jc w:val="center"/>
        <w:tblLayout w:type="fixed"/>
        <w:tblLook w:firstColumn="1" w:firstRow="1" w:lastColumn="0" w:lastRow="0" w:noHBand="0" w:noVBand="1" w:val="04A0"/>
      </w:tblPr>
      <w:tblGrid>
        <w:gridCol w:w="4706"/>
        <w:gridCol w:w="4706"/>
      </w:tblGrid>
      <w:tr>
        <w:tc>
          <w:tcPr>
            <w:tcW w:type="dxa" w:w="4195"/>
            <w:shd w:val="clear" w:fill="E8EEF2"/>
          </w:tcPr>
          <w:p>
            <w:pPr>
              <w:spacing w:after="40"/>
            </w:pPr>
            <w:r/>
            <w:r>
              <w:rPr>
                <w:b/>
                <w:sz w:val="18"/>
              </w:rPr>
              <w:t>Guard</w:t>
            </w:r>
          </w:p>
        </w:tc>
        <w:tc>
          <w:tcPr>
            <w:tcW w:type="dxa" w:w="5216"/>
            <w:shd w:val="clear" w:fill="E8EEF2"/>
          </w:tcPr>
          <w:p>
            <w:pPr>
              <w:spacing w:after="40"/>
            </w:pPr>
            <w:r/>
            <w:r>
              <w:rPr>
                <w:b/>
                <w:sz w:val="18"/>
              </w:rPr>
              <w:t>Sentence it exempts</w:t>
            </w:r>
          </w:p>
        </w:tc>
      </w:tr>
      <w:tr>
        <w:tc>
          <w:tcPr>
            <w:tcW w:type="dxa" w:w="4195"/>
          </w:tcPr>
          <w:p>
            <w:pPr>
              <w:spacing w:after="40"/>
            </w:pPr>
            <w:r/>
            <w:r>
              <w:rPr>
                <w:sz w:val="18"/>
              </w:rPr>
              <w:t>kill myself + “laughing”</w:t>
            </w:r>
          </w:p>
        </w:tc>
        <w:tc>
          <w:tcPr>
            <w:tcW w:type="dxa" w:w="5216"/>
          </w:tcPr>
          <w:p>
            <w:pPr>
              <w:spacing w:after="40"/>
            </w:pPr>
            <w:r/>
            <w:r>
              <w:rPr>
                <w:sz w:val="18"/>
              </w:rPr>
              <w:t>“I could kill myself laughing”</w:t>
            </w:r>
          </w:p>
        </w:tc>
      </w:tr>
      <w:tr>
        <w:tc>
          <w:tcPr>
            <w:tcW w:type="dxa" w:w="4195"/>
          </w:tcPr>
          <w:p>
            <w:pPr>
              <w:spacing w:after="40"/>
            </w:pPr>
            <w:r/>
            <w:r>
              <w:rPr>
                <w:sz w:val="18"/>
              </w:rPr>
              <w:t>die + “of”, “boredom”, “laughing”</w:t>
            </w:r>
          </w:p>
        </w:tc>
        <w:tc>
          <w:tcPr>
            <w:tcW w:type="dxa" w:w="5216"/>
          </w:tcPr>
          <w:p>
            <w:pPr>
              <w:spacing w:after="40"/>
            </w:pPr>
            <w:r/>
            <w:r>
              <w:rPr>
                <w:sz w:val="18"/>
              </w:rPr>
              <w:t>“I want to die of embarrassment”</w:t>
            </w:r>
          </w:p>
        </w:tc>
      </w:tr>
    </w:tbl>
    <w:p>
      <w:pPr>
        <w:spacing w:after="80"/>
      </w:pPr>
    </w:p>
    <w:p>
      <w:r>
        <w:rPr>
          <w:b w:val="0"/>
          <w:i w:val="0"/>
          <w:sz w:val="20"/>
        </w:rPr>
        <w:t>Deliberately not guarded, and approved as such: “suicide” on its own (guarding it would exclude “suicide prevention isn’t working for me”, a real disclosure); “end it all”; Hindi idioms, left out rather than guessed at.</w:t>
      </w:r>
    </w:p>
    <w:p>
      <w:pPr>
        <w:pStyle w:val="Heading2"/>
      </w:pPr>
      <w:r>
        <w:t>3.4 Precedence</w:t>
      </w:r>
    </w:p>
    <w:p>
      <w:r>
        <w:rPr>
          <w:b w:val="0"/>
          <w:i w:val="0"/>
          <w:sz w:val="20"/>
        </w:rPr>
        <w:t>A literal match outranks the model on every message. It can raise the level to S4 and can never lower it. Approved with the guards as its price: the list and the guards ship as one change, never separately.</w:t>
      </w:r>
    </w:p>
    <w:p>
      <w:r>
        <w:br w:type="page"/>
      </w:r>
    </w:p>
    <w:p>
      <w:pPr>
        <w:pStyle w:val="Heading1"/>
      </w:pPr>
      <w:r>
        <w:t>4. Routing rules that follow from the approval</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4309"/>
            <w:shd w:val="clear" w:fill="E8EEF2"/>
          </w:tcPr>
          <w:p>
            <w:pPr>
              <w:spacing w:after="40"/>
            </w:pPr>
            <w:r/>
            <w:r>
              <w:rPr>
                <w:b/>
                <w:sz w:val="18"/>
              </w:rPr>
              <w:t>Signal in the message</w:t>
            </w:r>
          </w:p>
        </w:tc>
        <w:tc>
          <w:tcPr>
            <w:tcW w:type="dxa" w:w="1247"/>
            <w:shd w:val="clear" w:fill="E8EEF2"/>
          </w:tcPr>
          <w:p>
            <w:pPr>
              <w:spacing w:after="40"/>
            </w:pPr>
            <w:r/>
            <w:r>
              <w:rPr>
                <w:b/>
                <w:sz w:val="18"/>
              </w:rPr>
              <w:t>Tier</w:t>
            </w:r>
          </w:p>
        </w:tc>
        <w:tc>
          <w:tcPr>
            <w:tcW w:type="dxa" w:w="3855"/>
            <w:shd w:val="clear" w:fill="E8EEF2"/>
          </w:tcPr>
          <w:p>
            <w:pPr>
              <w:spacing w:after="40"/>
            </w:pPr>
            <w:r/>
            <w:r>
              <w:rPr>
                <w:b/>
                <w:sz w:val="18"/>
              </w:rPr>
              <w:t>Card served</w:t>
            </w:r>
          </w:p>
        </w:tc>
      </w:tr>
      <w:tr>
        <w:tc>
          <w:tcPr>
            <w:tcW w:type="dxa" w:w="4309"/>
          </w:tcPr>
          <w:p>
            <w:pPr>
              <w:spacing w:after="40"/>
            </w:pPr>
            <w:r/>
            <w:r>
              <w:rPr>
                <w:sz w:val="18"/>
              </w:rPr>
              <w:t>Explicit intent, plan, method, or a phrase from section 3.1</w:t>
            </w:r>
          </w:p>
        </w:tc>
        <w:tc>
          <w:tcPr>
            <w:tcW w:type="dxa" w:w="1247"/>
          </w:tcPr>
          <w:p>
            <w:pPr>
              <w:spacing w:after="40"/>
            </w:pPr>
            <w:r/>
            <w:r>
              <w:rPr>
                <w:sz w:val="18"/>
              </w:rPr>
              <w:t>S4</w:t>
            </w:r>
          </w:p>
        </w:tc>
        <w:tc>
          <w:tcPr>
            <w:tcW w:type="dxa" w:w="3855"/>
          </w:tcPr>
          <w:p>
            <w:pPr>
              <w:spacing w:after="40"/>
            </w:pPr>
            <w:r/>
            <w:r>
              <w:rPr>
                <w:sz w:val="18"/>
              </w:rPr>
              <w:t>2.3 crisis card</w:t>
            </w:r>
          </w:p>
        </w:tc>
      </w:tr>
      <w:tr>
        <w:tc>
          <w:tcPr>
            <w:tcW w:type="dxa" w:w="4309"/>
          </w:tcPr>
          <w:p>
            <w:pPr>
              <w:spacing w:after="40"/>
            </w:pPr>
            <w:r/>
            <w:r>
              <w:rPr>
                <w:sz w:val="18"/>
              </w:rPr>
              <w:t>Self-injury intent or act — “cutting”, “cut myself”, “self-harm”</w:t>
            </w:r>
          </w:p>
        </w:tc>
        <w:tc>
          <w:tcPr>
            <w:tcW w:type="dxa" w:w="1247"/>
          </w:tcPr>
          <w:p>
            <w:pPr>
              <w:spacing w:after="40"/>
            </w:pPr>
            <w:r/>
            <w:r>
              <w:rPr>
                <w:sz w:val="18"/>
              </w:rPr>
              <w:t>S4</w:t>
            </w:r>
          </w:p>
        </w:tc>
        <w:tc>
          <w:tcPr>
            <w:tcW w:type="dxa" w:w="3855"/>
          </w:tcPr>
          <w:p>
            <w:pPr>
              <w:spacing w:after="40"/>
            </w:pPr>
            <w:r/>
            <w:r>
              <w:rPr>
                <w:sz w:val="18"/>
              </w:rPr>
              <w:t>2.5 self-injury reply</w:t>
            </w:r>
          </w:p>
        </w:tc>
      </w:tr>
      <w:tr>
        <w:tc>
          <w:tcPr>
            <w:tcW w:type="dxa" w:w="4309"/>
          </w:tcPr>
          <w:p>
            <w:pPr>
              <w:spacing w:after="40"/>
            </w:pPr>
            <w:r/>
            <w:r>
              <w:rPr>
                <w:sz w:val="18"/>
              </w:rPr>
              <w:t>Risk is someone else’s — “my friend”, “killing herself”</w:t>
            </w:r>
          </w:p>
        </w:tc>
        <w:tc>
          <w:tcPr>
            <w:tcW w:type="dxa" w:w="1247"/>
          </w:tcPr>
          <w:p>
            <w:pPr>
              <w:spacing w:after="40"/>
            </w:pPr>
            <w:r/>
            <w:r>
              <w:rPr>
                <w:sz w:val="18"/>
              </w:rPr>
              <w:t>S4</w:t>
            </w:r>
          </w:p>
        </w:tc>
        <w:tc>
          <w:tcPr>
            <w:tcW w:type="dxa" w:w="3855"/>
          </w:tcPr>
          <w:p>
            <w:pPr>
              <w:spacing w:after="40"/>
            </w:pPr>
            <w:r/>
            <w:r>
              <w:rPr>
                <w:sz w:val="18"/>
              </w:rPr>
              <w:t>2.4 third-party reply</w:t>
            </w:r>
          </w:p>
        </w:tc>
      </w:tr>
      <w:tr>
        <w:tc>
          <w:tcPr>
            <w:tcW w:type="dxa" w:w="4309"/>
          </w:tcPr>
          <w:p>
            <w:pPr>
              <w:spacing w:after="40"/>
            </w:pPr>
            <w:r/>
            <w:r>
              <w:rPr>
                <w:sz w:val="18"/>
              </w:rPr>
              <w:t>Physical emergency — chest pain, seizure, overdose, no self-harm stated</w:t>
            </w:r>
          </w:p>
        </w:tc>
        <w:tc>
          <w:tcPr>
            <w:tcW w:type="dxa" w:w="1247"/>
          </w:tcPr>
          <w:p>
            <w:pPr>
              <w:spacing w:after="40"/>
            </w:pPr>
            <w:r/>
            <w:r>
              <w:rPr>
                <w:sz w:val="18"/>
              </w:rPr>
              <w:t>medical</w:t>
            </w:r>
          </w:p>
        </w:tc>
        <w:tc>
          <w:tcPr>
            <w:tcW w:type="dxa" w:w="3855"/>
          </w:tcPr>
          <w:p>
            <w:pPr>
              <w:spacing w:after="40"/>
            </w:pPr>
            <w:r/>
            <w:r>
              <w:rPr>
                <w:sz w:val="18"/>
              </w:rPr>
              <w:t>MEDICAL_EMERGENCY_RESPONSE — unsigned, CD-2</w:t>
            </w:r>
          </w:p>
        </w:tc>
      </w:tr>
      <w:tr>
        <w:tc>
          <w:tcPr>
            <w:tcW w:type="dxa" w:w="4309"/>
          </w:tcPr>
          <w:p>
            <w:pPr>
              <w:spacing w:after="40"/>
            </w:pPr>
            <w:r/>
            <w:r>
              <w:rPr>
                <w:sz w:val="18"/>
              </w:rPr>
              <w:t>Hopelessness, burden, escape themes, no stated plan</w:t>
            </w:r>
          </w:p>
        </w:tc>
        <w:tc>
          <w:tcPr>
            <w:tcW w:type="dxa" w:w="1247"/>
          </w:tcPr>
          <w:p>
            <w:pPr>
              <w:spacing w:after="40"/>
            </w:pPr>
            <w:r/>
            <w:r>
              <w:rPr>
                <w:sz w:val="18"/>
              </w:rPr>
              <w:t>S3</w:t>
            </w:r>
          </w:p>
        </w:tc>
        <w:tc>
          <w:tcPr>
            <w:tcW w:type="dxa" w:w="3855"/>
          </w:tcPr>
          <w:p>
            <w:pPr>
              <w:spacing w:after="40"/>
            </w:pPr>
            <w:r/>
            <w:r>
              <w:rPr>
                <w:sz w:val="18"/>
              </w:rPr>
              <w:t>2.2 S3 reply</w:t>
            </w:r>
          </w:p>
        </w:tc>
      </w:tr>
      <w:tr>
        <w:tc>
          <w:tcPr>
            <w:tcW w:type="dxa" w:w="4309"/>
          </w:tcPr>
          <w:p>
            <w:pPr>
              <w:spacing w:after="40"/>
            </w:pPr>
            <w:r/>
            <w:r>
              <w:rPr>
                <w:sz w:val="18"/>
              </w:rPr>
              <w:t>Neither</w:t>
            </w:r>
          </w:p>
        </w:tc>
        <w:tc>
          <w:tcPr>
            <w:tcW w:type="dxa" w:w="1247"/>
          </w:tcPr>
          <w:p>
            <w:pPr>
              <w:spacing w:after="40"/>
            </w:pPr>
            <w:r/>
            <w:r>
              <w:rPr>
                <w:sz w:val="18"/>
              </w:rPr>
              <w:t>S1/S2</w:t>
            </w:r>
          </w:p>
        </w:tc>
        <w:tc>
          <w:tcPr>
            <w:tcW w:type="dxa" w:w="3855"/>
          </w:tcPr>
          <w:p>
            <w:pPr>
              <w:spacing w:after="40"/>
            </w:pPr>
            <w:r/>
            <w:r>
              <w:rPr>
                <w:sz w:val="18"/>
              </w:rPr>
              <w:t>A2 in-conversation reply</w:t>
            </w:r>
          </w:p>
        </w:tc>
      </w:tr>
    </w:tbl>
    <w:p>
      <w:pPr>
        <w:spacing w:after="80"/>
      </w:pPr>
    </w:p>
    <w:p>
      <w:r>
        <w:rPr>
          <w:b w:val="0"/>
          <w:i w:val="0"/>
          <w:sz w:val="20"/>
        </w:rPr>
        <w:t>Section 4.2 is the only routing rule that changed in this revision: self-injury now serves the crisis tier rather than the S3 card.</w:t>
      </w:r>
    </w:p>
    <w:p>
      <w:pPr>
        <w:pStyle w:val="Heading1"/>
      </w:pPr>
      <w:r>
        <w:t>5. Every clinical surface in the product, and its status</w:t>
      </w:r>
    </w:p>
    <w:p>
      <w:r>
        <w:rPr>
          <w:b w:val="0"/>
          <w:i w:val="0"/>
          <w:sz w:val="20"/>
        </w:rPr>
        <w:t>This is a mechanical inventory, read from the code baseline rather than from memory: every client-facing constant that carries clinical words, plus every screen that names a helpline. It exists so that nothing clinical can appear later as a surprise — if a surface is not on this table, it does not carry clinical copy.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2608"/>
            <w:shd w:val="clear" w:fill="E8EEF2"/>
          </w:tcPr>
          <w:p>
            <w:pPr>
              <w:spacing w:after="40"/>
            </w:pPr>
            <w:r/>
            <w:r>
              <w:rPr>
                <w:b/>
                <w:sz w:val="17"/>
              </w:rPr>
              <w:t>Surface</w:t>
            </w:r>
          </w:p>
        </w:tc>
        <w:tc>
          <w:tcPr>
            <w:tcW w:type="dxa" w:w="3628"/>
            <w:shd w:val="clear" w:fill="E8EEF2"/>
          </w:tcPr>
          <w:p>
            <w:pPr>
              <w:spacing w:after="40"/>
            </w:pPr>
            <w:r/>
            <w:r>
              <w:rPr>
                <w:b/>
                <w:sz w:val="17"/>
              </w:rPr>
              <w:t>What it is</w:t>
            </w:r>
          </w:p>
        </w:tc>
        <w:tc>
          <w:tcPr>
            <w:tcW w:type="dxa" w:w="3175"/>
            <w:shd w:val="clear" w:fill="E8EEF2"/>
          </w:tcPr>
          <w:p>
            <w:pPr>
              <w:spacing w:after="40"/>
            </w:pPr>
            <w:r/>
            <w:r>
              <w:rPr>
                <w:b/>
                <w:sz w:val="17"/>
              </w:rPr>
              <w:t>Status</w:t>
            </w:r>
          </w:p>
        </w:tc>
      </w:tr>
      <w:tr>
        <w:tc>
          <w:tcPr>
            <w:tcW w:type="dxa" w:w="2608"/>
          </w:tcPr>
          <w:p>
            <w:pPr>
              <w:spacing w:after="40"/>
            </w:pPr>
            <w:r/>
            <w:r>
              <w:rPr>
                <w:sz w:val="17"/>
              </w:rPr>
              <w:t>HELPLINE_INLINE</w:t>
            </w:r>
          </w:p>
        </w:tc>
        <w:tc>
          <w:tcPr>
            <w:tcW w:type="dxa" w:w="3628"/>
          </w:tcPr>
          <w:p>
            <w:pPr>
              <w:spacing w:after="40"/>
            </w:pPr>
            <w:r/>
            <w:r>
              <w:rPr>
                <w:sz w:val="17"/>
              </w:rPr>
              <w:t>the shared number block in every fixed reply</w:t>
            </w:r>
          </w:p>
        </w:tc>
        <w:tc>
          <w:tcPr>
            <w:tcW w:type="dxa" w:w="3175"/>
          </w:tcPr>
          <w:p>
            <w:pPr>
              <w:spacing w:after="40"/>
            </w:pPr>
            <w:r/>
            <w:r>
              <w:rPr>
                <w:sz w:val="17"/>
              </w:rPr>
              <w:t>Signed — but the code is stale (section 7)</w:t>
            </w:r>
          </w:p>
        </w:tc>
      </w:tr>
      <w:tr>
        <w:tc>
          <w:tcPr>
            <w:tcW w:type="dxa" w:w="2608"/>
          </w:tcPr>
          <w:p>
            <w:pPr>
              <w:spacing w:after="40"/>
            </w:pPr>
            <w:r/>
            <w:r>
              <w:rPr>
                <w:sz w:val="17"/>
              </w:rPr>
              <w:t>A8_S3_GROUNDING_RESPONSE</w:t>
            </w:r>
          </w:p>
        </w:tc>
        <w:tc>
          <w:tcPr>
            <w:tcW w:type="dxa" w:w="3628"/>
          </w:tcPr>
          <w:p>
            <w:pPr>
              <w:spacing w:after="40"/>
            </w:pPr>
            <w:r/>
            <w:r>
              <w:rPr>
                <w:sz w:val="17"/>
              </w:rPr>
              <w:t>the S3 reply (2.2)</w:t>
            </w:r>
          </w:p>
        </w:tc>
        <w:tc>
          <w:tcPr>
            <w:tcW w:type="dxa" w:w="3175"/>
          </w:tcPr>
          <w:p>
            <w:pPr>
              <w:spacing w:after="40"/>
            </w:pPr>
            <w:r/>
            <w:r>
              <w:rPr>
                <w:sz w:val="17"/>
              </w:rPr>
              <w:t>SIGNED</w:t>
            </w:r>
          </w:p>
        </w:tc>
      </w:tr>
      <w:tr>
        <w:tc>
          <w:tcPr>
            <w:tcW w:type="dxa" w:w="2608"/>
          </w:tcPr>
          <w:p>
            <w:pPr>
              <w:spacing w:after="40"/>
            </w:pPr>
            <w:r/>
            <w:r>
              <w:rPr>
                <w:sz w:val="17"/>
              </w:rPr>
              <w:t>CRISIS_RESPONSE</w:t>
            </w:r>
          </w:p>
        </w:tc>
        <w:tc>
          <w:tcPr>
            <w:tcW w:type="dxa" w:w="3628"/>
          </w:tcPr>
          <w:p>
            <w:pPr>
              <w:spacing w:after="40"/>
            </w:pPr>
            <w:r/>
            <w:r>
              <w:rPr>
                <w:sz w:val="17"/>
              </w:rPr>
              <w:t>the S4 crisis card (2.3)</w:t>
            </w:r>
          </w:p>
        </w:tc>
        <w:tc>
          <w:tcPr>
            <w:tcW w:type="dxa" w:w="3175"/>
          </w:tcPr>
          <w:p>
            <w:pPr>
              <w:spacing w:after="40"/>
            </w:pPr>
            <w:r/>
            <w:r>
              <w:rPr>
                <w:sz w:val="17"/>
              </w:rPr>
              <w:t>SIGNED</w:t>
            </w:r>
          </w:p>
        </w:tc>
      </w:tr>
      <w:tr>
        <w:tc>
          <w:tcPr>
            <w:tcW w:type="dxa" w:w="2608"/>
          </w:tcPr>
          <w:p>
            <w:pPr>
              <w:spacing w:after="40"/>
            </w:pPr>
            <w:r/>
            <w:r>
              <w:rPr>
                <w:sz w:val="17"/>
              </w:rPr>
              <w:t>CRISIS_THIRD_PARTY_RESPONSE</w:t>
            </w:r>
          </w:p>
        </w:tc>
        <w:tc>
          <w:tcPr>
            <w:tcW w:type="dxa" w:w="3628"/>
          </w:tcPr>
          <w:p>
            <w:pPr>
              <w:spacing w:after="40"/>
            </w:pPr>
            <w:r/>
            <w:r>
              <w:rPr>
                <w:sz w:val="17"/>
              </w:rPr>
              <w:t>third-party reply (2.4)</w:t>
            </w:r>
          </w:p>
        </w:tc>
        <w:tc>
          <w:tcPr>
            <w:tcW w:type="dxa" w:w="3175"/>
          </w:tcPr>
          <w:p>
            <w:pPr>
              <w:spacing w:after="40"/>
            </w:pPr>
            <w:r/>
            <w:r>
              <w:rPr>
                <w:sz w:val="17"/>
              </w:rPr>
              <w:t>Approved — code still holds the dropped passage (section 7)</w:t>
            </w:r>
          </w:p>
        </w:tc>
      </w:tr>
      <w:tr>
        <w:tc>
          <w:tcPr>
            <w:tcW w:type="dxa" w:w="2608"/>
          </w:tcPr>
          <w:p>
            <w:pPr>
              <w:spacing w:after="40"/>
            </w:pPr>
            <w:r/>
            <w:r>
              <w:rPr>
                <w:sz w:val="17"/>
              </w:rPr>
              <w:t>self-injury reply</w:t>
            </w:r>
          </w:p>
        </w:tc>
        <w:tc>
          <w:tcPr>
            <w:tcW w:type="dxa" w:w="3628"/>
          </w:tcPr>
          <w:p>
            <w:pPr>
              <w:spacing w:after="40"/>
            </w:pPr>
            <w:r/>
            <w:r>
              <w:rPr>
                <w:sz w:val="17"/>
              </w:rPr>
              <w:t>2.5</w:t>
            </w:r>
          </w:p>
        </w:tc>
        <w:tc>
          <w:tcPr>
            <w:tcW w:type="dxa" w:w="3175"/>
          </w:tcPr>
          <w:p>
            <w:pPr>
              <w:spacing w:after="40"/>
            </w:pPr>
            <w:r/>
            <w:r>
              <w:rPr>
                <w:sz w:val="17"/>
              </w:rPr>
              <w:t>SIGNED</w:t>
            </w:r>
          </w:p>
        </w:tc>
      </w:tr>
      <w:tr>
        <w:tc>
          <w:tcPr>
            <w:tcW w:type="dxa" w:w="2608"/>
          </w:tcPr>
          <w:p>
            <w:pPr>
              <w:spacing w:after="40"/>
            </w:pPr>
            <w:r/>
            <w:r>
              <w:rPr>
                <w:sz w:val="17"/>
              </w:rPr>
              <w:t>MEDICAL_EMERGENCY_RESPONSE</w:t>
            </w:r>
          </w:p>
        </w:tc>
        <w:tc>
          <w:tcPr>
            <w:tcW w:type="dxa" w:w="3628"/>
          </w:tcPr>
          <w:p>
            <w:pPr>
              <w:spacing w:after="40"/>
            </w:pPr>
            <w:r/>
            <w:r>
              <w:rPr>
                <w:sz w:val="17"/>
              </w:rPr>
              <w:t>physical emergency, 112 first</w:t>
            </w:r>
          </w:p>
        </w:tc>
        <w:tc>
          <w:tcPr>
            <w:tcW w:type="dxa" w:w="3175"/>
          </w:tcPr>
          <w:p>
            <w:pPr>
              <w:spacing w:after="40"/>
            </w:pPr>
            <w:r/>
            <w:r>
              <w:rPr>
                <w:sz w:val="17"/>
              </w:rPr>
              <w:t>UNREVIEWED — CD-2</w:t>
            </w:r>
          </w:p>
        </w:tc>
      </w:tr>
      <w:tr>
        <w:tc>
          <w:tcPr>
            <w:tcW w:type="dxa" w:w="2608"/>
          </w:tcPr>
          <w:p>
            <w:pPr>
              <w:spacing w:after="40"/>
            </w:pPr>
            <w:r/>
            <w:r>
              <w:rPr>
                <w:sz w:val="17"/>
              </w:rPr>
              <w:t>MEDICAL_EMERGENCY_CRISIS_RESPONSE</w:t>
            </w:r>
          </w:p>
        </w:tc>
        <w:tc>
          <w:tcPr>
            <w:tcW w:type="dxa" w:w="3628"/>
          </w:tcPr>
          <w:p>
            <w:pPr>
              <w:spacing w:after="40"/>
            </w:pPr>
            <w:r/>
            <w:r>
              <w:rPr>
                <w:sz w:val="17"/>
              </w:rPr>
              <w:t>physical emergency plus crisis</w:t>
            </w:r>
          </w:p>
        </w:tc>
        <w:tc>
          <w:tcPr>
            <w:tcW w:type="dxa" w:w="3175"/>
          </w:tcPr>
          <w:p>
            <w:pPr>
              <w:spacing w:after="40"/>
            </w:pPr>
            <w:r/>
            <w:r>
              <w:rPr>
                <w:sz w:val="17"/>
              </w:rPr>
              <w:t>UNREVIEWED — CD-2</w:t>
            </w:r>
          </w:p>
        </w:tc>
      </w:tr>
      <w:tr>
        <w:tc>
          <w:tcPr>
            <w:tcW w:type="dxa" w:w="2608"/>
          </w:tcPr>
          <w:p>
            <w:pPr>
              <w:spacing w:after="40"/>
            </w:pPr>
            <w:r/>
            <w:r>
              <w:rPr>
                <w:sz w:val="17"/>
              </w:rPr>
              <w:t>A9_PRE_BLOCKED_RESPONSE</w:t>
            </w:r>
          </w:p>
        </w:tc>
        <w:tc>
          <w:tcPr>
            <w:tcW w:type="dxa" w:w="3628"/>
          </w:tcPr>
          <w:p>
            <w:pPr>
              <w:spacing w:after="40"/>
            </w:pPr>
            <w:r/>
            <w:r>
              <w:rPr>
                <w:sz w:val="17"/>
              </w:rPr>
              <w:t>message refused but not crisis-level</w:t>
            </w:r>
          </w:p>
        </w:tc>
        <w:tc>
          <w:tcPr>
            <w:tcW w:type="dxa" w:w="3175"/>
          </w:tcPr>
          <w:p>
            <w:pPr>
              <w:spacing w:after="40"/>
            </w:pPr>
            <w:r/>
            <w:r>
              <w:rPr>
                <w:sz w:val="17"/>
              </w:rPr>
              <w:t>UNREVIEWED — CD-6</w:t>
            </w:r>
          </w:p>
        </w:tc>
      </w:tr>
      <w:tr>
        <w:tc>
          <w:tcPr>
            <w:tcW w:type="dxa" w:w="2608"/>
          </w:tcPr>
          <w:p>
            <w:pPr>
              <w:spacing w:after="40"/>
            </w:pPr>
            <w:r/>
            <w:r>
              <w:rPr>
                <w:sz w:val="17"/>
              </w:rPr>
              <w:t>A9_POST_DEGRADED_RESPONSE</w:t>
            </w:r>
          </w:p>
        </w:tc>
        <w:tc>
          <w:tcPr>
            <w:tcW w:type="dxa" w:w="3628"/>
          </w:tcPr>
          <w:p>
            <w:pPr>
              <w:spacing w:after="40"/>
            </w:pPr>
            <w:r/>
            <w:r>
              <w:rPr>
                <w:sz w:val="17"/>
              </w:rPr>
              <w:t>reviewer unavailable</w:t>
            </w:r>
          </w:p>
        </w:tc>
        <w:tc>
          <w:tcPr>
            <w:tcW w:type="dxa" w:w="3175"/>
          </w:tcPr>
          <w:p>
            <w:pPr>
              <w:spacing w:after="40"/>
            </w:pPr>
            <w:r/>
            <w:r>
              <w:rPr>
                <w:sz w:val="17"/>
              </w:rPr>
              <w:t>UNREVIEWED — CD-6</w:t>
            </w:r>
          </w:p>
        </w:tc>
      </w:tr>
      <w:tr>
        <w:tc>
          <w:tcPr>
            <w:tcW w:type="dxa" w:w="2608"/>
          </w:tcPr>
          <w:p>
            <w:pPr>
              <w:spacing w:after="40"/>
            </w:pPr>
            <w:r/>
            <w:r>
              <w:rPr>
                <w:sz w:val="17"/>
              </w:rPr>
              <w:t>A9_POST_S2_FALLBACK</w:t>
            </w:r>
          </w:p>
        </w:tc>
        <w:tc>
          <w:tcPr>
            <w:tcW w:type="dxa" w:w="3628"/>
          </w:tcPr>
          <w:p>
            <w:pPr>
              <w:spacing w:after="40"/>
            </w:pPr>
            <w:r/>
            <w:r>
              <w:rPr>
                <w:sz w:val="17"/>
              </w:rPr>
              <w:t>reviewer unavailable at elevated risk</w:t>
            </w:r>
          </w:p>
        </w:tc>
        <w:tc>
          <w:tcPr>
            <w:tcW w:type="dxa" w:w="3175"/>
          </w:tcPr>
          <w:p>
            <w:pPr>
              <w:spacing w:after="40"/>
            </w:pPr>
            <w:r/>
            <w:r>
              <w:rPr>
                <w:sz w:val="17"/>
              </w:rPr>
              <w:t>UNREVIEWED — CD-6, and it says “I’m not going anywhere”</w:t>
            </w:r>
          </w:p>
        </w:tc>
      </w:tr>
      <w:tr>
        <w:tc>
          <w:tcPr>
            <w:tcW w:type="dxa" w:w="2608"/>
          </w:tcPr>
          <w:p>
            <w:pPr>
              <w:spacing w:after="40"/>
            </w:pPr>
            <w:r/>
            <w:r>
              <w:rPr>
                <w:sz w:val="17"/>
              </w:rPr>
              <w:t>A2_DEGRADED_RESPONSE</w:t>
            </w:r>
          </w:p>
        </w:tc>
        <w:tc>
          <w:tcPr>
            <w:tcW w:type="dxa" w:w="3628"/>
          </w:tcPr>
          <w:p>
            <w:pPr>
              <w:spacing w:after="40"/>
            </w:pPr>
            <w:r/>
            <w:r>
              <w:rPr>
                <w:sz w:val="17"/>
              </w:rPr>
              <w:t>model failed, turn never assessed</w:t>
            </w:r>
          </w:p>
        </w:tc>
        <w:tc>
          <w:tcPr>
            <w:tcW w:type="dxa" w:w="3175"/>
          </w:tcPr>
          <w:p>
            <w:pPr>
              <w:spacing w:after="40"/>
            </w:pPr>
            <w:r/>
            <w:r>
              <w:rPr>
                <w:sz w:val="17"/>
              </w:rPr>
              <w:t>UNREVIEWED — CD-6</w:t>
            </w:r>
          </w:p>
        </w:tc>
      </w:tr>
      <w:tr>
        <w:tc>
          <w:tcPr>
            <w:tcW w:type="dxa" w:w="2608"/>
          </w:tcPr>
          <w:p>
            <w:pPr>
              <w:spacing w:after="40"/>
            </w:pPr>
            <w:r/>
            <w:r>
              <w:rPr>
                <w:sz w:val="17"/>
              </w:rPr>
              <w:t>BUDGET_PAUSED_RESPONSE</w:t>
            </w:r>
          </w:p>
        </w:tc>
        <w:tc>
          <w:tcPr>
            <w:tcW w:type="dxa" w:w="3628"/>
          </w:tcPr>
          <w:p>
            <w:pPr>
              <w:spacing w:after="40"/>
            </w:pPr>
            <w:r/>
            <w:r>
              <w:rPr>
                <w:sz w:val="17"/>
              </w:rPr>
              <w:t>spending limit reached mid-conversation</w:t>
            </w:r>
          </w:p>
        </w:tc>
        <w:tc>
          <w:tcPr>
            <w:tcW w:type="dxa" w:w="3175"/>
          </w:tcPr>
          <w:p>
            <w:pPr>
              <w:spacing w:after="40"/>
            </w:pPr>
            <w:r/>
            <w:r>
              <w:rPr>
                <w:sz w:val="17"/>
              </w:rPr>
              <w:t>UNREVIEWED — CD-6, carries numbers</w:t>
            </w:r>
          </w:p>
        </w:tc>
      </w:tr>
      <w:tr>
        <w:tc>
          <w:tcPr>
            <w:tcW w:type="dxa" w:w="2608"/>
          </w:tcPr>
          <w:p>
            <w:pPr>
              <w:spacing w:after="40"/>
            </w:pPr>
            <w:r/>
            <w:r>
              <w:rPr>
                <w:sz w:val="17"/>
              </w:rPr>
              <w:t>SAFETY_UNAVAILABLE_RESPONSE</w:t>
            </w:r>
          </w:p>
        </w:tc>
        <w:tc>
          <w:tcPr>
            <w:tcW w:type="dxa" w:w="3628"/>
          </w:tcPr>
          <w:p>
            <w:pPr>
              <w:spacing w:after="40"/>
            </w:pPr>
            <w:r/>
            <w:r>
              <w:rPr>
                <w:sz w:val="17"/>
              </w:rPr>
              <w:t>classifier unreachable, no crisis phrasing</w:t>
            </w:r>
          </w:p>
        </w:tc>
        <w:tc>
          <w:tcPr>
            <w:tcW w:type="dxa" w:w="3175"/>
          </w:tcPr>
          <w:p>
            <w:pPr>
              <w:spacing w:after="40"/>
            </w:pPr>
            <w:r/>
            <w:r>
              <w:rPr>
                <w:sz w:val="17"/>
              </w:rPr>
              <w:t>UNREVIEWED — CD-6, carries numbers</w:t>
            </w:r>
          </w:p>
        </w:tc>
      </w:tr>
      <w:tr>
        <w:tc>
          <w:tcPr>
            <w:tcW w:type="dxa" w:w="2608"/>
          </w:tcPr>
          <w:p>
            <w:pPr>
              <w:spacing w:after="40"/>
            </w:pPr>
            <w:r/>
            <w:r>
              <w:rPr>
                <w:sz w:val="17"/>
              </w:rPr>
              <w:t>MODEL_UNAVAILABLE_RESPONSE</w:t>
            </w:r>
          </w:p>
        </w:tc>
        <w:tc>
          <w:tcPr>
            <w:tcW w:type="dxa" w:w="3628"/>
          </w:tcPr>
          <w:p>
            <w:pPr>
              <w:spacing w:after="40"/>
            </w:pPr>
            <w:r/>
            <w:r>
              <w:rPr>
                <w:sz w:val="17"/>
              </w:rPr>
              <w:t>reply model unreachable</w:t>
            </w:r>
          </w:p>
        </w:tc>
        <w:tc>
          <w:tcPr>
            <w:tcW w:type="dxa" w:w="3175"/>
          </w:tcPr>
          <w:p>
            <w:pPr>
              <w:spacing w:after="40"/>
            </w:pPr>
            <w:r/>
            <w:r>
              <w:rPr>
                <w:sz w:val="17"/>
              </w:rPr>
              <w:t>UNREVIEWED — CD-6, carries numbers</w:t>
            </w:r>
          </w:p>
        </w:tc>
      </w:tr>
      <w:tr>
        <w:tc>
          <w:tcPr>
            <w:tcW w:type="dxa" w:w="2608"/>
          </w:tcPr>
          <w:p>
            <w:pPr>
              <w:spacing w:after="40"/>
            </w:pPr>
            <w:r/>
            <w:r>
              <w:rPr>
                <w:sz w:val="17"/>
              </w:rPr>
              <w:t>SAFE_FALLBACK</w:t>
            </w:r>
          </w:p>
        </w:tc>
        <w:tc>
          <w:tcPr>
            <w:tcW w:type="dxa" w:w="3628"/>
          </w:tcPr>
          <w:p>
            <w:pPr>
              <w:spacing w:after="40"/>
            </w:pPr>
            <w:r/>
            <w:r>
              <w:rPr>
                <w:sz w:val="17"/>
              </w:rPr>
              <w:t>generic supportive sentence</w:t>
            </w:r>
          </w:p>
        </w:tc>
        <w:tc>
          <w:tcPr>
            <w:tcW w:type="dxa" w:w="3175"/>
          </w:tcPr>
          <w:p>
            <w:pPr>
              <w:spacing w:after="40"/>
            </w:pPr>
            <w:r/>
            <w:r>
              <w:rPr>
                <w:sz w:val="17"/>
              </w:rPr>
              <w:t>UNREVIEWED — CD-6</w:t>
            </w:r>
          </w:p>
        </w:tc>
      </w:tr>
      <w:tr>
        <w:tc>
          <w:tcPr>
            <w:tcW w:type="dxa" w:w="2608"/>
          </w:tcPr>
          <w:p>
            <w:pPr>
              <w:spacing w:after="40"/>
            </w:pPr>
            <w:r/>
            <w:r>
              <w:rPr>
                <w:sz w:val="17"/>
              </w:rPr>
              <w:t>App crisis screen</w:t>
            </w:r>
          </w:p>
        </w:tc>
        <w:tc>
          <w:tcPr>
            <w:tcW w:type="dxa" w:w="3628"/>
          </w:tcPr>
          <w:p>
            <w:pPr>
              <w:spacing w:after="40"/>
            </w:pPr>
            <w:r/>
            <w:r>
              <w:rPr>
                <w:sz w:val="17"/>
              </w:rPr>
              <w:t>crisis_overlay.dart, the number list in-app</w:t>
            </w:r>
          </w:p>
        </w:tc>
        <w:tc>
          <w:tcPr>
            <w:tcW w:type="dxa" w:w="3175"/>
          </w:tcPr>
          <w:p>
            <w:pPr>
              <w:spacing w:after="40"/>
            </w:pPr>
            <w:r/>
            <w:r>
              <w:rPr>
                <w:sz w:val="17"/>
              </w:rPr>
              <w:t>Numbers signed; surrounding wording UNREVIEWED — CD-7</w:t>
            </w:r>
          </w:p>
        </w:tc>
      </w:tr>
      <w:tr>
        <w:tc>
          <w:tcPr>
            <w:tcW w:type="dxa" w:w="2608"/>
          </w:tcPr>
          <w:p>
            <w:pPr>
              <w:spacing w:after="40"/>
            </w:pPr>
            <w:r/>
            <w:r>
              <w:rPr>
                <w:sz w:val="17"/>
              </w:rPr>
              <w:t>App age-gate screen</w:t>
            </w:r>
          </w:p>
        </w:tc>
        <w:tc>
          <w:tcPr>
            <w:tcW w:type="dxa" w:w="3628"/>
          </w:tcPr>
          <w:p>
            <w:pPr>
              <w:spacing w:after="40"/>
            </w:pPr>
            <w:r/>
            <w:r>
              <w:rPr>
                <w:sz w:val="17"/>
              </w:rPr>
              <w:t>age_blocked_screen.dart, under-age block + numbers</w:t>
            </w:r>
          </w:p>
        </w:tc>
        <w:tc>
          <w:tcPr>
            <w:tcW w:type="dxa" w:w="3175"/>
          </w:tcPr>
          <w:p>
            <w:pPr>
              <w:spacing w:after="40"/>
            </w:pPr>
            <w:r/>
            <w:r>
              <w:rPr>
                <w:sz w:val="17"/>
              </w:rPr>
              <w:t>Numbers signed; wording and age boundary UNREVIEWED — CD-7</w:t>
            </w:r>
          </w:p>
        </w:tc>
      </w:tr>
      <w:tr>
        <w:tc>
          <w:tcPr>
            <w:tcW w:type="dxa" w:w="2608"/>
          </w:tcPr>
          <w:p>
            <w:pPr>
              <w:spacing w:after="40"/>
            </w:pPr>
            <w:r/>
            <w:r>
              <w:rPr>
                <w:sz w:val="17"/>
              </w:rPr>
              <w:t>A1 severity definitions</w:t>
            </w:r>
          </w:p>
        </w:tc>
        <w:tc>
          <w:tcPr>
            <w:tcW w:type="dxa" w:w="3628"/>
          </w:tcPr>
          <w:p>
            <w:pPr>
              <w:spacing w:after="40"/>
            </w:pPr>
            <w:r/>
            <w:r>
              <w:rPr>
                <w:sz w:val="17"/>
              </w:rPr>
              <w:t>the S1–S4 thresholds that pick the card</w:t>
            </w:r>
          </w:p>
        </w:tc>
        <w:tc>
          <w:tcPr>
            <w:tcW w:type="dxa" w:w="3175"/>
          </w:tcPr>
          <w:p>
            <w:pPr>
              <w:spacing w:after="40"/>
            </w:pPr>
            <w:r/>
            <w:r>
              <w:rPr>
                <w:sz w:val="17"/>
              </w:rPr>
              <w:t>UNREVIEWED — CD-8</w:t>
            </w:r>
          </w:p>
        </w:tc>
      </w:tr>
    </w:tbl>
    <w:p>
      <w:pPr>
        <w:spacing w:after="80"/>
      </w:pPr>
    </w:p>
    <w:p>
      <w:r>
        <w:rPr>
          <w:b w:val="0"/>
          <w:i w:val="0"/>
          <w:sz w:val="20"/>
        </w:rPr>
        <w:t>Tally: 18 surfaces — 3 signed, 2 signed but carrying stale code, 13 never reviewed. The three signed ones are the cards a person reads at S3 and S4, which is where the weight sits, and they are what this document closes.</w:t>
      </w:r>
    </w:p>
    <w:p>
      <w:r>
        <w:br w:type="page"/>
      </w:r>
    </w:p>
    <w:p>
      <w:pPr>
        <w:pStyle w:val="Heading1"/>
      </w:pPr>
      <w:r>
        <w:t>6. Clinical dependency register — the complete list</w:t>
      </w:r>
    </w:p>
    <w:p>
      <w:r>
        <w:rPr>
          <w:b w:val="0"/>
          <w:i w:val="0"/>
          <w:sz w:val="20"/>
        </w:rPr>
        <w:t>Everything that still needs Dr Goswami, once, in one place. Eight items. Each states what is needed, what I recommend, and what ships if she says nothing — so that silence is a decision rather than a drift.</w:t>
      </w:r>
    </w:p>
    <w:p>
      <w:r>
        <w:rPr>
          <w:b w:val="0"/>
          <w:i w:val="0"/>
          <w:sz w:val="20"/>
        </w:rPr>
        <w:t>Nothing outside this register requires her. Section 7 lists what is waiting on other people.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c>
          <w:tcPr>
            <w:tcW w:type="dxa" w:w="737"/>
            <w:shd w:val="clear" w:fill="E8EEF2"/>
          </w:tcPr>
          <w:p>
            <w:pPr>
              <w:spacing w:after="40"/>
            </w:pPr>
            <w:r/>
            <w:r>
              <w:rPr>
                <w:b/>
                <w:sz w:val="17"/>
              </w:rPr>
              <w:t>#</w:t>
            </w:r>
          </w:p>
        </w:tc>
        <w:tc>
          <w:tcPr>
            <w:tcW w:type="dxa" w:w="1814"/>
            <w:shd w:val="clear" w:fill="E8EEF2"/>
          </w:tcPr>
          <w:p>
            <w:pPr>
              <w:spacing w:after="40"/>
            </w:pPr>
            <w:r/>
            <w:r>
              <w:rPr>
                <w:b/>
                <w:sz w:val="17"/>
              </w:rPr>
              <w:t>Item</w:t>
            </w:r>
          </w:p>
        </w:tc>
        <w:tc>
          <w:tcPr>
            <w:tcW w:type="dxa" w:w="3515"/>
            <w:shd w:val="clear" w:fill="E8EEF2"/>
          </w:tcPr>
          <w:p>
            <w:pPr>
              <w:spacing w:after="40"/>
            </w:pPr>
            <w:r/>
            <w:r>
              <w:rPr>
                <w:b/>
                <w:sz w:val="17"/>
              </w:rPr>
              <w:t>What it is and why it needs you</w:t>
            </w:r>
          </w:p>
        </w:tc>
        <w:tc>
          <w:tcPr>
            <w:tcW w:type="dxa" w:w="1814"/>
            <w:shd w:val="clear" w:fill="E8EEF2"/>
          </w:tcPr>
          <w:p>
            <w:pPr>
              <w:spacing w:after="40"/>
            </w:pPr>
            <w:r/>
            <w:r>
              <w:rPr>
                <w:b/>
                <w:sz w:val="17"/>
              </w:rPr>
              <w:t>Needed from you</w:t>
            </w:r>
          </w:p>
        </w:tc>
        <w:tc>
          <w:tcPr>
            <w:tcW w:type="dxa" w:w="1531"/>
            <w:shd w:val="clear" w:fill="E8EEF2"/>
          </w:tcPr>
          <w:p>
            <w:pPr>
              <w:spacing w:after="40"/>
            </w:pPr>
            <w:r/>
            <w:r>
              <w:rPr>
                <w:b/>
                <w:sz w:val="17"/>
              </w:rPr>
              <w:t>If you say nothing</w:t>
            </w:r>
          </w:p>
        </w:tc>
      </w:tr>
      <w:tr>
        <w:tc>
          <w:tcPr>
            <w:tcW w:type="dxa" w:w="737"/>
          </w:tcPr>
          <w:p>
            <w:pPr>
              <w:spacing w:after="40"/>
            </w:pPr>
            <w:r/>
            <w:r>
              <w:rPr>
                <w:sz w:val="17"/>
              </w:rPr>
              <w:t>CD-1</w:t>
            </w:r>
          </w:p>
        </w:tc>
        <w:tc>
          <w:tcPr>
            <w:tcW w:type="dxa" w:w="1814"/>
          </w:tcPr>
          <w:p>
            <w:pPr>
              <w:spacing w:after="40"/>
            </w:pPr>
            <w:r/>
            <w:r>
              <w:rPr>
                <w:sz w:val="17"/>
              </w:rPr>
              <w:t>Harm-intrusion reply (E17-S15)</w:t>
            </w:r>
          </w:p>
        </w:tc>
        <w:tc>
          <w:tcPr>
            <w:tcW w:type="dxa" w:w="3515"/>
          </w:tcPr>
          <w:p>
            <w:pPr>
              <w:spacing w:after="40"/>
            </w:pPr>
            <w:r/>
            <w:r>
              <w:rPr>
                <w:sz w:val="17"/>
              </w:rPr>
              <w:t>A user frightened by their own thoughts of hurting someone — intrusive thoughts, not intent. Approved in principle on three conditions; the exact current and proposed text has not yet been put in front of her.</w:t>
            </w:r>
          </w:p>
        </w:tc>
        <w:tc>
          <w:tcPr>
            <w:tcW w:type="dxa" w:w="1814"/>
          </w:tcPr>
          <w:p>
            <w:pPr>
              <w:spacing w:after="40"/>
            </w:pPr>
            <w:r/>
            <w:r>
              <w:rPr>
                <w:sz w:val="17"/>
              </w:rPr>
              <w:t>Send both texts for a final look, then build.</w:t>
            </w:r>
          </w:p>
        </w:tc>
        <w:tc>
          <w:tcPr>
            <w:tcW w:type="dxa" w:w="1531"/>
          </w:tcPr>
          <w:p>
            <w:pPr>
              <w:spacing w:after="40"/>
            </w:pPr>
            <w:r/>
            <w:r>
              <w:rPr>
                <w:sz w:val="17"/>
              </w:rPr>
              <w:t>Approved in principle, not built. Ships nothing until the text is seen.</w:t>
            </w:r>
          </w:p>
        </w:tc>
      </w:tr>
      <w:tr>
        <w:tc>
          <w:tcPr>
            <w:tcW w:type="dxa" w:w="737"/>
          </w:tcPr>
          <w:p>
            <w:pPr>
              <w:spacing w:after="40"/>
            </w:pPr>
            <w:r/>
            <w:r>
              <w:rPr>
                <w:sz w:val="17"/>
              </w:rPr>
              <w:t>CD-2</w:t>
            </w:r>
          </w:p>
        </w:tc>
        <w:tc>
          <w:tcPr>
            <w:tcW w:type="dxa" w:w="1814"/>
          </w:tcPr>
          <w:p>
            <w:pPr>
              <w:spacing w:after="40"/>
            </w:pPr>
            <w:r/>
            <w:r>
              <w:rPr>
                <w:sz w:val="17"/>
              </w:rPr>
              <w:t>Medical-emergency cards — 2 strings</w:t>
            </w:r>
          </w:p>
        </w:tc>
        <w:tc>
          <w:tcPr>
            <w:tcW w:type="dxa" w:w="3515"/>
          </w:tcPr>
          <w:p>
            <w:pPr>
              <w:spacing w:after="40"/>
            </w:pPr>
            <w:r/>
            <w:r>
              <w:rPr>
                <w:sz w:val="17"/>
              </w:rPr>
              <w:t>The copy served for a physical emergency: 112 first, no first aid, no diagnosis. Never reviewed, and already serving users.</w:t>
            </w:r>
          </w:p>
        </w:tc>
        <w:tc>
          <w:tcPr>
            <w:tcW w:type="dxa" w:w="1814"/>
          </w:tcPr>
          <w:p>
            <w:pPr>
              <w:spacing w:after="40"/>
            </w:pPr>
            <w:r/>
            <w:r>
              <w:rPr>
                <w:sz w:val="17"/>
              </w:rPr>
              <w:t>Sign as written; read the two strings in section 5’s source file once.</w:t>
            </w:r>
          </w:p>
        </w:tc>
        <w:tc>
          <w:tcPr>
            <w:tcW w:type="dxa" w:w="1531"/>
          </w:tcPr>
          <w:p>
            <w:pPr>
              <w:spacing w:after="40"/>
            </w:pPr>
            <w:r/>
            <w:r>
              <w:rPr>
                <w:sz w:val="17"/>
              </w:rPr>
              <w:t>Stays unreviewed and keeps shipping — present exposure, not a future risk.</w:t>
            </w:r>
          </w:p>
        </w:tc>
      </w:tr>
      <w:tr>
        <w:tc>
          <w:tcPr>
            <w:tcW w:type="dxa" w:w="737"/>
          </w:tcPr>
          <w:p>
            <w:pPr>
              <w:spacing w:after="40"/>
            </w:pPr>
            <w:r/>
            <w:r>
              <w:rPr>
                <w:sz w:val="17"/>
              </w:rPr>
              <w:t>CD-3</w:t>
            </w:r>
          </w:p>
        </w:tc>
        <w:tc>
          <w:tcPr>
            <w:tcW w:type="dxa" w:w="1814"/>
          </w:tcPr>
          <w:p>
            <w:pPr>
              <w:spacing w:after="40"/>
            </w:pPr>
            <w:r/>
            <w:r>
              <w:rPr>
                <w:sz w:val="17"/>
              </w:rPr>
              <w:t>Retention period (D-E)</w:t>
            </w:r>
          </w:p>
        </w:tc>
        <w:tc>
          <w:tcPr>
            <w:tcW w:type="dxa" w:w="3515"/>
          </w:tcPr>
          <w:p>
            <w:pPr>
              <w:spacing w:after="40"/>
            </w:pPr>
            <w:r/>
            <w:r>
              <w:rPr>
                <w:sz w:val="17"/>
              </w:rPr>
              <w:t>How long clinical records are kept. Deferred by her until the legal call on the DPDP agreement; the decision lands after that.</w:t>
            </w:r>
          </w:p>
        </w:tc>
        <w:tc>
          <w:tcPr>
            <w:tcW w:type="dxa" w:w="1814"/>
          </w:tcPr>
          <w:p>
            <w:pPr>
              <w:spacing w:after="40"/>
            </w:pPr>
            <w:r/>
            <w:r>
              <w:rPr>
                <w:sz w:val="17"/>
              </w:rPr>
              <w:t>A finite period for conversation with a stated floor for clinical notes.</w:t>
            </w:r>
          </w:p>
        </w:tc>
        <w:tc>
          <w:tcPr>
            <w:tcW w:type="dxa" w:w="1531"/>
          </w:tcPr>
          <w:p>
            <w:pPr>
              <w:spacing w:after="40"/>
            </w:pPr>
            <w:r/>
            <w:r>
              <w:rPr>
                <w:sz w:val="17"/>
              </w:rPr>
              <w:t>Records persist until account deletion, which is what the product does and its privacy policy states.</w:t>
            </w:r>
          </w:p>
        </w:tc>
      </w:tr>
      <w:tr>
        <w:tc>
          <w:tcPr>
            <w:tcW w:type="dxa" w:w="737"/>
          </w:tcPr>
          <w:p>
            <w:pPr>
              <w:spacing w:after="40"/>
            </w:pPr>
            <w:r/>
            <w:r>
              <w:rPr>
                <w:sz w:val="17"/>
              </w:rPr>
              <w:t>CD-4</w:t>
            </w:r>
          </w:p>
        </w:tc>
        <w:tc>
          <w:tcPr>
            <w:tcW w:type="dxa" w:w="1814"/>
          </w:tcPr>
          <w:p>
            <w:pPr>
              <w:spacing w:after="40"/>
            </w:pPr>
            <w:r/>
            <w:r>
              <w:rPr>
                <w:sz w:val="17"/>
              </w:rPr>
              <w:t>Escalation route (D-F)</w:t>
            </w:r>
          </w:p>
        </w:tc>
        <w:tc>
          <w:tcPr>
            <w:tcW w:type="dxa" w:w="3515"/>
          </w:tcPr>
          <w:p>
            <w:pPr>
              <w:spacing w:after="40"/>
            </w:pPr>
            <w:r/>
            <w:r>
              <w:rPr>
                <w:sz w:val="17"/>
              </w:rPr>
              <w:t>The clinical section of the on-call runbook: what happens when a safety signal needs a human, including the helpline block. Blocked on evidence that alerts reach a named human with a backup clinician — build evidence, not her time.</w:t>
            </w:r>
          </w:p>
        </w:tc>
        <w:tc>
          <w:tcPr>
            <w:tcW w:type="dxa" w:w="1814"/>
          </w:tcPr>
          <w:p>
            <w:pPr>
              <w:spacing w:after="40"/>
            </w:pPr>
            <w:r/>
            <w:r>
              <w:rPr>
                <w:sz w:val="17"/>
              </w:rPr>
              <w:t>Sign once the evidence exists.</w:t>
            </w:r>
          </w:p>
        </w:tc>
        <w:tc>
          <w:tcPr>
            <w:tcW w:type="dxa" w:w="1531"/>
          </w:tcPr>
          <w:p>
            <w:pPr>
              <w:spacing w:after="40"/>
            </w:pPr>
            <w:r/>
            <w:r>
              <w:rPr>
                <w:sz w:val="17"/>
              </w:rPr>
              <w:t>Runbook ships marked UNAPPROVED. No change to the product.</w:t>
            </w:r>
          </w:p>
        </w:tc>
      </w:tr>
      <w:tr>
        <w:tc>
          <w:tcPr>
            <w:tcW w:type="dxa" w:w="737"/>
          </w:tcPr>
          <w:p>
            <w:pPr>
              <w:spacing w:after="40"/>
            </w:pPr>
            <w:r/>
            <w:r>
              <w:rPr>
                <w:sz w:val="17"/>
              </w:rPr>
              <w:t>CD-5</w:t>
            </w:r>
          </w:p>
        </w:tc>
        <w:tc>
          <w:tcPr>
            <w:tcW w:type="dxa" w:w="1814"/>
          </w:tcPr>
          <w:p>
            <w:pPr>
              <w:spacing w:after="40"/>
            </w:pPr>
            <w:r/>
            <w:r>
              <w:rPr>
                <w:sz w:val="17"/>
              </w:rPr>
              <w:t>Launch claims matrix (D-G)</w:t>
            </w:r>
          </w:p>
        </w:tc>
        <w:tc>
          <w:tcPr>
            <w:tcW w:type="dxa" w:w="3515"/>
          </w:tcPr>
          <w:p>
            <w:pPr>
              <w:spacing w:after="40"/>
            </w:pPr>
            <w:r/>
            <w:r>
              <w:rPr>
                <w:sz w:val="17"/>
              </w:rPr>
              <w:t>Line-by-line approval of every public statement about clinical review, so no claim exceeds what is signed. Her own sequencing puts this last, after CD-1 and CD-2.</w:t>
            </w:r>
          </w:p>
        </w:tc>
        <w:tc>
          <w:tcPr>
            <w:tcW w:type="dxa" w:w="1814"/>
          </w:tcPr>
          <w:p>
            <w:pPr>
              <w:spacing w:after="40"/>
            </w:pPr>
            <w:r/>
            <w:r>
              <w:rPr>
                <w:sz w:val="17"/>
              </w:rPr>
              <w:t>Approve once the copy is built and CD-1/CD-2 are closed.</w:t>
            </w:r>
          </w:p>
        </w:tc>
        <w:tc>
          <w:tcPr>
            <w:tcW w:type="dxa" w:w="1531"/>
          </w:tcPr>
          <w:p>
            <w:pPr>
              <w:spacing w:after="40"/>
            </w:pPr>
            <w:r/>
            <w:r>
              <w:rPr>
                <w:sz w:val="17"/>
              </w:rPr>
              <w:t>No surface claims clinical review — which is the correct state until she signs.</w:t>
            </w:r>
          </w:p>
        </w:tc>
      </w:tr>
      <w:tr>
        <w:tc>
          <w:tcPr>
            <w:tcW w:type="dxa" w:w="737"/>
          </w:tcPr>
          <w:p>
            <w:pPr>
              <w:spacing w:after="40"/>
            </w:pPr>
            <w:r/>
            <w:r>
              <w:rPr>
                <w:sz w:val="17"/>
              </w:rPr>
              <w:t>CD-6</w:t>
            </w:r>
          </w:p>
        </w:tc>
        <w:tc>
          <w:tcPr>
            <w:tcW w:type="dxa" w:w="1814"/>
          </w:tcPr>
          <w:p>
            <w:pPr>
              <w:spacing w:after="40"/>
            </w:pPr>
            <w:r/>
            <w:r>
              <w:rPr>
                <w:sz w:val="17"/>
              </w:rPr>
              <w:t>Nine technical-failure replies</w:t>
            </w:r>
          </w:p>
        </w:tc>
        <w:tc>
          <w:tcPr>
            <w:tcW w:type="dxa" w:w="3515"/>
          </w:tcPr>
          <w:p>
            <w:pPr>
              <w:spacing w:after="40"/>
            </w:pPr>
            <w:r/>
            <w:r>
              <w:rPr>
                <w:sz w:val="17"/>
              </w:rPr>
              <w:t>The fixed replies served when the model, classifier or reviewer is unavailable, or the spending limit is hit. Three name the helplines. One is the S2 elevated-risk failover and says “I’m not going anywhere” — the exact phrase she struck from the S3 reply.</w:t>
            </w:r>
          </w:p>
        </w:tc>
        <w:tc>
          <w:tcPr>
            <w:tcW w:type="dxa" w:w="1814"/>
          </w:tcPr>
          <w:p>
            <w:pPr>
              <w:spacing w:after="40"/>
            </w:pPr>
            <w:r/>
            <w:r>
              <w:rPr>
                <w:sz w:val="17"/>
              </w:rPr>
              <w:t>One sitting, one page. The open question is whether her objection to that phrase is general or specific to S3; my recommendation is to keep presence language in failure paths, because a technical failure is not a hand-off, and to say so explicitly.</w:t>
            </w:r>
          </w:p>
        </w:tc>
        <w:tc>
          <w:tcPr>
            <w:tcW w:type="dxa" w:w="1531"/>
          </w:tcPr>
          <w:p>
            <w:pPr>
              <w:spacing w:after="40"/>
            </w:pPr>
            <w:r/>
            <w:r>
              <w:rPr>
                <w:sz w:val="17"/>
              </w:rPr>
              <w:t>Ships as written, unreviewed.</w:t>
            </w:r>
          </w:p>
        </w:tc>
      </w:tr>
      <w:tr>
        <w:tc>
          <w:tcPr>
            <w:tcW w:type="dxa" w:w="737"/>
          </w:tcPr>
          <w:p>
            <w:pPr>
              <w:spacing w:after="40"/>
            </w:pPr>
            <w:r/>
            <w:r>
              <w:rPr>
                <w:sz w:val="17"/>
              </w:rPr>
              <w:t>CD-7</w:t>
            </w:r>
          </w:p>
        </w:tc>
        <w:tc>
          <w:tcPr>
            <w:tcW w:type="dxa" w:w="1814"/>
          </w:tcPr>
          <w:p>
            <w:pPr>
              <w:spacing w:after="40"/>
            </w:pPr>
            <w:r/>
            <w:r>
              <w:rPr>
                <w:sz w:val="17"/>
              </w:rPr>
              <w:t>App crisis screen and age-gate screen</w:t>
            </w:r>
          </w:p>
        </w:tc>
        <w:tc>
          <w:tcPr>
            <w:tcW w:type="dxa" w:w="3515"/>
          </w:tcPr>
          <w:p>
            <w:pPr>
              <w:spacing w:after="40"/>
            </w:pPr>
            <w:r/>
            <w:r>
              <w:rPr>
                <w:sz w:val="17"/>
              </w:rPr>
              <w:t>The in-app number list and the under-age block. The numbers are signed; the wording around them and the age at which the gate blocks have never been reviewed.</w:t>
            </w:r>
          </w:p>
        </w:tc>
        <w:tc>
          <w:tcPr>
            <w:tcW w:type="dxa" w:w="1814"/>
          </w:tcPr>
          <w:p>
            <w:pPr>
              <w:spacing w:after="40"/>
            </w:pPr>
            <w:r/>
            <w:r>
              <w:rPr>
                <w:sz w:val="17"/>
              </w:rPr>
              <w:t>Read both screens once; confirm the blocking age.</w:t>
            </w:r>
          </w:p>
        </w:tc>
        <w:tc>
          <w:tcPr>
            <w:tcW w:type="dxa" w:w="1531"/>
          </w:tcPr>
          <w:p>
            <w:pPr>
              <w:spacing w:after="40"/>
            </w:pPr>
            <w:r/>
            <w:r>
              <w:rPr>
                <w:sz w:val="17"/>
              </w:rPr>
              <w:t>Ships as written, unreviewed.</w:t>
            </w:r>
          </w:p>
        </w:tc>
      </w:tr>
      <w:tr>
        <w:tc>
          <w:tcPr>
            <w:tcW w:type="dxa" w:w="737"/>
          </w:tcPr>
          <w:p>
            <w:pPr>
              <w:spacing w:after="40"/>
            </w:pPr>
            <w:r/>
            <w:r>
              <w:rPr>
                <w:sz w:val="17"/>
              </w:rPr>
              <w:t>CD-8</w:t>
            </w:r>
          </w:p>
        </w:tc>
        <w:tc>
          <w:tcPr>
            <w:tcW w:type="dxa" w:w="1814"/>
          </w:tcPr>
          <w:p>
            <w:pPr>
              <w:spacing w:after="40"/>
            </w:pPr>
            <w:r/>
            <w:r>
              <w:rPr>
                <w:sz w:val="17"/>
              </w:rPr>
              <w:t>A1 severity definitions (S1–S4)</w:t>
            </w:r>
          </w:p>
        </w:tc>
        <w:tc>
          <w:tcPr>
            <w:tcW w:type="dxa" w:w="3515"/>
          </w:tcPr>
          <w:p>
            <w:pPr>
              <w:spacing w:after="40"/>
            </w:pPr>
            <w:r/>
            <w:r>
              <w:rPr>
                <w:sz w:val="17"/>
              </w:rPr>
              <w:t>The four band definitions that decide which card a person receives. She has approved the cards, not the definitions that select them.</w:t>
            </w:r>
          </w:p>
        </w:tc>
        <w:tc>
          <w:tcPr>
            <w:tcW w:type="dxa" w:w="1814"/>
          </w:tcPr>
          <w:p>
            <w:pPr>
              <w:spacing w:after="40"/>
            </w:pPr>
            <w:r/>
            <w:r>
              <w:rPr>
                <w:sz w:val="17"/>
              </w:rPr>
              <w:t>Review the four definitions once. This is the smallest change with the widest effect.</w:t>
            </w:r>
          </w:p>
        </w:tc>
        <w:tc>
          <w:tcPr>
            <w:tcW w:type="dxa" w:w="1531"/>
          </w:tcPr>
          <w:p>
            <w:pPr>
              <w:spacing w:after="40"/>
            </w:pPr>
            <w:r/>
            <w:r>
              <w:rPr>
                <w:sz w:val="17"/>
              </w:rPr>
              <w:t>Ships as written, unreviewed.</w:t>
            </w:r>
          </w:p>
        </w:tc>
      </w:tr>
    </w:tbl>
    <w:p>
      <w:pPr>
        <w:spacing w:after="80"/>
      </w:pPr>
    </w:p>
    <w:p>
      <w:pPr>
        <w:spacing w:after="40"/>
      </w:pPr>
      <w:r>
        <w:rPr>
          <w:b/>
          <w:i w:val="0"/>
        </w:rPr>
        <w:t>Two items are closed and recorded here so they are not raised again:</w:t>
      </w:r>
    </w:p>
    <w:p>
      <w:pPr>
        <w:pStyle w:val="ListBullet"/>
        <w:spacing w:after="60"/>
      </w:pPr>
      <w:r>
        <w:t>Hindi triggers answered in English — accepted for launch by her (“acceptable for launch”).</w:t>
      </w:r>
    </w:p>
    <w:p>
      <w:pPr>
        <w:pStyle w:val="ListBullet"/>
        <w:spacing w:after="60"/>
      </w:pPr>
      <w:r>
        <w:t>“Please let your therapist know” stands, because the app is therapist-guided, including for a user between therapists or on the waitlist. Her decision; recorded, not reopened.</w:t>
      </w:r>
    </w:p>
    <w:p>
      <w:r>
        <w:br w:type="page"/>
      </w:r>
    </w:p>
    <w:p>
      <w:pPr>
        <w:pStyle w:val="Heading1"/>
      </w:pPr>
      <w:r>
        <w:t>7. What is not hers — so it is not asked of her again</w:t>
      </w:r>
    </w:p>
    <w:p>
      <w:r>
        <w:rPr>
          <w:b w:val="0"/>
          <w:i w:val="0"/>
          <w:sz w:val="20"/>
        </w:rPr>
        <w:t>These are tracked elsewhere. If one is raised, the answer is who owns it and where it stands.</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5329"/>
            <w:shd w:val="clear" w:fill="E8EEF2"/>
          </w:tcPr>
          <w:p>
            <w:pPr>
              <w:spacing w:after="40"/>
            </w:pPr>
            <w:r/>
            <w:r>
              <w:rPr>
                <w:b/>
                <w:sz w:val="18"/>
              </w:rPr>
              <w:t>Obligation</w:t>
            </w:r>
          </w:p>
        </w:tc>
        <w:tc>
          <w:tcPr>
            <w:tcW w:type="dxa" w:w="1701"/>
            <w:shd w:val="clear" w:fill="E8EEF2"/>
          </w:tcPr>
          <w:p>
            <w:pPr>
              <w:spacing w:after="40"/>
            </w:pPr>
            <w:r/>
            <w:r>
              <w:rPr>
                <w:b/>
                <w:sz w:val="18"/>
              </w:rPr>
              <w:t>Owner</w:t>
            </w:r>
          </w:p>
        </w:tc>
        <w:tc>
          <w:tcPr>
            <w:tcW w:type="dxa" w:w="2381"/>
            <w:shd w:val="clear" w:fill="E8EEF2"/>
          </w:tcPr>
          <w:p>
            <w:pPr>
              <w:spacing w:after="40"/>
            </w:pPr>
            <w:r/>
            <w:r>
              <w:rPr>
                <w:b/>
                <w:sz w:val="18"/>
              </w:rPr>
              <w:t>State at 31 Oct 2026</w:t>
            </w:r>
          </w:p>
        </w:tc>
      </w:tr>
      <w:tr>
        <w:tc>
          <w:tcPr>
            <w:tcW w:type="dxa" w:w="5329"/>
          </w:tcPr>
          <w:p>
            <w:pPr>
              <w:spacing w:after="40"/>
            </w:pPr>
            <w:r/>
            <w:r>
              <w:rPr>
                <w:sz w:val="18"/>
              </w:rPr>
              <w:t>Build the approved copy: the six-number block in order, iCall’s hours, NIMHANS inserted, the 24×7×365 label, the third-party card rebuilt without the dropped passage, the self-injury card on the S4 tier, eleven phrases plus typing variants, both guards, precedence</w:t>
            </w:r>
          </w:p>
        </w:tc>
        <w:tc>
          <w:tcPr>
            <w:tcW w:type="dxa" w:w="1701"/>
          </w:tcPr>
          <w:p>
            <w:pPr>
              <w:spacing w:after="40"/>
            </w:pPr>
            <w:r/>
            <w:r>
              <w:rPr>
                <w:sz w:val="18"/>
              </w:rPr>
              <w:t>build</w:t>
            </w:r>
          </w:p>
        </w:tc>
        <w:tc>
          <w:tcPr>
            <w:tcW w:type="dxa" w:w="2381"/>
          </w:tcPr>
          <w:p>
            <w:pPr>
              <w:spacing w:after="40"/>
            </w:pPr>
            <w:r/>
            <w:r>
              <w:rPr>
                <w:sz w:val="18"/>
              </w:rPr>
              <w:t>Approved, not built</w:t>
            </w:r>
          </w:p>
        </w:tc>
      </w:tr>
      <w:tr>
        <w:tc>
          <w:tcPr>
            <w:tcW w:type="dxa" w:w="5329"/>
          </w:tcPr>
          <w:p>
            <w:pPr>
              <w:spacing w:after="40"/>
            </w:pPr>
            <w:r/>
            <w:r>
              <w:rPr>
                <w:sz w:val="18"/>
              </w:rPr>
              <w:t>Seven tests assert the retired numbers are absent and must be revised</w:t>
            </w:r>
          </w:p>
        </w:tc>
        <w:tc>
          <w:tcPr>
            <w:tcW w:type="dxa" w:w="1701"/>
          </w:tcPr>
          <w:p>
            <w:pPr>
              <w:spacing w:after="40"/>
            </w:pPr>
            <w:r/>
            <w:r>
              <w:rPr>
                <w:sz w:val="18"/>
              </w:rPr>
              <w:t>build</w:t>
            </w:r>
          </w:p>
        </w:tc>
        <w:tc>
          <w:tcPr>
            <w:tcW w:type="dxa" w:w="2381"/>
          </w:tcPr>
          <w:p>
            <w:pPr>
              <w:spacing w:after="40"/>
            </w:pPr>
            <w:r/>
            <w:r>
              <w:rPr>
                <w:sz w:val="18"/>
              </w:rPr>
              <w:t>Open — found in rev 3 §9</w:t>
            </w:r>
          </w:p>
        </w:tc>
      </w:tr>
      <w:tr>
        <w:tc>
          <w:tcPr>
            <w:tcW w:type="dxa" w:w="5329"/>
          </w:tcPr>
          <w:p>
            <w:pPr>
              <w:spacing w:after="40"/>
            </w:pPr>
            <w:r/>
            <w:r>
              <w:rPr>
                <w:sz w:val="18"/>
              </w:rPr>
              <w:t>Merge and deploy behind the gate; re-run the 123-scenario instrument</w:t>
            </w:r>
          </w:p>
        </w:tc>
        <w:tc>
          <w:tcPr>
            <w:tcW w:type="dxa" w:w="1701"/>
          </w:tcPr>
          <w:p>
            <w:pPr>
              <w:spacing w:after="40"/>
            </w:pPr>
            <w:r/>
            <w:r>
              <w:rPr>
                <w:sz w:val="18"/>
              </w:rPr>
              <w:t>build</w:t>
            </w:r>
          </w:p>
        </w:tc>
        <w:tc>
          <w:tcPr>
            <w:tcW w:type="dxa" w:w="2381"/>
          </w:tcPr>
          <w:p>
            <w:pPr>
              <w:spacing w:after="40"/>
            </w:pPr>
            <w:r/>
            <w:r>
              <w:rPr>
                <w:sz w:val="18"/>
              </w:rPr>
              <w:t>Not started</w:t>
            </w:r>
          </w:p>
        </w:tc>
      </w:tr>
      <w:tr>
        <w:tc>
          <w:tcPr>
            <w:tcW w:type="dxa" w:w="5329"/>
          </w:tcPr>
          <w:p>
            <w:pPr>
              <w:spacing w:after="40"/>
            </w:pPr>
            <w:r/>
            <w:r>
              <w:rPr>
                <w:sz w:val="18"/>
              </w:rPr>
              <w:t>DPDP review of the AWS data-processing agreement</w:t>
            </w:r>
          </w:p>
        </w:tc>
        <w:tc>
          <w:tcPr>
            <w:tcW w:type="dxa" w:w="1701"/>
          </w:tcPr>
          <w:p>
            <w:pPr>
              <w:spacing w:after="40"/>
            </w:pPr>
            <w:r/>
            <w:r>
              <w:rPr>
                <w:sz w:val="18"/>
              </w:rPr>
              <w:t>Rajwant / legal</w:t>
            </w:r>
          </w:p>
        </w:tc>
        <w:tc>
          <w:tcPr>
            <w:tcW w:type="dxa" w:w="2381"/>
          </w:tcPr>
          <w:p>
            <w:pPr>
              <w:spacing w:after="40"/>
            </w:pPr>
            <w:r/>
            <w:r>
              <w:rPr>
                <w:sz w:val="18"/>
              </w:rPr>
              <w:t>Open</w:t>
            </w:r>
          </w:p>
        </w:tc>
      </w:tr>
      <w:tr>
        <w:tc>
          <w:tcPr>
            <w:tcW w:type="dxa" w:w="5329"/>
          </w:tcPr>
          <w:p>
            <w:pPr>
              <w:spacing w:after="40"/>
            </w:pPr>
            <w:r/>
            <w:r>
              <w:rPr>
                <w:sz w:val="18"/>
              </w:rPr>
              <w:t>TRAI DLT registration for SMS</w:t>
            </w:r>
          </w:p>
        </w:tc>
        <w:tc>
          <w:tcPr>
            <w:tcW w:type="dxa" w:w="1701"/>
          </w:tcPr>
          <w:p>
            <w:pPr>
              <w:spacing w:after="40"/>
            </w:pPr>
            <w:r/>
            <w:r>
              <w:rPr>
                <w:sz w:val="18"/>
              </w:rPr>
              <w:t>Rajwant</w:t>
            </w:r>
          </w:p>
        </w:tc>
        <w:tc>
          <w:tcPr>
            <w:tcW w:type="dxa" w:w="2381"/>
          </w:tcPr>
          <w:p>
            <w:pPr>
              <w:spacing w:after="40"/>
            </w:pPr>
            <w:r/>
            <w:r>
              <w:rPr>
                <w:sz w:val="18"/>
              </w:rPr>
              <w:t>Open — SMS cannot go live</w:t>
            </w:r>
          </w:p>
        </w:tc>
      </w:tr>
      <w:tr>
        <w:tc>
          <w:tcPr>
            <w:tcW w:type="dxa" w:w="5329"/>
          </w:tcPr>
          <w:p>
            <w:pPr>
              <w:spacing w:after="40"/>
            </w:pPr>
            <w:r/>
            <w:r>
              <w:rPr>
                <w:sz w:val="18"/>
              </w:rPr>
              <w:t>Play Console developer account — the 14-day closed test depends on it</w:t>
            </w:r>
          </w:p>
        </w:tc>
        <w:tc>
          <w:tcPr>
            <w:tcW w:type="dxa" w:w="1701"/>
          </w:tcPr>
          <w:p>
            <w:pPr>
              <w:spacing w:after="40"/>
            </w:pPr>
            <w:r/>
            <w:r>
              <w:rPr>
                <w:sz w:val="18"/>
              </w:rPr>
              <w:t>Rajwant</w:t>
            </w:r>
          </w:p>
        </w:tc>
        <w:tc>
          <w:tcPr>
            <w:tcW w:type="dxa" w:w="2381"/>
          </w:tcPr>
          <w:p>
            <w:pPr>
              <w:spacing w:after="40"/>
            </w:pPr>
            <w:r/>
            <w:r>
              <w:rPr>
                <w:sz w:val="18"/>
              </w:rPr>
              <w:t>Unknown</w:t>
            </w:r>
          </w:p>
        </w:tc>
      </w:tr>
      <w:tr>
        <w:tc>
          <w:tcPr>
            <w:tcW w:type="dxa" w:w="5329"/>
          </w:tcPr>
          <w:p>
            <w:pPr>
              <w:spacing w:after="40"/>
            </w:pPr>
            <w:r/>
            <w:r>
              <w:rPr>
                <w:sz w:val="18"/>
              </w:rPr>
              <w:t>Therapist provisioning on the portal</w:t>
            </w:r>
          </w:p>
        </w:tc>
        <w:tc>
          <w:tcPr>
            <w:tcW w:type="dxa" w:w="1701"/>
          </w:tcPr>
          <w:p>
            <w:pPr>
              <w:spacing w:after="40"/>
            </w:pPr>
            <w:r/>
            <w:r>
              <w:rPr>
                <w:sz w:val="18"/>
              </w:rPr>
              <w:t>build</w:t>
            </w:r>
          </w:p>
        </w:tc>
        <w:tc>
          <w:tcPr>
            <w:tcW w:type="dxa" w:w="2381"/>
          </w:tcPr>
          <w:p>
            <w:pPr>
              <w:spacing w:after="40"/>
            </w:pPr>
            <w:r/>
            <w:r>
              <w:rPr>
                <w:sz w:val="18"/>
              </w:rPr>
              <w:t>Open</w:t>
            </w:r>
          </w:p>
        </w:tc>
      </w:tr>
    </w:tbl>
    <w:p>
      <w:pPr>
        <w:spacing w:after="80"/>
      </w:pPr>
    </w:p>
    <w:p>
      <w:r>
        <w:rPr>
          <w:b w:val="0"/>
          <w:i w:val="0"/>
          <w:sz w:val="20"/>
        </w:rPr>
        <w:t>Dr Goswami’s dependency is the words. None of the above is waiting on her, and none of it should be reported to her as a question.</w:t>
      </w:r>
    </w:p>
    <w:p>
      <w:pPr>
        <w:pStyle w:val="Heading1"/>
      </w:pPr>
      <w:r>
        <w:t>8. Change control — how anything new reaches you</w:t>
      </w:r>
    </w:p>
    <w:p>
      <w:r>
        <w:rPr>
          <w:b w:val="0"/>
          <w:i w:val="0"/>
        </w:rPr>
        <w:t>So that nothing clinical arrives out of the blue again:</w:t>
      </w:r>
    </w:p>
    <w:p>
      <w:pPr>
        <w:pStyle w:val="ListBullet"/>
        <w:spacing w:after="60"/>
      </w:pPr>
      <w:r>
        <w:t>Any edit to an approved string voids the approval for that string. It returns to Dr Goswami before it changes, with the before and after shown.</w:t>
      </w:r>
    </w:p>
    <w:p>
      <w:pPr>
        <w:pStyle w:val="ListBullet"/>
        <w:spacing w:after="60"/>
      </w:pPr>
      <w:r>
        <w:t>This register is complete against the code baseline in this document. A new clinical surface created after this date is added as a new numbered item, with its own line in section 5.</w:t>
      </w:r>
    </w:p>
    <w:p>
      <w:pPr>
        <w:pStyle w:val="ListBullet"/>
        <w:spacing w:after="60"/>
      </w:pPr>
      <w:r>
        <w:t>Open items are presented in one batch with a recommendation each, not one at a time.</w:t>
      </w:r>
    </w:p>
    <w:p>
      <w:pPr>
        <w:pStyle w:val="ListBullet"/>
        <w:spacing w:after="60"/>
      </w:pPr>
      <w:r>
        <w:t>Section 5 is regenerated from the code whenever the baseline moves, so the inventory stays mechanical rather than remembered.</w:t>
      </w:r>
    </w:p>
    <w:p>
      <w:pPr>
        <w:pStyle w:val="Heading1"/>
      </w:pPr>
      <w:r>
        <w:t>9. Approval</w:t>
      </w:r>
    </w:p>
    <w:p>
      <w:r>
        <w:rPr>
          <w:b w:val="0"/>
          <w:i w:val="0"/>
          <w:sz w:val="20"/>
        </w:rPr>
        <w:t>Approved as final, in the form of this document, by digital approval.</w:t>
      </w:r>
    </w:p>
    <w:tbl>
      <w:tblPr>
        <w:tblStyle w:val="TableGrid"/>
        <w:tblW w:type="auto" w:w="0"/>
        <w:jc w:val="center"/>
        <w:tblLayout w:type="fixed"/>
        <w:tblLook w:firstColumn="1" w:firstRow="1" w:lastColumn="0" w:lastRow="0" w:noHBand="0" w:noVBand="1" w:val="04A0"/>
      </w:tblPr>
      <w:tblGrid>
        <w:gridCol w:w="4706"/>
        <w:gridCol w:w="4706"/>
      </w:tblGrid>
      <w:tr>
        <w:tc>
          <w:tcPr>
            <w:tcW w:type="dxa" w:w="2381"/>
            <w:shd w:val="clear" w:fill="E8EEF2"/>
          </w:tcPr>
          <w:p>
            <w:pPr>
              <w:spacing w:after="40"/>
            </w:pPr>
            <w:r/>
            <w:r>
              <w:rPr>
                <w:b/>
                <w:sz w:val="18"/>
              </w:rPr>
            </w:r>
          </w:p>
        </w:tc>
        <w:tc>
          <w:tcPr>
            <w:tcW w:type="dxa" w:w="7030"/>
            <w:shd w:val="clear" w:fill="E8EEF2"/>
          </w:tcPr>
          <w:p>
            <w:pPr>
              <w:spacing w:after="40"/>
            </w:pPr>
            <w:r/>
            <w:r>
              <w:rPr>
                <w:b/>
                <w:sz w:val="18"/>
              </w:rPr>
            </w:r>
          </w:p>
        </w:tc>
      </w:tr>
      <w:tr>
        <w:tc>
          <w:tcPr>
            <w:tcW w:type="dxa" w:w="2381"/>
          </w:tcPr>
          <w:p>
            <w:pPr>
              <w:spacing w:after="40"/>
            </w:pPr>
            <w:r/>
            <w:r>
              <w:rPr>
                <w:sz w:val="18"/>
              </w:rPr>
              <w:t>Clinical authority</w:t>
            </w:r>
          </w:p>
        </w:tc>
        <w:tc>
          <w:tcPr>
            <w:tcW w:type="dxa" w:w="7030"/>
          </w:tcPr>
          <w:p>
            <w:pPr>
              <w:spacing w:after="40"/>
            </w:pPr>
            <w:r/>
            <w:r>
              <w:rPr>
                <w:sz w:val="18"/>
              </w:rPr>
              <w:t>Dr Shubhangi Goswami, Clinical Psychologist</w:t>
            </w:r>
          </w:p>
        </w:tc>
      </w:tr>
      <w:tr>
        <w:tc>
          <w:tcPr>
            <w:tcW w:type="dxa" w:w="2381"/>
          </w:tcPr>
          <w:p>
            <w:pPr>
              <w:spacing w:after="40"/>
            </w:pPr>
            <w:r/>
            <w:r>
              <w:rPr>
                <w:sz w:val="18"/>
              </w:rPr>
              <w:t>Approval</w:t>
            </w:r>
          </w:p>
        </w:tc>
        <w:tc>
          <w:tcPr>
            <w:tcW w:type="dxa" w:w="7030"/>
          </w:tcPr>
          <w:p>
            <w:pPr>
              <w:spacing w:after="40"/>
            </w:pPr>
            <w:r/>
            <w:r>
              <w:rPr>
                <w:sz w:val="18"/>
              </w:rPr>
              <w:t>Digital, by written instruction — 31 October 2026</w:t>
            </w:r>
          </w:p>
        </w:tc>
      </w:tr>
      <w:tr>
        <w:tc>
          <w:tcPr>
            <w:tcW w:type="dxa" w:w="2381"/>
          </w:tcPr>
          <w:p>
            <w:pPr>
              <w:spacing w:after="40"/>
            </w:pPr>
            <w:r/>
            <w:r>
              <w:rPr>
                <w:sz w:val="18"/>
              </w:rPr>
              <w:t>Signature image</w:t>
            </w:r>
          </w:p>
        </w:tc>
        <w:tc>
          <w:tcPr>
            <w:tcW w:type="dxa" w:w="7030"/>
          </w:tcPr>
          <w:p>
            <w:pPr>
              <w:spacing w:after="40"/>
            </w:pPr>
            <w:r/>
            <w:r>
              <w:rPr>
                <w:sz w:val="18"/>
              </w:rPr>
              <w:t>Not required, on her instruction</w:t>
            </w:r>
          </w:p>
        </w:tc>
      </w:tr>
      <w:tr>
        <w:tc>
          <w:tcPr>
            <w:tcW w:type="dxa" w:w="2381"/>
          </w:tcPr>
          <w:p>
            <w:pPr>
              <w:spacing w:after="40"/>
            </w:pPr>
            <w:r/>
            <w:r>
              <w:rPr>
                <w:sz w:val="18"/>
              </w:rPr>
              <w:t>Approves</w:t>
            </w:r>
          </w:p>
        </w:tc>
        <w:tc>
          <w:tcPr>
            <w:tcW w:type="dxa" w:w="7030"/>
          </w:tcPr>
          <w:p>
            <w:pPr>
              <w:spacing w:after="40"/>
            </w:pPr>
            <w:r/>
            <w:r>
              <w:rPr>
                <w:sz w:val="18"/>
              </w:rPr>
              <w:t>Sections 2, 3 and 4 in full</w:t>
            </w:r>
          </w:p>
        </w:tc>
      </w:tr>
      <w:tr>
        <w:tc>
          <w:tcPr>
            <w:tcW w:type="dxa" w:w="2381"/>
          </w:tcPr>
          <w:p>
            <w:pPr>
              <w:spacing w:after="40"/>
            </w:pPr>
            <w:r/>
            <w:r>
              <w:rPr>
                <w:sz w:val="18"/>
              </w:rPr>
              <w:t>Does not approve</w:t>
            </w:r>
          </w:p>
        </w:tc>
        <w:tc>
          <w:tcPr>
            <w:tcW w:type="dxa" w:w="7030"/>
          </w:tcPr>
          <w:p>
            <w:pPr>
              <w:spacing w:after="40"/>
            </w:pPr>
            <w:r/>
            <w:r>
              <w:rPr>
                <w:sz w:val="18"/>
              </w:rPr>
              <w:t>CD-1 to CD-8; any public claim of clinical review</w:t>
            </w:r>
          </w:p>
        </w:tc>
      </w:tr>
      <w:tr>
        <w:tc>
          <w:tcPr>
            <w:tcW w:type="dxa" w:w="2381"/>
          </w:tcPr>
          <w:p>
            <w:pPr>
              <w:spacing w:after="40"/>
            </w:pPr>
            <w:r/>
            <w:r>
              <w:rPr>
                <w:sz w:val="18"/>
              </w:rPr>
              <w:t>Document</w:t>
            </w:r>
          </w:p>
        </w:tc>
        <w:tc>
          <w:tcPr>
            <w:tcW w:type="dxa" w:w="7030"/>
          </w:tcPr>
          <w:p>
            <w:pPr>
              <w:spacing w:after="40"/>
            </w:pPr>
            <w:r/>
            <w:r>
              <w:rPr>
                <w:sz w:val="18"/>
              </w:rPr>
              <w:t>Revision 4 (FINAL) — supersedes revisions 1–3 and the returned form</w:t>
            </w:r>
          </w:p>
        </w:tc>
      </w:tr>
    </w:tbl>
    <w:p>
      <w:pPr>
        <w:spacing w:after="80"/>
      </w:pPr>
    </w:p>
    <w:p>
      <w:pPr>
        <w:spacing w:after="40"/>
      </w:pPr>
      <w:r>
        <w:rPr>
          <w:b/>
          <w:i w:val="0"/>
        </w:rPr>
        <w:t>Version history</w:t>
      </w:r>
    </w:p>
    <w:tbl>
      <w:tblPr>
        <w:tblStyle w:val="TableGrid"/>
        <w:tblW w:type="auto" w:w="0"/>
        <w:jc w:val="center"/>
        <w:tblLayout w:type="fixed"/>
        <w:tblLook w:firstColumn="1" w:firstRow="1" w:lastColumn="0" w:lastRow="0" w:noHBand="0" w:noVBand="1" w:val="04A0"/>
      </w:tblPr>
      <w:tblGrid>
        <w:gridCol w:w="3137"/>
        <w:gridCol w:w="3137"/>
        <w:gridCol w:w="3137"/>
      </w:tblGrid>
      <w:tr>
        <w:tc>
          <w:tcPr>
            <w:tcW w:type="dxa" w:w="1361"/>
            <w:shd w:val="clear" w:fill="E8EEF2"/>
          </w:tcPr>
          <w:p>
            <w:pPr>
              <w:spacing w:after="40"/>
            </w:pPr>
            <w:r/>
            <w:r>
              <w:rPr>
                <w:b/>
                <w:sz w:val="18"/>
              </w:rPr>
              <w:t>Revision</w:t>
            </w:r>
          </w:p>
        </w:tc>
        <w:tc>
          <w:tcPr>
            <w:tcW w:type="dxa" w:w="1701"/>
            <w:shd w:val="clear" w:fill="E8EEF2"/>
          </w:tcPr>
          <w:p>
            <w:pPr>
              <w:spacing w:after="40"/>
            </w:pPr>
            <w:r/>
            <w:r>
              <w:rPr>
                <w:b/>
                <w:sz w:val="18"/>
              </w:rPr>
              <w:t>Date</w:t>
            </w:r>
          </w:p>
        </w:tc>
        <w:tc>
          <w:tcPr>
            <w:tcW w:type="dxa" w:w="6350"/>
            <w:shd w:val="clear" w:fill="E8EEF2"/>
          </w:tcPr>
          <w:p>
            <w:pPr>
              <w:spacing w:after="40"/>
            </w:pPr>
            <w:r/>
            <w:r>
              <w:rPr>
                <w:b/>
                <w:sz w:val="18"/>
              </w:rPr>
              <w:t>What changed</w:t>
            </w:r>
          </w:p>
        </w:tc>
      </w:tr>
      <w:tr>
        <w:tc>
          <w:tcPr>
            <w:tcW w:type="dxa" w:w="1361"/>
          </w:tcPr>
          <w:p>
            <w:pPr>
              <w:spacing w:after="40"/>
            </w:pPr>
            <w:r/>
            <w:r>
              <w:rPr>
                <w:sz w:val="18"/>
              </w:rPr>
              <w:t>1</w:t>
            </w:r>
          </w:p>
        </w:tc>
        <w:tc>
          <w:tcPr>
            <w:tcW w:type="dxa" w:w="1701"/>
          </w:tcPr>
          <w:p>
            <w:pPr>
              <w:spacing w:after="40"/>
            </w:pPr>
            <w:r/>
            <w:r>
              <w:rPr>
                <w:sz w:val="18"/>
              </w:rPr>
              <w:t>31 Oct 2026</w:t>
            </w:r>
          </w:p>
        </w:tc>
        <w:tc>
          <w:tcPr>
            <w:tcW w:type="dxa" w:w="6350"/>
          </w:tcPr>
          <w:p>
            <w:pPr>
              <w:spacing w:after="40"/>
            </w:pPr>
            <w:r/>
            <w:r>
              <w:rPr>
                <w:sz w:val="18"/>
              </w:rPr>
              <w:t>First sign-off record: five rows, S3 and S4 copy, helpline correction</w:t>
            </w:r>
          </w:p>
        </w:tc>
      </w:tr>
      <w:tr>
        <w:tc>
          <w:tcPr>
            <w:tcW w:type="dxa" w:w="1361"/>
          </w:tcPr>
          <w:p>
            <w:pPr>
              <w:spacing w:after="40"/>
            </w:pPr>
            <w:r/>
            <w:r>
              <w:rPr>
                <w:sz w:val="18"/>
              </w:rPr>
              <w:t>2</w:t>
            </w:r>
          </w:p>
        </w:tc>
        <w:tc>
          <w:tcPr>
            <w:tcW w:type="dxa" w:w="1701"/>
          </w:tcPr>
          <w:p>
            <w:pPr>
              <w:spacing w:after="40"/>
            </w:pPr>
            <w:r/>
            <w:r>
              <w:rPr>
                <w:sz w:val="18"/>
              </w:rPr>
              <w:t>31 Oct 2026</w:t>
            </w:r>
          </w:p>
        </w:tc>
        <w:tc>
          <w:tcPr>
            <w:tcW w:type="dxa" w:w="6350"/>
          </w:tcPr>
          <w:p>
            <w:pPr>
              <w:spacing w:after="40"/>
            </w:pPr>
            <w:r/>
            <w:r>
              <w:rPr>
                <w:sz w:val="18"/>
              </w:rPr>
              <w:t>Her eight instructions: NIMHANS and 112 restored, third-party reply, self-injury reply, both Vandrevala numbers</w:t>
            </w:r>
          </w:p>
        </w:tc>
      </w:tr>
      <w:tr>
        <w:tc>
          <w:tcPr>
            <w:tcW w:type="dxa" w:w="1361"/>
          </w:tcPr>
          <w:p>
            <w:pPr>
              <w:spacing w:after="40"/>
            </w:pPr>
            <w:r/>
            <w:r>
              <w:rPr>
                <w:sz w:val="18"/>
              </w:rPr>
              <w:t>3</w:t>
            </w:r>
          </w:p>
        </w:tc>
        <w:tc>
          <w:tcPr>
            <w:tcW w:type="dxa" w:w="1701"/>
          </w:tcPr>
          <w:p>
            <w:pPr>
              <w:spacing w:after="40"/>
            </w:pPr>
            <w:r/>
            <w:r>
              <w:rPr>
                <w:sz w:val="18"/>
              </w:rPr>
              <w:t>31 Oct 2026</w:t>
            </w:r>
          </w:p>
        </w:tc>
        <w:tc>
          <w:tcPr>
            <w:tcW w:type="dxa" w:w="6350"/>
          </w:tcPr>
          <w:p>
            <w:pPr>
              <w:spacing w:after="40"/>
            </w:pPr>
            <w:r/>
            <w:r>
              <w:rPr>
                <w:sz w:val="18"/>
              </w:rPr>
              <w:t>Her nine instructions: helpline order fixed, self-injury routed to S4, “trust me” removed, iCall hours corrected</w:t>
            </w:r>
          </w:p>
        </w:tc>
      </w:tr>
      <w:tr>
        <w:tc>
          <w:tcPr>
            <w:tcW w:type="dxa" w:w="1361"/>
          </w:tcPr>
          <w:p>
            <w:pPr>
              <w:spacing w:after="40"/>
            </w:pPr>
            <w:r/>
            <w:r>
              <w:rPr>
                <w:sz w:val="18"/>
              </w:rPr>
              <w:t>4 (FINAL)</w:t>
            </w:r>
          </w:p>
        </w:tc>
        <w:tc>
          <w:tcPr>
            <w:tcW w:type="dxa" w:w="1701"/>
          </w:tcPr>
          <w:p>
            <w:pPr>
              <w:spacing w:after="40"/>
            </w:pPr>
            <w:r/>
            <w:r>
              <w:rPr>
                <w:sz w:val="18"/>
              </w:rPr>
              <w:t>31 Oct 2026</w:t>
            </w:r>
          </w:p>
        </w:tc>
        <w:tc>
          <w:tcPr>
            <w:tcW w:type="dxa" w:w="6350"/>
          </w:tcPr>
          <w:p>
            <w:pPr>
              <w:spacing w:after="40"/>
            </w:pPr>
            <w:r/>
            <w:r>
              <w:rPr>
                <w:sz w:val="18"/>
              </w:rPr>
              <w:t>All revisions incorporated; digital approval recorded; the complete clinical inventory and the eight-item dependency register added</w:t>
            </w:r>
          </w:p>
        </w:tc>
      </w:tr>
    </w:tbl>
    <w:p>
      <w:pPr>
        <w:spacing w:after="80"/>
      </w:pP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Okuvu — clinical sign-off record rev 4 (FINAL) — page </w:t>
    </w:r>
    <w:fldSimple w:instr="PAGE"/>
    <w:r>
      <w:rPr>
        <w:color w:val="777777"/>
        <w:sz w:val="16"/>
      </w:rPr>
      <w:t xml:space="preserve"> of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12A3A"/>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12A3A"/>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12A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