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Okuvu — AWS Migration and Android Release Plan</w:t>
      </w:r>
    </w:p>
    <w:p>
      <w:r>
        <w:rPr>
          <w:b/>
        </w:rPr>
        <w:t>Version 3.0 · 27 October 2026</w:t>
      </w:r>
    </w:p>
    <w:p>
      <w:r>
        <w:t>Supersedes the GCP-hosting assumption in the v2.0 delivery plan. Written after measuring the codebase, not before.</w:t>
      </w:r>
    </w:p>
    <w:p>
      <w:pPr>
        <w:pStyle w:val="Heading2"/>
      </w:pPr>
      <w:r>
        <w:t>1. The decision, and what it actually costs</w:t>
      </w:r>
    </w:p>
    <w:p>
      <w:r>
        <w:t>You want off GCP onto AWS, because the credits are there. That is a defensible business decision and this plan delivers it. But the honest shape of it is different from what "change the cloud provider" suggests, so it belongs at the top rather than in a footnote.</w:t>
      </w:r>
    </w:p>
    <w:p>
      <w:r>
        <w:t xml:space="preserve">The application is not loosely coupled to GCP. Measured tonight: </w:t>
      </w:r>
      <w:r>
        <w:rPr>
          <w:b/>
        </w:rPr>
        <w:t>120 files reference GCP or Firebase, zero reference AWS.</w:t>
      </w:r>
      <w:r>
        <w:t xml:space="preserve"> But the coupling is narrow, not deep — the actual cloud-specific code is </w:t>
      </w:r>
      <w:r>
        <w:rPr>
          <w:b/>
        </w:rPr>
        <w:t>six call sites</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File</w:t>
            </w:r>
          </w:p>
        </w:tc>
        <w:tc>
          <w:tcPr>
            <w:tcW w:type="dxa" w:w="4320"/>
            <w:shd w:val="clear" w:color="auto" w:fill="EDEDED"/>
          </w:tcPr>
          <w:p>
            <w:r>
              <w:rPr>
                <w:sz w:val="19"/>
              </w:rPr>
            </w:r>
            <w:r>
              <w:rPr>
                <w:b/>
              </w:rPr>
              <w:t>What it does</w:t>
            </w:r>
          </w:p>
        </w:tc>
      </w:tr>
      <w:tr>
        <w:tc>
          <w:tcPr>
            <w:tcW w:type="dxa" w:w="4320"/>
          </w:tcPr>
          <w:p>
            <w:r>
              <w:rPr>
                <w:sz w:val="19"/>
              </w:rPr>
            </w:r>
            <w:r>
              <w:rPr>
                <w:rFonts w:ascii="Consolas" w:hAnsi="Consolas"/>
                <w:sz w:val="19"/>
              </w:rPr>
              <w:t>apps/api/src/lib/vertex-ai.ts</w:t>
            </w:r>
          </w:p>
        </w:tc>
        <w:tc>
          <w:tcPr>
            <w:tcW w:type="dxa" w:w="4320"/>
          </w:tcPr>
          <w:p>
            <w:r>
              <w:rPr>
                <w:sz w:val="19"/>
              </w:rPr>
            </w:r>
            <w:r>
              <w:rPr>
                <w:sz w:val="19"/>
              </w:rPr>
              <w:t>Gemini structured generation</w:t>
            </w:r>
          </w:p>
        </w:tc>
      </w:tr>
      <w:tr>
        <w:tc>
          <w:tcPr>
            <w:tcW w:type="dxa" w:w="4320"/>
          </w:tcPr>
          <w:p>
            <w:r>
              <w:rPr>
                <w:sz w:val="19"/>
              </w:rPr>
            </w:r>
            <w:r>
              <w:rPr>
                <w:rFonts w:ascii="Consolas" w:hAnsi="Consolas"/>
                <w:sz w:val="19"/>
              </w:rPr>
              <w:t>apps/worker/src/lib/vertex-ai.ts</w:t>
            </w:r>
          </w:p>
        </w:tc>
        <w:tc>
          <w:tcPr>
            <w:tcW w:type="dxa" w:w="4320"/>
          </w:tcPr>
          <w:p>
            <w:r>
              <w:rPr>
                <w:sz w:val="19"/>
              </w:rPr>
            </w:r>
            <w:r>
              <w:rPr>
                <w:sz w:val="19"/>
              </w:rPr>
              <w:t>same, worker copy</w:t>
            </w:r>
          </w:p>
        </w:tc>
      </w:tr>
      <w:tr>
        <w:tc>
          <w:tcPr>
            <w:tcW w:type="dxa" w:w="4320"/>
          </w:tcPr>
          <w:p>
            <w:r>
              <w:rPr>
                <w:sz w:val="19"/>
              </w:rPr>
            </w:r>
            <w:r>
              <w:rPr>
                <w:rFonts w:ascii="Consolas" w:hAnsi="Consolas"/>
                <w:sz w:val="19"/>
              </w:rPr>
              <w:t>apps/api/src/lib/embedding.ts</w:t>
            </w:r>
            <w:r>
              <w:rPr>
                <w:sz w:val="19"/>
              </w:rPr>
              <w:t xml:space="preserve"> + worker</w:t>
            </w:r>
          </w:p>
        </w:tc>
        <w:tc>
          <w:tcPr>
            <w:tcW w:type="dxa" w:w="4320"/>
          </w:tcPr>
          <w:p>
            <w:r>
              <w:rPr>
                <w:sz w:val="19"/>
              </w:rPr>
            </w:r>
            <w:r>
              <w:rPr>
                <w:sz w:val="19"/>
              </w:rPr>
              <w:t>Gemini embeddings</w:t>
            </w:r>
          </w:p>
        </w:tc>
      </w:tr>
      <w:tr>
        <w:tc>
          <w:tcPr>
            <w:tcW w:type="dxa" w:w="4320"/>
          </w:tcPr>
          <w:p>
            <w:r>
              <w:rPr>
                <w:sz w:val="19"/>
              </w:rPr>
            </w:r>
            <w:r>
              <w:rPr>
                <w:rFonts w:ascii="Consolas" w:hAnsi="Consolas"/>
                <w:sz w:val="19"/>
              </w:rPr>
              <w:t>apps/api/src/lib/summary-enqueue.ts</w:t>
            </w:r>
          </w:p>
        </w:tc>
        <w:tc>
          <w:tcPr>
            <w:tcW w:type="dxa" w:w="4320"/>
          </w:tcPr>
          <w:p>
            <w:r>
              <w:rPr>
                <w:sz w:val="19"/>
              </w:rPr>
            </w:r>
            <w:r>
              <w:rPr>
                <w:sz w:val="19"/>
              </w:rPr>
              <w:t>Cloud Tasks HTTP dispatch with OIDC</w:t>
            </w:r>
          </w:p>
        </w:tc>
      </w:tr>
      <w:tr>
        <w:tc>
          <w:tcPr>
            <w:tcW w:type="dxa" w:w="4320"/>
          </w:tcPr>
          <w:p>
            <w:r>
              <w:rPr>
                <w:sz w:val="19"/>
              </w:rPr>
            </w:r>
            <w:r>
              <w:rPr>
                <w:rFonts w:ascii="Consolas" w:hAnsi="Consolas"/>
                <w:sz w:val="19"/>
              </w:rPr>
              <w:t>apps/api/src/crypto/emergency-contact-encryption.ts</w:t>
            </w:r>
          </w:p>
        </w:tc>
        <w:tc>
          <w:tcPr>
            <w:tcW w:type="dxa" w:w="4320"/>
          </w:tcPr>
          <w:p>
            <w:r>
              <w:rPr>
                <w:sz w:val="19"/>
              </w:rPr>
            </w:r>
            <w:r>
              <w:rPr>
                <w:sz w:val="19"/>
              </w:rPr>
              <w:t>Secret Manager</w:t>
            </w:r>
          </w:p>
        </w:tc>
      </w:tr>
      <w:tr>
        <w:tc>
          <w:tcPr>
            <w:tcW w:type="dxa" w:w="4320"/>
          </w:tcPr>
          <w:p>
            <w:r>
              <w:rPr>
                <w:sz w:val="19"/>
              </w:rPr>
            </w:r>
            <w:r>
              <w:rPr>
                <w:rFonts w:ascii="Consolas" w:hAnsi="Consolas"/>
                <w:sz w:val="19"/>
              </w:rPr>
              <w:t>apps/api/src/lib/redis.ts</w:t>
            </w:r>
            <w:r>
              <w:rPr>
                <w:sz w:val="19"/>
              </w:rPr>
              <w:t xml:space="preserve">, </w:t>
            </w:r>
            <w:r>
              <w:rPr>
                <w:rFonts w:ascii="Consolas" w:hAnsi="Consolas"/>
                <w:sz w:val="19"/>
              </w:rPr>
              <w:t>rate-limit.ts</w:t>
            </w:r>
          </w:p>
        </w:tc>
        <w:tc>
          <w:tcPr>
            <w:tcW w:type="dxa" w:w="4320"/>
          </w:tcPr>
          <w:p>
            <w:r>
              <w:rPr>
                <w:sz w:val="19"/>
              </w:rPr>
            </w:r>
            <w:r>
              <w:rPr>
                <w:sz w:val="19"/>
              </w:rPr>
              <w:t>Memorystore (wire-compatible)</w:t>
            </w:r>
          </w:p>
        </w:tc>
      </w:tr>
    </w:tbl>
    <w:p/>
    <w:p>
      <w:r>
        <w:t xml:space="preserve">Everything else — 44 Prisma models, the 15-agent pipeline, the therapist portal, the Flutter app — is portable. </w:t>
      </w:r>
      <w:r>
        <w:rPr>
          <w:b/>
        </w:rPr>
        <w:t>Migration effort: 80–88 dev-days, of which about 45% sits in two rows: the AI inference layer and identity.</w:t>
      </w:r>
      <w:r>
        <w:t xml:space="preserve"> This is a 6–8 week programme with parallel agent streams, not a two-week switch, and not seven days.</w:t>
      </w:r>
    </w:p>
    <w:p>
      <w:r>
        <w:t xml:space="preserve">What *is* achievable inside a week is the thing you actually need first: </w:t>
      </w:r>
      <w:r>
        <w:rPr>
          <w:b/>
        </w:rPr>
        <w:t>a live AWS backend the Android app can point at</w:t>
      </w:r>
      <w:r>
        <w:t>, so the Play Store clock can start.</w:t>
      </w:r>
    </w:p>
    <w:p>
      <w:pPr>
        <w:pStyle w:val="Heading2"/>
      </w:pPr>
      <w:r>
        <w:t>2. What is already built and verified tonight</w:t>
      </w:r>
    </w:p>
    <w:p>
      <w:r>
        <w:t xml:space="preserve">Not a plan on paper. This is committed and pushed as </w:t>
      </w:r>
      <w:r>
        <w:rPr>
          <w:rFonts w:ascii="Consolas" w:hAnsi="Consolas"/>
          <w:sz w:val="19"/>
        </w:rPr>
        <w:t>d9fcfee</w:t>
      </w:r>
      <w:r>
        <w:t xml:space="preserve"> on </w:t>
      </w:r>
      <w:r>
        <w:rPr>
          <w:rFonts w:ascii="Consolas" w:hAnsi="Consolas"/>
          <w:sz w:val="19"/>
        </w:rPr>
        <w:t>feat/aws-migration</w:t>
      </w:r>
      <w:r>
        <w: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Artefact</w:t>
            </w:r>
          </w:p>
        </w:tc>
        <w:tc>
          <w:tcPr>
            <w:tcW w:type="dxa" w:w="4320"/>
            <w:shd w:val="clear" w:color="auto" w:fill="EDEDED"/>
          </w:tcPr>
          <w:p>
            <w:r>
              <w:rPr>
                <w:sz w:val="19"/>
              </w:rPr>
            </w:r>
            <w:r>
              <w:rPr>
                <w:b/>
              </w:rPr>
              <w:t>Evidence</w:t>
            </w:r>
          </w:p>
        </w:tc>
      </w:tr>
      <w:tr>
        <w:tc>
          <w:tcPr>
            <w:tcW w:type="dxa" w:w="4320"/>
          </w:tcPr>
          <w:p>
            <w:r>
              <w:rPr>
                <w:sz w:val="19"/>
              </w:rPr>
            </w:r>
            <w:r>
              <w:rPr>
                <w:sz w:val="19"/>
              </w:rPr>
              <w:t>AWS Terraform, 16 files</w:t>
            </w:r>
          </w:p>
        </w:tc>
        <w:tc>
          <w:tcPr>
            <w:tcW w:type="dxa" w:w="4320"/>
          </w:tcPr>
          <w:p>
            <w:r>
              <w:rPr>
                <w:sz w:val="19"/>
              </w:rPr>
            </w:r>
            <w:r>
              <w:rPr>
                <w:rFonts w:ascii="Consolas" w:hAnsi="Consolas"/>
                <w:sz w:val="19"/>
              </w:rPr>
              <w:t>terraform validate</w:t>
            </w:r>
            <w:r>
              <w:rPr>
                <w:sz w:val="19"/>
              </w:rPr>
              <w:t xml:space="preserve"> → Success. </w:t>
            </w:r>
            <w:r>
              <w:rPr>
                <w:rFonts w:ascii="Consolas" w:hAnsi="Consolas"/>
                <w:sz w:val="19"/>
              </w:rPr>
              <w:t>fmt -check</w:t>
            </w:r>
            <w:r>
              <w:rPr>
                <w:sz w:val="19"/>
              </w:rPr>
              <w:t xml:space="preserve"> → clean. 76 resource instances: VPC, RDS PG16, ElastiCache Valkey, S3, 3× KMS CMK, ECR, ECS Fargate (api + worker), ALB, SQS + DLQ, Secrets Manager, budget alarm</w:t>
            </w:r>
          </w:p>
        </w:tc>
      </w:tr>
      <w:tr>
        <w:tc>
          <w:tcPr>
            <w:tcW w:type="dxa" w:w="4320"/>
          </w:tcPr>
          <w:p>
            <w:r>
              <w:rPr>
                <w:sz w:val="19"/>
              </w:rPr>
            </w:r>
            <w:r>
              <w:rPr>
                <w:sz w:val="19"/>
              </w:rPr>
              <w:t>Provider seams in the app</w:t>
            </w:r>
          </w:p>
        </w:tc>
        <w:tc>
          <w:tcPr>
            <w:tcW w:type="dxa" w:w="4320"/>
          </w:tcPr>
          <w:p>
            <w:r>
              <w:rPr>
                <w:sz w:val="19"/>
              </w:rPr>
            </w:r>
            <w:r>
              <w:rPr>
                <w:rFonts w:ascii="Consolas" w:hAnsi="Consolas"/>
                <w:sz w:val="19"/>
              </w:rPr>
              <w:t>OKUVU_LLM_PROVIDER</w:t>
            </w:r>
            <w:r>
              <w:rPr>
                <w:sz w:val="19"/>
              </w:rPr>
              <w:t xml:space="preserve"> (vertex\</w:t>
            </w:r>
          </w:p>
        </w:tc>
      </w:tr>
      <w:tr>
        <w:tc>
          <w:tcPr>
            <w:tcW w:type="dxa" w:w="4320"/>
          </w:tcPr>
          <w:p>
            <w:r>
              <w:rPr>
                <w:sz w:val="19"/>
              </w:rPr>
            </w:r>
            <w:r>
              <w:rPr>
                <w:sz w:val="19"/>
              </w:rPr>
              <w:t>Bedrock client</w:t>
            </w:r>
          </w:p>
        </w:tc>
        <w:tc>
          <w:tcPr>
            <w:tcW w:type="dxa" w:w="4320"/>
          </w:tcPr>
          <w:p>
            <w:r>
              <w:rPr>
                <w:sz w:val="19"/>
              </w:rPr>
            </w:r>
            <w:r>
              <w:rPr>
                <w:rFonts w:ascii="Consolas" w:hAnsi="Consolas"/>
                <w:sz w:val="19"/>
              </w:rPr>
              <w:t>apps/api/src/lib/bedrock.ts</w:t>
            </w:r>
            <w:r>
              <w:rPr>
                <w:sz w:val="19"/>
              </w:rPr>
              <w:t xml:space="preserve"> (18.5 KB) + worker copy — same interface as the Vertex client, schema-constrained generation mapped to forced tool use</w:t>
            </w:r>
          </w:p>
        </w:tc>
      </w:tr>
      <w:tr>
        <w:tc>
          <w:tcPr>
            <w:tcW w:type="dxa" w:w="4320"/>
          </w:tcPr>
          <w:p>
            <w:r>
              <w:rPr>
                <w:sz w:val="19"/>
              </w:rPr>
            </w:r>
            <w:r>
              <w:rPr>
                <w:sz w:val="19"/>
              </w:rPr>
              <w:t>SQS producer</w:t>
            </w:r>
          </w:p>
        </w:tc>
        <w:tc>
          <w:tcPr>
            <w:tcW w:type="dxa" w:w="4320"/>
          </w:tcPr>
          <w:p>
            <w:r>
              <w:rPr>
                <w:sz w:val="19"/>
              </w:rPr>
            </w:r>
            <w:r>
              <w:rPr>
                <w:rFonts w:ascii="Consolas" w:hAnsi="Consolas"/>
                <w:sz w:val="19"/>
              </w:rPr>
              <w:t>sqs-enqueue.ts</w:t>
            </w:r>
            <w:r>
              <w:rPr>
                <w:sz w:val="19"/>
              </w:rPr>
              <w:t>, same contract as Cloud Tasks dispatch, 3 retries with backoff</w:t>
            </w:r>
          </w:p>
        </w:tc>
      </w:tr>
      <w:tr>
        <w:tc>
          <w:tcPr>
            <w:tcW w:type="dxa" w:w="4320"/>
          </w:tcPr>
          <w:p>
            <w:r>
              <w:rPr>
                <w:sz w:val="19"/>
              </w:rPr>
            </w:r>
            <w:r>
              <w:rPr>
                <w:sz w:val="19"/>
              </w:rPr>
              <w:t>Secrets provider</w:t>
            </w:r>
          </w:p>
        </w:tc>
        <w:tc>
          <w:tcPr>
            <w:tcW w:type="dxa" w:w="4320"/>
          </w:tcPr>
          <w:p>
            <w:r>
              <w:rPr>
                <w:sz w:val="19"/>
              </w:rPr>
            </w:r>
            <w:r>
              <w:rPr>
                <w:sz w:val="19"/>
              </w:rPr>
              <w:t>Secrets Manager behind the existing encryption seam</w:t>
            </w:r>
          </w:p>
        </w:tc>
      </w:tr>
      <w:tr>
        <w:tc>
          <w:tcPr>
            <w:tcW w:type="dxa" w:w="4320"/>
          </w:tcPr>
          <w:p>
            <w:r>
              <w:rPr>
                <w:sz w:val="19"/>
              </w:rPr>
            </w:r>
            <w:r>
              <w:rPr>
                <w:sz w:val="19"/>
              </w:rPr>
              <w:t>IAM gap found and fixed on review</w:t>
            </w:r>
          </w:p>
        </w:tc>
        <w:tc>
          <w:tcPr>
            <w:tcW w:type="dxa" w:w="4320"/>
          </w:tcPr>
          <w:p>
            <w:r>
              <w:rPr>
                <w:sz w:val="19"/>
              </w:rPr>
            </w:r>
            <w:r>
              <w:rPr>
                <w:sz w:val="19"/>
              </w:rPr>
              <w:t xml:space="preserve">Terraform granted SQS and Secrets Manager but </w:t>
            </w:r>
            <w:r>
              <w:rPr>
                <w:b/>
                <w:sz w:val="19"/>
              </w:rPr>
              <w:t>not</w:t>
            </w:r>
            <w:r>
              <w:rPr>
                <w:sz w:val="19"/>
              </w:rPr>
              <w:t xml:space="preserve"> </w:t>
            </w:r>
            <w:r>
              <w:rPr>
                <w:rFonts w:ascii="Consolas" w:hAnsi="Consolas"/>
                <w:sz w:val="19"/>
              </w:rPr>
              <w:t>bedrock:InvokeModel</w:t>
            </w:r>
            <w:r>
              <w:rPr>
                <w:sz w:val="19"/>
              </w:rPr>
              <w:t xml:space="preserve"> — both task roles now grant it</w:t>
            </w:r>
          </w:p>
        </w:tc>
      </w:tr>
      <w:tr>
        <w:tc>
          <w:tcPr>
            <w:tcW w:type="dxa" w:w="4320"/>
          </w:tcPr>
          <w:p>
            <w:r>
              <w:rPr>
                <w:sz w:val="19"/>
              </w:rPr>
            </w:r>
            <w:r>
              <w:rPr>
                <w:sz w:val="19"/>
              </w:rPr>
              <w:t>Android build fixes</w:t>
            </w:r>
          </w:p>
        </w:tc>
        <w:tc>
          <w:tcPr>
            <w:tcW w:type="dxa" w:w="4320"/>
          </w:tcPr>
          <w:p>
            <w:r>
              <w:rPr>
                <w:sz w:val="19"/>
              </w:rPr>
            </w:r>
            <w:r>
              <w:rPr>
                <w:rFonts w:ascii="Consolas" w:hAnsi="Consolas"/>
                <w:sz w:val="19"/>
              </w:rPr>
              <w:t>compileSdk 37</w:t>
            </w:r>
            <w:r>
              <w:rPr>
                <w:sz w:val="19"/>
              </w:rPr>
              <w:t xml:space="preserve"> + </w:t>
            </w:r>
            <w:r>
              <w:rPr>
                <w:rFonts w:ascii="Consolas" w:hAnsi="Consolas"/>
                <w:sz w:val="19"/>
              </w:rPr>
              <w:t>compileSdkMinor 0</w:t>
            </w:r>
            <w:r>
              <w:rPr>
                <w:sz w:val="19"/>
              </w:rPr>
              <w:t xml:space="preserve">, AGP 8.13.1, </w:t>
            </w:r>
            <w:r>
              <w:rPr>
                <w:rFonts w:ascii="Consolas" w:hAnsi="Consolas"/>
                <w:sz w:val="19"/>
              </w:rPr>
              <w:t>targetSdk 36</w:t>
            </w:r>
            <w:r>
              <w:rPr>
                <w:sz w:val="19"/>
              </w:rPr>
              <w:t>, release signing wired, Gradle heap fixed (daemon OOM on this host)</w:t>
            </w:r>
          </w:p>
        </w:tc>
      </w:tr>
    </w:tbl>
    <w:p/>
    <w:p>
      <w:r>
        <w:rPr>
          <w:b/>
        </w:rPr>
        <w:t>Verified by running, not by reading:</w:t>
      </w:r>
      <w:r>
        <w:t xml:space="preserve"> API suite </w:t>
      </w:r>
      <w:r>
        <w:rPr>
          <w:b/>
        </w:rPr>
        <w:t>1080 tests / 61 files, 0 failures</w:t>
      </w:r>
      <w:r>
        <w:t xml:space="preserve"> (was 999). Worker </w:t>
      </w:r>
      <w:r>
        <w:rPr>
          <w:b/>
        </w:rPr>
        <w:t>81 / 7, 0 failures</w:t>
      </w:r>
      <w:r>
        <w:t>. Therapist portal 86. Test harness 302. Terraform validates. TypeScript compiles clean.</w:t>
      </w:r>
    </w:p>
    <w:p>
      <w:r>
        <w:t xml:space="preserve">The Android APK path was also proven end-to-end with a temporary placeholder Firebase config: </w:t>
      </w:r>
      <w:r>
        <w:rPr>
          <w:b/>
        </w:rPr>
        <w:t>`app-prod-release.aab`, 60.7 MB, signed, exit 0.</w:t>
      </w:r>
      <w:r>
        <w:t xml:space="preserve"> That placeholder has been deleted and is not in the repo.</w:t>
      </w:r>
    </w:p>
    <w:p>
      <w:pPr>
        <w:pStyle w:val="Heading2"/>
      </w:pPr>
      <w:r>
        <w:t>3. Three findings that change the shape of this migration</w:t>
      </w:r>
    </w:p>
    <w:p>
      <w:r>
        <w:t>These came from checking AWS's own documentation rather than from memory, and each one changes a decision.</w:t>
      </w:r>
    </w:p>
    <w:p>
      <w:pPr>
        <w:pStyle w:val="Heading3"/>
      </w:pPr>
      <w:r>
        <w:t>3.1 The AI layer, revised: DeepSeek is in-region and credit-eligible</w:t>
      </w:r>
    </w:p>
    <w:p>
      <w:r>
        <w:rPr>
          <w:b/>
        </w:rPr>
        <w:t>Superseded 27 Oct 2026.</w:t>
      </w:r>
      <w:r>
        <w:t xml:space="preserve"> The original version of this section assumed a Claude or Gemini-class model was required and that no frontier model sat in-region. That premise is obsolete: the product standard is now DeepSeek, and DeepSeek is the one model family that is *both* in-region in Mumbai *and* billed by AWS directly.</w:t>
      </w:r>
    </w:p>
    <w:p>
      <w:r>
        <w:t>Verified against the Bedrock region-compatibility matrix and the AWS Price List API (</w:t>
      </w:r>
      <w:r>
        <w:rPr>
          <w:rFonts w:ascii="Consolas" w:hAnsi="Consolas"/>
          <w:sz w:val="19"/>
        </w:rPr>
        <w:t>AmazonBedrock</w:t>
      </w:r>
      <w:r>
        <w:t xml:space="preserve">, ap-south-1, publication date </w:t>
      </w:r>
      <w:r>
        <w:rPr>
          <w:b/>
        </w:rPr>
        <w:t>2026-10-16T21:08:06Z</w:t>
      </w:r>
      <w:r>
        <w: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Model</w:t>
            </w:r>
          </w:p>
        </w:tc>
        <w:tc>
          <w:tcPr>
            <w:tcW w:type="dxa" w:w="1728"/>
            <w:shd w:val="clear" w:color="auto" w:fill="EDEDED"/>
          </w:tcPr>
          <w:p>
            <w:r>
              <w:rPr>
                <w:sz w:val="19"/>
              </w:rPr>
            </w:r>
            <w:r>
              <w:rPr>
                <w:b/>
              </w:rPr>
              <w:t xml:space="preserve">In-Region </w:t>
            </w:r>
            <w:r>
              <w:rPr>
                <w:rFonts w:ascii="Consolas" w:hAnsi="Consolas"/>
                <w:b/>
                <w:sz w:val="19"/>
              </w:rPr>
              <w:t>bedrock-runtime</w:t>
            </w:r>
          </w:p>
        </w:tc>
        <w:tc>
          <w:tcPr>
            <w:tcW w:type="dxa" w:w="1728"/>
            <w:shd w:val="clear" w:color="auto" w:fill="EDEDED"/>
          </w:tcPr>
          <w:p>
            <w:r>
              <w:rPr>
                <w:sz w:val="19"/>
              </w:rPr>
            </w:r>
            <w:r>
              <w:rPr>
                <w:b/>
              </w:rPr>
              <w:t xml:space="preserve">In-Region </w:t>
            </w:r>
            <w:r>
              <w:rPr>
                <w:rFonts w:ascii="Consolas" w:hAnsi="Consolas"/>
                <w:b/>
                <w:sz w:val="19"/>
              </w:rPr>
              <w:t>bedrock-mantle</w:t>
            </w:r>
          </w:p>
        </w:tc>
        <w:tc>
          <w:tcPr>
            <w:tcW w:type="dxa" w:w="1728"/>
            <w:shd w:val="clear" w:color="auto" w:fill="EDEDED"/>
          </w:tcPr>
          <w:p>
            <w:r>
              <w:rPr>
                <w:sz w:val="19"/>
              </w:rPr>
            </w:r>
            <w:r>
              <w:rPr>
                <w:b/>
              </w:rPr>
              <w:t>Context / max output</w:t>
            </w:r>
          </w:p>
        </w:tc>
        <w:tc>
          <w:tcPr>
            <w:tcW w:type="dxa" w:w="1728"/>
            <w:shd w:val="clear" w:color="auto" w:fill="EDEDED"/>
          </w:tcPr>
          <w:p>
            <w:r>
              <w:rPr>
                <w:sz w:val="19"/>
              </w:rPr>
            </w:r>
            <w:r>
              <w:rPr>
                <w:b/>
              </w:rPr>
              <w:t>Mumbai price (per 1M tokens)</w:t>
            </w:r>
          </w:p>
        </w:tc>
      </w:tr>
      <w:tr>
        <w:tc>
          <w:tcPr>
            <w:tcW w:type="dxa" w:w="1728"/>
          </w:tcPr>
          <w:p>
            <w:r>
              <w:rPr>
                <w:sz w:val="19"/>
              </w:rPr>
            </w:r>
            <w:r>
              <w:rPr>
                <w:b/>
                <w:sz w:val="19"/>
              </w:rPr>
              <w:t>DeepSeek V3.2</w:t>
            </w:r>
            <w:r>
              <w:rPr>
                <w:sz w:val="19"/>
              </w:rPr>
              <w:t xml:space="preserve"> (</w:t>
            </w:r>
            <w:r>
              <w:rPr>
                <w:rFonts w:ascii="Consolas" w:hAnsi="Consolas"/>
                <w:sz w:val="19"/>
              </w:rPr>
              <w:t>deepseek.v3.2</w:t>
            </w:r>
            <w:r>
              <w:rPr>
                <w:sz w:val="19"/>
              </w:rPr>
              <w:t>)</w:t>
            </w:r>
          </w:p>
        </w:tc>
        <w:tc>
          <w:tcPr>
            <w:tcW w:type="dxa" w:w="1728"/>
          </w:tcPr>
          <w:p>
            <w:r>
              <w:rPr>
                <w:sz w:val="19"/>
              </w:rPr>
            </w:r>
            <w:r>
              <w:rPr>
                <w:b/>
                <w:sz w:val="19"/>
              </w:rPr>
              <w:t>Yes</w:t>
            </w:r>
          </w:p>
        </w:tc>
        <w:tc>
          <w:tcPr>
            <w:tcW w:type="dxa" w:w="1728"/>
          </w:tcPr>
          <w:p>
            <w:r>
              <w:rPr>
                <w:sz w:val="19"/>
              </w:rPr>
            </w:r>
            <w:r>
              <w:rPr>
                <w:b/>
                <w:sz w:val="19"/>
              </w:rPr>
              <w:t>Yes</w:t>
            </w:r>
          </w:p>
        </w:tc>
        <w:tc>
          <w:tcPr>
            <w:tcW w:type="dxa" w:w="1728"/>
          </w:tcPr>
          <w:p>
            <w:r>
              <w:rPr>
                <w:sz w:val="19"/>
              </w:rPr>
            </w:r>
            <w:r>
              <w:rPr>
                <w:sz w:val="19"/>
              </w:rPr>
              <w:t>164K / 8K</w:t>
            </w:r>
          </w:p>
        </w:tc>
        <w:tc>
          <w:tcPr>
            <w:tcW w:type="dxa" w:w="1728"/>
          </w:tcPr>
          <w:p>
            <w:r>
              <w:rPr>
                <w:sz w:val="19"/>
              </w:rPr>
            </w:r>
            <w:r>
              <w:rPr>
                <w:b/>
                <w:sz w:val="19"/>
              </w:rPr>
              <w:t>$0.74 in · $2.22 out</w:t>
            </w:r>
          </w:p>
        </w:tc>
      </w:tr>
      <w:tr>
        <w:tc>
          <w:tcPr>
            <w:tcW w:type="dxa" w:w="1728"/>
          </w:tcPr>
          <w:p>
            <w:r>
              <w:rPr>
                <w:sz w:val="19"/>
              </w:rPr>
            </w:r>
            <w:r>
              <w:rPr>
                <w:sz w:val="19"/>
              </w:rPr>
              <w:t>DeepSeek V3.1 (</w:t>
            </w:r>
            <w:r>
              <w:rPr>
                <w:rFonts w:ascii="Consolas" w:hAnsi="Consolas"/>
                <w:sz w:val="19"/>
              </w:rPr>
              <w:t>deepseek.v3.1</w:t>
            </w:r>
            <w:r>
              <w:rPr>
                <w:sz w:val="19"/>
              </w:rPr>
              <w:t>)</w:t>
            </w:r>
          </w:p>
        </w:tc>
        <w:tc>
          <w:tcPr>
            <w:tcW w:type="dxa" w:w="1728"/>
          </w:tcPr>
          <w:p>
            <w:r>
              <w:rPr>
                <w:sz w:val="19"/>
              </w:rPr>
            </w:r>
            <w:r>
              <w:rPr>
                <w:sz w:val="19"/>
              </w:rPr>
              <w:t>Yes</w:t>
            </w:r>
          </w:p>
        </w:tc>
        <w:tc>
          <w:tcPr>
            <w:tcW w:type="dxa" w:w="1728"/>
          </w:tcPr>
          <w:p>
            <w:r>
              <w:rPr>
                <w:sz w:val="19"/>
              </w:rPr>
            </w:r>
            <w:r>
              <w:rPr>
                <w:sz w:val="19"/>
              </w:rPr>
              <w:t>Yes</w:t>
            </w:r>
          </w:p>
        </w:tc>
        <w:tc>
          <w:tcPr>
            <w:tcW w:type="dxa" w:w="1728"/>
          </w:tcPr>
          <w:p>
            <w:r>
              <w:rPr>
                <w:sz w:val="19"/>
              </w:rPr>
            </w:r>
            <w:r>
              <w:rPr>
                <w:sz w:val="19"/>
              </w:rPr>
              <w:t>—</w:t>
            </w:r>
          </w:p>
        </w:tc>
        <w:tc>
          <w:tcPr>
            <w:tcW w:type="dxa" w:w="1728"/>
          </w:tcPr>
          <w:p>
            <w:r>
              <w:rPr>
                <w:sz w:val="19"/>
              </w:rPr>
            </w:r>
            <w:r>
              <w:rPr>
                <w:sz w:val="19"/>
              </w:rPr>
              <w:t>$0.68 in · $1.98 out</w:t>
            </w:r>
          </w:p>
        </w:tc>
      </w:tr>
      <w:tr>
        <w:tc>
          <w:tcPr>
            <w:tcW w:type="dxa" w:w="1728"/>
          </w:tcPr>
          <w:p>
            <w:r>
              <w:rPr>
                <w:sz w:val="19"/>
              </w:rPr>
            </w:r>
            <w:r>
              <w:rPr>
                <w:sz w:val="19"/>
              </w:rPr>
              <w:t>DeepSeek R1</w:t>
            </w:r>
          </w:p>
        </w:tc>
        <w:tc>
          <w:tcPr>
            <w:tcW w:type="dxa" w:w="1728"/>
          </w:tcPr>
          <w:p>
            <w:r>
              <w:rPr>
                <w:sz w:val="19"/>
              </w:rPr>
            </w:r>
            <w:r>
              <w:rPr>
                <w:sz w:val="19"/>
              </w:rPr>
              <w:t>No</w:t>
            </w:r>
          </w:p>
        </w:tc>
        <w:tc>
          <w:tcPr>
            <w:tcW w:type="dxa" w:w="1728"/>
          </w:tcPr>
          <w:p>
            <w:r>
              <w:rPr>
                <w:sz w:val="19"/>
              </w:rPr>
            </w:r>
            <w:r>
              <w:rPr>
                <w:sz w:val="19"/>
              </w:rPr>
              <w:t>No</w:t>
            </w:r>
          </w:p>
        </w:tc>
        <w:tc>
          <w:tcPr>
            <w:tcW w:type="dxa" w:w="1728"/>
          </w:tcPr>
          <w:p>
            <w:r>
              <w:rPr>
                <w:sz w:val="19"/>
              </w:rPr>
            </w:r>
            <w:r>
              <w:rPr>
                <w:sz w:val="19"/>
              </w:rPr>
              <w:t>—</w:t>
            </w:r>
          </w:p>
        </w:tc>
        <w:tc>
          <w:tcPr>
            <w:tcW w:type="dxa" w:w="1728"/>
          </w:tcPr>
          <w:p>
            <w:r>
              <w:rPr>
                <w:sz w:val="19"/>
              </w:rPr>
            </w:r>
            <w:r>
              <w:rPr>
                <w:sz w:val="19"/>
              </w:rPr>
              <w:t>US regions only (us-east-1/2, us-west-2)</w:t>
            </w:r>
          </w:p>
        </w:tc>
      </w:tr>
    </w:tbl>
    <w:p/>
    <w:p>
      <w:r>
        <w:t>Geo and Global inference profiles are *not* offered for these models, which is the good outcome: there is no cross-region path to accidentally use, so traffic cannot silently leave India.</w:t>
      </w:r>
    </w:p>
    <w:p>
      <w:r>
        <w:t xml:space="preserve">Service tiers, same region: </w:t>
      </w:r>
      <w:r>
        <w:rPr>
          <w:b/>
        </w:rPr>
        <w:t>flex and batch are 50% of standard</w:t>
      </w:r>
      <w:r>
        <w:t xml:space="preserve"> ($0.37 / $1.11), </w:t>
      </w:r>
      <w:r>
        <w:rPr>
          <w:b/>
        </w:rPr>
        <w:t>priority is 1.75×</w:t>
      </w:r>
      <w:r>
        <w:t xml:space="preserve"> ($1.295 / $3.885). Standard is the default and what the figures below assume.</w:t>
      </w:r>
    </w:p>
    <w:p>
      <w:r>
        <w:rPr>
          <w:b/>
        </w:rPr>
        <w:t>Credit eligibility — the decisive point.</w:t>
      </w:r>
      <w:r>
        <w:t xml:space="preserve"> DeepSeek rows sit in </w:t>
      </w:r>
      <w:r>
        <w:rPr>
          <w:rFonts w:ascii="Consolas" w:hAnsi="Consolas"/>
          <w:sz w:val="19"/>
        </w:rPr>
        <w:t>AmazonBedrock/ap-south-1/index.csv</w:t>
      </w:r>
      <w:r>
        <w:t xml:space="preserve"> with </w:t>
      </w:r>
      <w:r>
        <w:rPr>
          <w:rFonts w:ascii="Consolas" w:hAnsi="Consolas"/>
          <w:sz w:val="19"/>
        </w:rPr>
        <w:t>serviceCode: AmazonBedrock</w:t>
      </w:r>
      <w:r>
        <w:t xml:space="preserve"> and </w:t>
      </w:r>
      <w:r>
        <w:rPr>
          <w:rFonts w:ascii="Consolas" w:hAnsi="Consolas"/>
          <w:sz w:val="19"/>
        </w:rPr>
        <w:t>serviceName: Amazon Bedrock</w:t>
      </w:r>
      <w:r>
        <w:t xml:space="preserve">, alongside Mistral, Qwen, OpenAI, Moonshot, Google and xAI. Anthropic Claude has </w:t>
      </w:r>
      <w:r>
        <w:rPr>
          <w:b/>
        </w:rPr>
        <w:t>zero</w:t>
      </w:r>
      <w:r>
        <w:t xml:space="preserve"> rows in that file. That distinction is the whole answer:</w:t>
      </w:r>
    </w:p>
    <w:p>
      <w:pPr>
        <w:pStyle w:val="ListBullet"/>
      </w:pPr>
      <w:r>
        <w:t>DeepSeek is an ordinary AWS service charge, so promotional credit applies to it like RDS or Fargate, subject only to the credit's own "Applicable products" list.</w:t>
      </w:r>
    </w:p>
    <w:p>
      <w:pPr>
        <w:pStyle w:val="ListBullet"/>
      </w:pPr>
      <w:r>
        <w:t>Claude is Marketplace-billed, and the AWS Promotional Credit Terms (last updated 24 Sep 2026) put AWS Marketplace among the Ineligible Services "unless authorized by us."</w:t>
      </w:r>
    </w:p>
    <w:p>
      <w:r>
        <w:rPr>
          <w:b/>
        </w:rPr>
        <w:t>Correction to what this document previously said.</w:t>
      </w:r>
      <w:r>
        <w:t xml:space="preserve"> It claimed credits could never cover Claude. That was too strong. </w:t>
      </w:r>
      <w:r>
        <w:rPr>
          <w:b/>
        </w:rPr>
        <w:t>AWS Activate</w:t>
      </w:r>
      <w:r>
        <w:t xml:space="preserve"> terms (last updated 22 Jan 2026) explicitly authorise promotional credit against "fees and charges for AWS Marketplace incurred for the use of third-party foundation models available on Amazon Bedrock" — Bedrock 3P Model Spend. So if these credits are Activate credits, they would have covered Claude too. If they are ordinary promotional credits, they would not. DeepSeek is covered under *either* reading, which is precisely why it removes the risk instead of shifting it.</w:t>
      </w:r>
    </w:p>
    <w:p>
      <w:r>
        <w:t xml:space="preserve">The remaining check is administrative, not technical: the </w:t>
      </w:r>
      <w:r>
        <w:rPr>
          <w:b/>
        </w:rPr>
        <w:t>Credits</w:t>
      </w:r>
      <w:r>
        <w:t xml:space="preserve"> page in the AWS Billing console shows each credit's Credit type, Expiration date and Applicable products. That page decides it in writing.</w:t>
      </w:r>
    </w:p>
    <w:p>
      <w:pPr>
        <w:pStyle w:val="Heading3"/>
      </w:pPr>
      <w:r>
        <w:t>3.1.1 What DeepSeek costs at Okuvu's shape</w:t>
      </w:r>
    </w:p>
    <w:p>
      <w:r>
        <w:t>Modelled per client turn as four model calls — A1 classify, A2 converse, A9 pre-gate, A9-post review — at roughly 7,700 input and 1,250 output tokens: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Volume (turns/month)</w:t>
            </w:r>
          </w:p>
        </w:tc>
        <w:tc>
          <w:tcPr>
            <w:tcW w:type="dxa" w:w="1728"/>
            <w:shd w:val="clear" w:color="auto" w:fill="EDEDED"/>
          </w:tcPr>
          <w:p>
            <w:r>
              <w:rPr>
                <w:sz w:val="19"/>
              </w:rPr>
            </w:r>
            <w:r>
              <w:rPr>
                <w:b/>
              </w:rPr>
              <w:t>Model cost</w:t>
            </w:r>
          </w:p>
        </w:tc>
        <w:tc>
          <w:tcPr>
            <w:tcW w:type="dxa" w:w="1728"/>
            <w:shd w:val="clear" w:color="auto" w:fill="EDEDED"/>
          </w:tcPr>
          <w:p>
            <w:r>
              <w:rPr>
                <w:sz w:val="19"/>
              </w:rPr>
            </w:r>
            <w:r>
              <w:rPr>
                <w:b/>
              </w:rPr>
              <w:t>+ infra ~$200</w:t>
            </w:r>
          </w:p>
        </w:tc>
        <w:tc>
          <w:tcPr>
            <w:tcW w:type="dxa" w:w="1728"/>
            <w:shd w:val="clear" w:color="auto" w:fill="EDEDED"/>
          </w:tcPr>
          <w:p>
            <w:r>
              <w:rPr>
                <w:sz w:val="19"/>
              </w:rPr>
            </w:r>
            <w:r>
              <w:rPr>
                <w:b/>
              </w:rPr>
              <w:t>Total</w:t>
            </w:r>
          </w:p>
        </w:tc>
        <w:tc>
          <w:tcPr>
            <w:tcW w:type="dxa" w:w="1728"/>
            <w:shd w:val="clear" w:color="auto" w:fill="EDEDED"/>
          </w:tcPr>
          <w:p>
            <w:r>
              <w:rPr>
                <w:sz w:val="19"/>
              </w:rPr>
            </w:r>
            <w:r>
              <w:rPr>
                <w:b/>
              </w:rPr>
              <w:t>$5,000 of credits lasts</w:t>
            </w:r>
          </w:p>
        </w:tc>
      </w:tr>
      <w:tr>
        <w:tc>
          <w:tcPr>
            <w:tcW w:type="dxa" w:w="1728"/>
          </w:tcPr>
          <w:p>
            <w:r>
              <w:rPr>
                <w:sz w:val="19"/>
              </w:rPr>
            </w:r>
            <w:r>
              <w:rPr>
                <w:sz w:val="19"/>
              </w:rPr>
              <w:t>5,000</w:t>
            </w:r>
          </w:p>
        </w:tc>
        <w:tc>
          <w:tcPr>
            <w:tcW w:type="dxa" w:w="1728"/>
          </w:tcPr>
          <w:p>
            <w:r>
              <w:rPr>
                <w:sz w:val="19"/>
              </w:rPr>
            </w:r>
            <w:r>
              <w:rPr>
                <w:sz w:val="19"/>
              </w:rPr>
              <w:t>$42</w:t>
            </w:r>
          </w:p>
        </w:tc>
        <w:tc>
          <w:tcPr>
            <w:tcW w:type="dxa" w:w="1728"/>
          </w:tcPr>
          <w:p>
            <w:r>
              <w:rPr>
                <w:sz w:val="19"/>
              </w:rPr>
            </w:r>
            <w:r>
              <w:rPr>
                <w:sz w:val="19"/>
              </w:rPr>
              <w:t>$242</w:t>
            </w:r>
          </w:p>
        </w:tc>
        <w:tc>
          <w:tcPr>
            <w:tcW w:type="dxa" w:w="1728"/>
          </w:tcPr>
          <w:p>
            <w:r>
              <w:rPr>
                <w:sz w:val="19"/>
              </w:rPr>
            </w:r>
            <w:r>
              <w:rPr>
                <w:sz w:val="19"/>
              </w:rPr>
              <w:t>$242</w:t>
            </w:r>
          </w:p>
        </w:tc>
        <w:tc>
          <w:tcPr>
            <w:tcW w:type="dxa" w:w="1728"/>
          </w:tcPr>
          <w:p>
            <w:r>
              <w:rPr>
                <w:sz w:val="19"/>
              </w:rPr>
            </w:r>
            <w:r>
              <w:rPr>
                <w:sz w:val="19"/>
              </w:rPr>
              <w:t>20.6 months</w:t>
            </w:r>
          </w:p>
        </w:tc>
      </w:tr>
      <w:tr>
        <w:tc>
          <w:tcPr>
            <w:tcW w:type="dxa" w:w="1728"/>
          </w:tcPr>
          <w:p>
            <w:r>
              <w:rPr>
                <w:sz w:val="19"/>
              </w:rPr>
            </w:r>
            <w:r>
              <w:rPr>
                <w:sz w:val="19"/>
              </w:rPr>
              <w:t>10,000</w:t>
            </w:r>
          </w:p>
        </w:tc>
        <w:tc>
          <w:tcPr>
            <w:tcW w:type="dxa" w:w="1728"/>
          </w:tcPr>
          <w:p>
            <w:r>
              <w:rPr>
                <w:sz w:val="19"/>
              </w:rPr>
            </w:r>
            <w:r>
              <w:rPr>
                <w:sz w:val="19"/>
              </w:rPr>
              <w:t>$85</w:t>
            </w:r>
          </w:p>
        </w:tc>
        <w:tc>
          <w:tcPr>
            <w:tcW w:type="dxa" w:w="1728"/>
          </w:tcPr>
          <w:p>
            <w:r>
              <w:rPr>
                <w:sz w:val="19"/>
              </w:rPr>
            </w:r>
            <w:r>
              <w:rPr>
                <w:sz w:val="19"/>
              </w:rPr>
              <w:t>$285</w:t>
            </w:r>
          </w:p>
        </w:tc>
        <w:tc>
          <w:tcPr>
            <w:tcW w:type="dxa" w:w="1728"/>
          </w:tcPr>
          <w:p>
            <w:r>
              <w:rPr>
                <w:sz w:val="19"/>
              </w:rPr>
            </w:r>
            <w:r>
              <w:rPr>
                <w:sz w:val="19"/>
              </w:rPr>
              <w:t>$285</w:t>
            </w:r>
          </w:p>
        </w:tc>
        <w:tc>
          <w:tcPr>
            <w:tcW w:type="dxa" w:w="1728"/>
          </w:tcPr>
          <w:p>
            <w:r>
              <w:rPr>
                <w:sz w:val="19"/>
              </w:rPr>
            </w:r>
            <w:r>
              <w:rPr>
                <w:sz w:val="19"/>
              </w:rPr>
              <w:t>17.6 months</w:t>
            </w:r>
          </w:p>
        </w:tc>
      </w:tr>
      <w:tr>
        <w:tc>
          <w:tcPr>
            <w:tcW w:type="dxa" w:w="1728"/>
          </w:tcPr>
          <w:p>
            <w:r>
              <w:rPr>
                <w:sz w:val="19"/>
              </w:rPr>
            </w:r>
            <w:r>
              <w:rPr>
                <w:sz w:val="19"/>
              </w:rPr>
              <w:t>25,000</w:t>
            </w:r>
          </w:p>
        </w:tc>
        <w:tc>
          <w:tcPr>
            <w:tcW w:type="dxa" w:w="1728"/>
          </w:tcPr>
          <w:p>
            <w:r>
              <w:rPr>
                <w:sz w:val="19"/>
              </w:rPr>
            </w:r>
            <w:r>
              <w:rPr>
                <w:sz w:val="19"/>
              </w:rPr>
              <w:t>$212</w:t>
            </w:r>
          </w:p>
        </w:tc>
        <w:tc>
          <w:tcPr>
            <w:tcW w:type="dxa" w:w="1728"/>
          </w:tcPr>
          <w:p>
            <w:r>
              <w:rPr>
                <w:sz w:val="19"/>
              </w:rPr>
            </w:r>
            <w:r>
              <w:rPr>
                <w:sz w:val="19"/>
              </w:rPr>
              <w:t>$412</w:t>
            </w:r>
          </w:p>
        </w:tc>
        <w:tc>
          <w:tcPr>
            <w:tcW w:type="dxa" w:w="1728"/>
          </w:tcPr>
          <w:p>
            <w:r>
              <w:rPr>
                <w:sz w:val="19"/>
              </w:rPr>
            </w:r>
            <w:r>
              <w:rPr>
                <w:sz w:val="19"/>
              </w:rPr>
              <w:t>$412</w:t>
            </w:r>
          </w:p>
        </w:tc>
        <w:tc>
          <w:tcPr>
            <w:tcW w:type="dxa" w:w="1728"/>
          </w:tcPr>
          <w:p>
            <w:r>
              <w:rPr>
                <w:sz w:val="19"/>
              </w:rPr>
            </w:r>
            <w:r>
              <w:rPr>
                <w:sz w:val="19"/>
              </w:rPr>
              <w:t>12.1 months</w:t>
            </w:r>
          </w:p>
        </w:tc>
      </w:tr>
      <w:tr>
        <w:tc>
          <w:tcPr>
            <w:tcW w:type="dxa" w:w="1728"/>
          </w:tcPr>
          <w:p>
            <w:r>
              <w:rPr>
                <w:sz w:val="19"/>
              </w:rPr>
            </w:r>
            <w:r>
              <w:rPr>
                <w:sz w:val="19"/>
              </w:rPr>
              <w:t>50,000</w:t>
            </w:r>
          </w:p>
        </w:tc>
        <w:tc>
          <w:tcPr>
            <w:tcW w:type="dxa" w:w="1728"/>
          </w:tcPr>
          <w:p>
            <w:r>
              <w:rPr>
                <w:sz w:val="19"/>
              </w:rPr>
            </w:r>
            <w:r>
              <w:rPr>
                <w:sz w:val="19"/>
              </w:rPr>
              <w:t>$424</w:t>
            </w:r>
          </w:p>
        </w:tc>
        <w:tc>
          <w:tcPr>
            <w:tcW w:type="dxa" w:w="1728"/>
          </w:tcPr>
          <w:p>
            <w:r>
              <w:rPr>
                <w:sz w:val="19"/>
              </w:rPr>
            </w:r>
            <w:r>
              <w:rPr>
                <w:sz w:val="19"/>
              </w:rPr>
              <w:t>$624</w:t>
            </w:r>
          </w:p>
        </w:tc>
        <w:tc>
          <w:tcPr>
            <w:tcW w:type="dxa" w:w="1728"/>
          </w:tcPr>
          <w:p>
            <w:r>
              <w:rPr>
                <w:sz w:val="19"/>
              </w:rPr>
            </w:r>
            <w:r>
              <w:rPr>
                <w:sz w:val="19"/>
              </w:rPr>
              <w:t>$624</w:t>
            </w:r>
          </w:p>
        </w:tc>
        <w:tc>
          <w:tcPr>
            <w:tcW w:type="dxa" w:w="1728"/>
          </w:tcPr>
          <w:p>
            <w:r>
              <w:rPr>
                <w:sz w:val="19"/>
              </w:rPr>
            </w:r>
            <w:r>
              <w:rPr>
                <w:sz w:val="19"/>
              </w:rPr>
              <w:t>8.0 months</w:t>
            </w:r>
          </w:p>
        </w:tc>
      </w:tr>
      <w:tr>
        <w:tc>
          <w:tcPr>
            <w:tcW w:type="dxa" w:w="1728"/>
          </w:tcPr>
          <w:p>
            <w:r>
              <w:rPr>
                <w:sz w:val="19"/>
              </w:rPr>
            </w:r>
            <w:r>
              <w:rPr>
                <w:sz w:val="19"/>
              </w:rPr>
              <w:t>100,000</w:t>
            </w:r>
          </w:p>
        </w:tc>
        <w:tc>
          <w:tcPr>
            <w:tcW w:type="dxa" w:w="1728"/>
          </w:tcPr>
          <w:p>
            <w:r>
              <w:rPr>
                <w:sz w:val="19"/>
              </w:rPr>
            </w:r>
            <w:r>
              <w:rPr>
                <w:sz w:val="19"/>
              </w:rPr>
              <w:t>$847</w:t>
            </w:r>
          </w:p>
        </w:tc>
        <w:tc>
          <w:tcPr>
            <w:tcW w:type="dxa" w:w="1728"/>
          </w:tcPr>
          <w:p>
            <w:r>
              <w:rPr>
                <w:sz w:val="19"/>
              </w:rPr>
            </w:r>
            <w:r>
              <w:rPr>
                <w:sz w:val="19"/>
              </w:rPr>
              <w:t>$1,047</w:t>
            </w:r>
          </w:p>
        </w:tc>
        <w:tc>
          <w:tcPr>
            <w:tcW w:type="dxa" w:w="1728"/>
          </w:tcPr>
          <w:p>
            <w:r>
              <w:rPr>
                <w:sz w:val="19"/>
              </w:rPr>
            </w:r>
            <w:r>
              <w:rPr>
                <w:sz w:val="19"/>
              </w:rPr>
              <w:t>$1,047</w:t>
            </w:r>
          </w:p>
        </w:tc>
        <w:tc>
          <w:tcPr>
            <w:tcW w:type="dxa" w:w="1728"/>
          </w:tcPr>
          <w:p>
            <w:r>
              <w:rPr>
                <w:sz w:val="19"/>
              </w:rPr>
            </w:r>
            <w:r>
              <w:rPr>
                <w:sz w:val="19"/>
              </w:rPr>
              <w:t>4.8 months</w:t>
            </w:r>
          </w:p>
        </w:tc>
      </w:tr>
      <w:tr>
        <w:tc>
          <w:tcPr>
            <w:tcW w:type="dxa" w:w="1728"/>
          </w:tcPr>
          <w:p>
            <w:r>
              <w:rPr>
                <w:sz w:val="19"/>
              </w:rPr>
            </w:r>
            <w:r>
              <w:rPr>
                <w:sz w:val="19"/>
              </w:rPr>
              <w:t>250,000</w:t>
            </w:r>
          </w:p>
        </w:tc>
        <w:tc>
          <w:tcPr>
            <w:tcW w:type="dxa" w:w="1728"/>
          </w:tcPr>
          <w:p>
            <w:r>
              <w:rPr>
                <w:sz w:val="19"/>
              </w:rPr>
            </w:r>
            <w:r>
              <w:rPr>
                <w:sz w:val="19"/>
              </w:rPr>
              <w:t>$2,118</w:t>
            </w:r>
          </w:p>
        </w:tc>
        <w:tc>
          <w:tcPr>
            <w:tcW w:type="dxa" w:w="1728"/>
          </w:tcPr>
          <w:p>
            <w:r>
              <w:rPr>
                <w:sz w:val="19"/>
              </w:rPr>
            </w:r>
            <w:r>
              <w:rPr>
                <w:sz w:val="19"/>
              </w:rPr>
              <w:t>$2,318</w:t>
            </w:r>
          </w:p>
        </w:tc>
        <w:tc>
          <w:tcPr>
            <w:tcW w:type="dxa" w:w="1728"/>
          </w:tcPr>
          <w:p>
            <w:r>
              <w:rPr>
                <w:sz w:val="19"/>
              </w:rPr>
            </w:r>
            <w:r>
              <w:rPr>
                <w:sz w:val="19"/>
              </w:rPr>
              <w:t>$2,318</w:t>
            </w:r>
          </w:p>
        </w:tc>
        <w:tc>
          <w:tcPr>
            <w:tcW w:type="dxa" w:w="1728"/>
          </w:tcPr>
          <w:p>
            <w:r>
              <w:rPr>
                <w:sz w:val="19"/>
              </w:rPr>
            </w:r>
            <w:r>
              <w:rPr>
                <w:sz w:val="19"/>
              </w:rPr>
              <w:t>2.2 months</w:t>
            </w:r>
          </w:p>
        </w:tc>
      </w:tr>
    </w:tbl>
    <w:p/>
    <w:p>
      <w:r>
        <w:t xml:space="preserve">Cost per turn at standard tier is </w:t>
      </w:r>
      <w:r>
        <w:rPr>
          <w:b/>
        </w:rPr>
        <w:t>$0.0085</w:t>
      </w:r>
      <w:r>
        <w:t>. The crisis path stays on standard or priority; A10 insights, A11 learning and session summarisation can run on batch/flex at half price because nothing waits on them.</w:t>
      </w:r>
    </w:p>
    <w:p>
      <w:r>
        <w:t xml:space="preserve">Consequence for the programme: </w:t>
      </w:r>
      <w:r>
        <w:rPr>
          <w:b/>
        </w:rPr>
        <w:t>the model line no longer has to sit outside the credits</w:t>
      </w:r>
      <w:r>
        <w:t>, so the two-track split in §4 is no longer a cost necessity. Track B's model comparison survives only as a quality check between DeepSeek V3.2 and V3.1, not as a Gemini-versus-Claude decision.</w:t>
      </w:r>
    </w:p>
    <w:p>
      <w:pPr>
        <w:pStyle w:val="Heading3"/>
      </w:pPr>
      <w:r>
        <w:t>3.1.2 Three engineering constraints that come with DeepSeek</w:t>
      </w:r>
    </w:p>
    <w:p>
      <w:pPr>
        <w:pStyle w:val="ListNumber"/>
      </w:pPr>
      <w:r>
        <w:rPr>
          <w:b/>
        </w:rPr>
        <w:t>Structured outputs, not forced tool use.</w:t>
      </w:r>
      <w:r>
        <w:t xml:space="preserve"> DeepSeek V3.2 lists *Structured outputs* as supported on </w:t>
      </w:r>
      <w:r>
        <w:rPr>
          <w:rFonts w:ascii="Consolas" w:hAnsi="Consolas"/>
          <w:sz w:val="19"/>
        </w:rPr>
        <w:t>bedrock-runtime</w:t>
      </w:r>
      <w:r>
        <w:t xml:space="preserve">, but *client-side tool calling* appears only under </w:t>
      </w:r>
      <w:r>
        <w:rPr>
          <w:rFonts w:ascii="Consolas" w:hAnsi="Consolas"/>
          <w:sz w:val="19"/>
        </w:rPr>
        <w:t>bedrock-mantle</w:t>
      </w:r>
      <w:r>
        <w:t xml:space="preserve">. The repo's </w:t>
      </w:r>
      <w:r>
        <w:rPr>
          <w:rFonts w:ascii="Consolas" w:hAnsi="Consolas"/>
          <w:sz w:val="19"/>
        </w:rPr>
        <w:t>bedrock.ts</w:t>
      </w:r>
      <w:r>
        <w:t xml:space="preserve"> currently enforces schema by forced tool use with </w:t>
      </w:r>
      <w:r>
        <w:rPr>
          <w:rFonts w:ascii="Consolas" w:hAnsi="Consolas"/>
          <w:sz w:val="19"/>
        </w:rPr>
        <w:t>toolSpec.strict: true</w:t>
      </w:r>
      <w:r>
        <w:t xml:space="preserve">. For DeepSeek the correct mechanism is </w:t>
      </w:r>
      <w:r>
        <w:rPr>
          <w:rFonts w:ascii="Consolas" w:hAnsi="Consolas"/>
          <w:sz w:val="19"/>
        </w:rPr>
        <w:t>outputConfig.textFormat</w:t>
      </w:r>
      <w:r>
        <w:t xml:space="preserve"> (Converse) or </w:t>
      </w:r>
      <w:r>
        <w:rPr>
          <w:rFonts w:ascii="Consolas" w:hAnsi="Consolas"/>
          <w:sz w:val="19"/>
        </w:rPr>
        <w:t>response_format</w:t>
      </w:r>
      <w:r>
        <w:t xml:space="preserve"> (InvokeModel on open-weight models). This is a code change, and it sits directly on the safety path — A1's JSON contract — so it needs its own tests, not a config flip.</w:t>
      </w:r>
    </w:p>
    <w:p>
      <w:pPr>
        <w:pStyle w:val="ListNumber"/>
      </w:pPr>
      <w:r>
        <w:rPr>
          <w:b/>
        </w:rPr>
        <w:t>First call with a new schema compiles a grammar for up to ~90 seconds.</w:t>
      </w:r>
      <w:r>
        <w:t xml:space="preserve"> Set the client read timeout to at least 120s and pre-warm every schema at deploy. On a crisis path, an un-warmed A1 schema is a 90-second stall.</w:t>
      </w:r>
    </w:p>
    <w:p>
      <w:pPr>
        <w:pStyle w:val="ListNumber"/>
      </w:pPr>
      <w:r>
        <w:rPr>
          <w:b/>
        </w:rPr>
        <w:t>Schema limits:</w:t>
      </w:r>
      <w:r>
        <w:t xml:space="preserve"> max 12 optional properties across all nested objects, max 16 union-typed properties. Exceeding either returns </w:t>
      </w:r>
      <w:r>
        <w:rPr>
          <w:rFonts w:ascii="Consolas" w:hAnsi="Consolas"/>
          <w:sz w:val="19"/>
        </w:rPr>
        <w:t>ValidationException</w:t>
      </w:r>
      <w:r>
        <w:t xml:space="preserve"> ("Schema is too complex"). The A1 response schema must be authored within that budget — put nullable fields in </w:t>
      </w:r>
      <w:r>
        <w:rPr>
          <w:rFonts w:ascii="Consolas" w:hAnsi="Consolas"/>
          <w:sz w:val="19"/>
        </w:rPr>
        <w:t>required</w:t>
      </w:r>
      <w:r>
        <w:t xml:space="preserve"> with </w:t>
      </w:r>
      <w:r>
        <w:rPr>
          <w:rFonts w:ascii="Consolas" w:hAnsi="Consolas"/>
          <w:sz w:val="19"/>
        </w:rPr>
        <w:t>type: ["string","null"]</w:t>
      </w:r>
      <w:r>
        <w:t>.</w:t>
      </w:r>
    </w:p>
    <w:p>
      <w:r>
        <w:t xml:space="preserve">DeepSeek has </w:t>
      </w:r>
      <w:r>
        <w:rPr>
          <w:b/>
        </w:rPr>
        <w:t>no embedding model</w:t>
      </w:r>
      <w:r>
        <w:t>, so Titan Text Embeddings V2 at 768 dimensions remains the embedding target, unchanged from the original plan.</w:t>
      </w:r>
    </w:p>
    <w:p>
      <w:pPr>
        <w:pStyle w:val="Heading3"/>
      </w:pPr>
      <w:r>
        <w:t>3.1.3 The repo does not use DeepSeek yet</w:t>
      </w:r>
    </w:p>
    <w:p>
      <w:r>
        <w:t xml:space="preserve">Grep across </w:t>
      </w:r>
      <w:r>
        <w:rPr>
          <w:rFonts w:ascii="Consolas" w:hAnsi="Consolas"/>
          <w:sz w:val="19"/>
        </w:rPr>
        <w:t>apps/</w:t>
      </w:r>
      <w:r>
        <w:t xml:space="preserve"> and </w:t>
      </w:r>
      <w:r>
        <w:rPr>
          <w:rFonts w:ascii="Consolas" w:hAnsi="Consolas"/>
          <w:sz w:val="19"/>
        </w:rPr>
        <w:t>packages/</w:t>
      </w:r>
      <w:r>
        <w:t xml:space="preserve"> (excluding </w:t>
      </w:r>
      <w:r>
        <w:rPr>
          <w:rFonts w:ascii="Consolas" w:hAnsi="Consolas"/>
          <w:sz w:val="19"/>
        </w:rPr>
        <w:t>node_modules</w:t>
      </w:r>
      <w:r>
        <w:t xml:space="preserve"> and </w:t>
      </w:r>
      <w:r>
        <w:rPr>
          <w:rFonts w:ascii="Consolas" w:hAnsi="Consolas"/>
          <w:sz w:val="19"/>
        </w:rPr>
        <w:t>dist</w:t>
      </w:r>
      <w:r>
        <w:t xml:space="preserve">) returns </w:t>
      </w:r>
      <w:r>
        <w:rPr>
          <w:b/>
        </w:rPr>
        <w:t>zero</w:t>
      </w:r>
      <w:r>
        <w:t xml:space="preserve"> DeepSeek references. The live default is </w:t>
      </w:r>
      <w:r>
        <w:rPr>
          <w:rFonts w:ascii="Consolas" w:hAnsi="Consolas"/>
          <w:sz w:val="19"/>
        </w:rPr>
        <w:t>OPENROUTER_MODEL</w:t>
      </w:r>
      <w:r>
        <w:t xml:space="preserve"> falling back to </w:t>
      </w:r>
      <w:r>
        <w:rPr>
          <w:rFonts w:ascii="Consolas" w:hAnsi="Consolas"/>
          <w:sz w:val="19"/>
        </w:rPr>
        <w:t>meta-llama/llama-3.1-8b-instruct</w:t>
      </w:r>
      <w:r>
        <w:t xml:space="preserve">, with </w:t>
      </w:r>
      <w:r>
        <w:rPr>
          <w:rFonts w:ascii="Consolas" w:hAnsi="Consolas"/>
          <w:sz w:val="19"/>
        </w:rPr>
        <w:t>LLM_PROVIDER</w:t>
      </w:r>
      <w:r>
        <w:t xml:space="preserve"> defaulting to </w:t>
      </w:r>
      <w:r>
        <w:rPr>
          <w:rFonts w:ascii="Consolas" w:hAnsi="Consolas"/>
          <w:sz w:val="19"/>
        </w:rPr>
        <w:t>openrouter</w:t>
      </w:r>
      <w:r>
        <w:t xml:space="preserve">. The harness dashboard separately names </w:t>
      </w:r>
      <w:r>
        <w:rPr>
          <w:rFonts w:ascii="Consolas" w:hAnsi="Consolas"/>
          <w:sz w:val="19"/>
        </w:rPr>
        <w:t>gemini-2.5-flash</w:t>
      </w:r>
      <w:r>
        <w:t>.</w:t>
      </w:r>
    </w:p>
    <w:p>
      <w:r>
        <w:t xml:space="preserve">So "we use only DeepSeek" is a decision, not yet a fact in code. Making it true requires: a DeepSeek Bedrock model id in </w:t>
      </w:r>
      <w:r>
        <w:rPr>
          <w:rFonts w:ascii="Consolas" w:hAnsi="Consolas"/>
          <w:sz w:val="19"/>
        </w:rPr>
        <w:t>provider-config.ts</w:t>
      </w:r>
      <w:r>
        <w:t xml:space="preserve">, the structured-outputs path in </w:t>
      </w:r>
      <w:r>
        <w:rPr>
          <w:rFonts w:ascii="Consolas" w:hAnsi="Consolas"/>
          <w:sz w:val="19"/>
        </w:rPr>
        <w:t>bedrock.ts</w:t>
      </w:r>
      <w:r>
        <w:t xml:space="preserve">, an </w:t>
      </w:r>
      <w:r>
        <w:rPr>
          <w:rFonts w:ascii="Consolas" w:hAnsi="Consolas"/>
          <w:sz w:val="19"/>
        </w:rPr>
        <w:t>OPENROUTER_MODEL</w:t>
      </w:r>
      <w:r>
        <w:t>/provider change for the bridge period, and one live call to prove the schema actually constrains. Until that last step, the claim is unverified.</w:t>
      </w:r>
    </w:p>
    <w:p>
      <w:pPr>
        <w:pStyle w:val="Heading3"/>
      </w:pPr>
      <w:r>
        <w:t>3.2 Firebase users cannot be moved to Cognito without forcing password resets</w:t>
      </w:r>
    </w:p>
    <w:p>
      <w:r>
        <w:t>Cognito's import tool accepts BCRYPT, SCRYPT, ARGON2ID and PBKDF2_SHA256 in fixed string formats with no signer-key field. Firebase's modified scrypt depends on a per-project signer key plus a salt separator. The construction does not fit.</w:t>
      </w:r>
    </w:p>
    <w:p>
      <w:r>
        <w:rPr>
          <w:b/>
        </w:rPr>
        <w:t>Consequence: 100% of users must reset passwords.</w:t>
      </w:r>
      <w:r>
        <w:t xml:space="preserve"> Pre-launch with zero real users that is free. Post-launch it is a product event with churn attached. It is a decision, not an engineering detail — and it is why identity migration is sequenced last, not first.</w:t>
      </w:r>
    </w:p>
    <w:p>
      <w:pPr>
        <w:pStyle w:val="Heading3"/>
      </w:pPr>
      <w:r>
        <w:t>3.3 Two services have no drop-in equivalent</w:t>
      </w:r>
    </w:p>
    <w:p>
      <w:pPr>
        <w:pStyle w:val="ListBullet"/>
      </w:pPr>
      <w:r>
        <w:rPr>
          <w:b/>
        </w:rPr>
        <w:t>Cloud Tasks with an OIDC-authenticated HTTP target has no AWS equivalent.</w:t>
      </w:r>
      <w:r>
        <w:t xml:space="preserve"> EventBridge Scheduler will not target non-AWS endpoints; Step Functions HTTP tasks authenticate by Basic, OAuth client-credentials or API key, never an OIDC ID token. The replacement is SQS plus a real consumer in the worker — which is why the worker story is the largest single item in Phase 1.</w:t>
      </w:r>
    </w:p>
    <w:p>
      <w:pPr>
        <w:pStyle w:val="ListBullet"/>
      </w:pPr>
      <w:r>
        <w:rPr>
          <w:b/>
        </w:rPr>
        <w:t>AWS App Runner is closed to new customers.</w:t>
      </w:r>
      <w:r>
        <w:t xml:space="preserve"> Anyone planning "Cloud Run → App Runner, one-to-one" is planning something that cannot be provisioned. ECS Fargate is the target, and the Terraform already reflects that.</w:t>
      </w:r>
    </w:p>
    <w:p>
      <w:pPr>
        <w:pStyle w:val="Heading2"/>
      </w:pPr>
      <w:r>
        <w:t>4. The bridge that gets you off GCP without gambling on models</w:t>
      </w:r>
    </w:p>
    <w:p>
      <w:r>
        <w:rPr>
          <w:b/>
        </w:rPr>
        <w:t>Revised 27 Oct 2026.</w:t>
      </w:r>
      <w:r>
        <w:t xml:space="preserve"> The original rationale for this bridge was that no credit-eligible in-region model existed, so the model decision had to be deferred while infrastructure moved. DeepSeek removes that constraint (§3.1): the model is now in-region *and* credit-eligible, so there is no longer any reason to keep an external API key in the loop. What survives from the bridge is only its </w:t>
      </w:r>
      <w:r>
        <w:rPr>
          <w:b/>
        </w:rPr>
        <w:t>sequencing</w:t>
      </w:r>
      <w:r>
        <w:t xml:space="preserve"> principle — do not change infrastructure and the safety-path model in the same week.</w:t>
      </w:r>
    </w:p>
    <w:p>
      <w:r>
        <w:t xml:space="preserve">There is a way to leave GCP infrastructure entirely in about three weeks. It works because </w:t>
      </w:r>
      <w:r>
        <w:rPr>
          <w:b/>
        </w:rPr>
        <w:t>the LLM call today goes through an API-key path, not through GCP infrastructure.</w:t>
      </w:r>
      <w:r>
        <w:t xml:space="preserve"> The repo already supports a non-Vertex provider (</w:t>
      </w:r>
      <w:r>
        <w:rPr>
          <w:rFonts w:ascii="Consolas" w:hAnsi="Consolas"/>
          <w:sz w:val="19"/>
        </w:rPr>
        <w:t>LLM_PROVIDER=openrouter|gemini</w:t>
      </w:r>
      <w:r>
        <w:t>).</w:t>
      </w:r>
    </w:p>
    <w:p>
      <w:r>
        <w:t>So:</w:t>
      </w:r>
    </w:p>
    <w:p>
      <w:pPr>
        <w:pStyle w:val="ListBullet"/>
      </w:pPr>
      <w:r>
        <w:rPr>
          <w:b/>
        </w:rPr>
        <w:t>Move compute, database, cache, storage, queue, secrets and encryption to AWS now.</w:t>
      </w:r>
      <w:r>
        <w:t xml:space="preserve"> These are the billable, residency-relevant, lock-in parts.</w:t>
      </w:r>
    </w:p>
    <w:p>
      <w:pPr>
        <w:pStyle w:val="ListBullet"/>
      </w:pPr>
      <w:r>
        <w:rPr>
          <w:b/>
        </w:rPr>
        <w:t>Keep the LLM call on an API key for the bridge week only</w:t>
      </w:r>
      <w:r>
        <w:t xml:space="preserve"> (existing OpenRouter key), so the infra cutover is not also a model cutover.</w:t>
      </w:r>
    </w:p>
    <w:p>
      <w:pPr>
        <w:pStyle w:val="ListBullet"/>
      </w:pPr>
      <w:r>
        <w:rPr>
          <w:b/>
        </w:rPr>
        <w:t>Move embeddings to Titan on Bedrock</w:t>
      </w:r>
      <w:r>
        <w:t xml:space="preserve"> (§3.1), because embedding quality risk is low and it is in-region and credit-eligible.</w:t>
      </w:r>
    </w:p>
    <w:p>
      <w:pPr>
        <w:pStyle w:val="ListBullet"/>
      </w:pPr>
      <w:r>
        <w:rPr>
          <w:b/>
        </w:rPr>
        <w:t>Then flip to DeepSeek V3.2 on Bedrock</w:t>
      </w:r>
      <w:r>
        <w:t xml:space="preserve"> once D2 measures it against the current baseline. This is now a one-week step, not a vendor negotiation.</w:t>
      </w:r>
    </w:p>
    <w:p>
      <w:r>
        <w:t>That gives two tracks: Track A gets you hosted on AWS and unblocks the Play Store; Track B swaps the model behind a measured gate. Neither blocks the other, and both are now inside the credits.</w:t>
      </w:r>
    </w:p>
    <w:p>
      <w:pPr>
        <w:pStyle w:val="Heading2"/>
      </w:pPr>
      <w:r>
        <w:t>5. Service mapping, verified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GCP today</w:t>
            </w:r>
          </w:p>
        </w:tc>
        <w:tc>
          <w:tcPr>
            <w:tcW w:type="dxa" w:w="1728"/>
            <w:shd w:val="clear" w:color="auto" w:fill="EDEDED"/>
          </w:tcPr>
          <w:p>
            <w:r>
              <w:rPr>
                <w:sz w:val="19"/>
              </w:rPr>
            </w:r>
            <w:r>
              <w:rPr>
                <w:b/>
              </w:rPr>
              <w:t>AWS target</w:t>
            </w:r>
          </w:p>
        </w:tc>
        <w:tc>
          <w:tcPr>
            <w:tcW w:type="dxa" w:w="1728"/>
            <w:shd w:val="clear" w:color="auto" w:fill="EDEDED"/>
          </w:tcPr>
          <w:p>
            <w:r>
              <w:rPr>
                <w:sz w:val="19"/>
              </w:rPr>
            </w:r>
            <w:r>
              <w:rPr>
                <w:b/>
              </w:rPr>
              <w:t>In ap-south-1</w:t>
            </w:r>
          </w:p>
        </w:tc>
        <w:tc>
          <w:tcPr>
            <w:tcW w:type="dxa" w:w="1728"/>
            <w:shd w:val="clear" w:color="auto" w:fill="EDEDED"/>
          </w:tcPr>
          <w:p>
            <w:r>
              <w:rPr>
                <w:sz w:val="19"/>
              </w:rPr>
            </w:r>
            <w:r>
              <w:rPr>
                <w:b/>
              </w:rPr>
              <w:t>Effort (dev-days)</w:t>
            </w:r>
          </w:p>
        </w:tc>
        <w:tc>
          <w:tcPr>
            <w:tcW w:type="dxa" w:w="1728"/>
            <w:shd w:val="clear" w:color="auto" w:fill="EDEDED"/>
          </w:tcPr>
          <w:p>
            <w:r>
              <w:rPr>
                <w:sz w:val="19"/>
              </w:rPr>
            </w:r>
            <w:r>
              <w:rPr>
                <w:b/>
              </w:rPr>
              <w:t>Risk</w:t>
            </w:r>
          </w:p>
        </w:tc>
      </w:tr>
      <w:tr>
        <w:tc>
          <w:tcPr>
            <w:tcW w:type="dxa" w:w="1728"/>
          </w:tcPr>
          <w:p>
            <w:r>
              <w:rPr>
                <w:sz w:val="19"/>
              </w:rPr>
            </w:r>
            <w:r>
              <w:rPr>
                <w:sz w:val="19"/>
              </w:rPr>
              <w:t>Vertex AI · Gemini structured JSON</w:t>
            </w:r>
          </w:p>
        </w:tc>
        <w:tc>
          <w:tcPr>
            <w:tcW w:type="dxa" w:w="1728"/>
          </w:tcPr>
          <w:p>
            <w:r>
              <w:rPr>
                <w:sz w:val="19"/>
              </w:rPr>
            </w:r>
            <w:r>
              <w:rPr>
                <w:sz w:val="19"/>
              </w:rPr>
              <w:t xml:space="preserve">Bedrock Converse + structured outputs on </w:t>
            </w:r>
            <w:r>
              <w:rPr>
                <w:b/>
                <w:sz w:val="19"/>
              </w:rPr>
              <w:t>DeepSeek V3.2</w:t>
            </w:r>
            <w:r>
              <w:rPr>
                <w:sz w:val="19"/>
              </w:rPr>
              <w:t xml:space="preserve"> (</w:t>
            </w:r>
            <w:r>
              <w:rPr>
                <w:rFonts w:ascii="Consolas" w:hAnsi="Consolas"/>
                <w:sz w:val="19"/>
              </w:rPr>
              <w:t>deepseek.v3.2</w:t>
            </w:r>
            <w:r>
              <w:rPr>
                <w:sz w:val="19"/>
              </w:rPr>
              <w:t>), in-region Mumbai</w:t>
            </w:r>
          </w:p>
        </w:tc>
        <w:tc>
          <w:tcPr>
            <w:tcW w:type="dxa" w:w="1728"/>
          </w:tcPr>
          <w:p>
            <w:r>
              <w:rPr>
                <w:sz w:val="19"/>
              </w:rPr>
            </w:r>
            <w:r>
              <w:rPr>
                <w:sz w:val="19"/>
              </w:rPr>
              <w:t>Yes — In-Region, no Geo/Global profile exists</w:t>
            </w:r>
          </w:p>
        </w:tc>
        <w:tc>
          <w:tcPr>
            <w:tcW w:type="dxa" w:w="1728"/>
          </w:tcPr>
          <w:p>
            <w:r>
              <w:rPr>
                <w:sz w:val="19"/>
              </w:rPr>
            </w:r>
            <w:r>
              <w:rPr>
                <w:sz w:val="19"/>
              </w:rPr>
              <w:t>12–20</w:t>
            </w:r>
          </w:p>
        </w:tc>
        <w:tc>
          <w:tcPr>
            <w:tcW w:type="dxa" w:w="1728"/>
          </w:tcPr>
          <w:p>
            <w:r>
              <w:rPr>
                <w:sz w:val="19"/>
              </w:rPr>
            </w:r>
            <w:r>
              <w:rPr>
                <w:sz w:val="19"/>
              </w:rPr>
              <w:t>MEDIUM</w:t>
            </w:r>
          </w:p>
        </w:tc>
      </w:tr>
      <w:tr>
        <w:tc>
          <w:tcPr>
            <w:tcW w:type="dxa" w:w="1728"/>
          </w:tcPr>
          <w:p>
            <w:r>
              <w:rPr>
                <w:sz w:val="19"/>
              </w:rPr>
            </w:r>
            <w:r>
              <w:rPr>
                <w:sz w:val="19"/>
              </w:rPr>
              <w:t>Vertex AI embeddings</w:t>
            </w:r>
          </w:p>
        </w:tc>
        <w:tc>
          <w:tcPr>
            <w:tcW w:type="dxa" w:w="1728"/>
          </w:tcPr>
          <w:p>
            <w:r>
              <w:rPr>
                <w:sz w:val="19"/>
              </w:rPr>
            </w:r>
            <w:r>
              <w:rPr>
                <w:sz w:val="19"/>
              </w:rPr>
              <w:t>Titan Text Embeddings V2</w:t>
            </w:r>
          </w:p>
        </w:tc>
        <w:tc>
          <w:tcPr>
            <w:tcW w:type="dxa" w:w="1728"/>
          </w:tcPr>
          <w:p>
            <w:r>
              <w:rPr>
                <w:sz w:val="19"/>
              </w:rPr>
            </w:r>
            <w:r>
              <w:rPr>
                <w:sz w:val="19"/>
              </w:rPr>
              <w:t>Yes</w:t>
            </w:r>
          </w:p>
        </w:tc>
        <w:tc>
          <w:tcPr>
            <w:tcW w:type="dxa" w:w="1728"/>
          </w:tcPr>
          <w:p>
            <w:r>
              <w:rPr>
                <w:sz w:val="19"/>
              </w:rPr>
            </w:r>
            <w:r>
              <w:rPr>
                <w:sz w:val="19"/>
              </w:rPr>
              <w:t>3–5 + full re-index</w:t>
            </w:r>
          </w:p>
        </w:tc>
        <w:tc>
          <w:tcPr>
            <w:tcW w:type="dxa" w:w="1728"/>
          </w:tcPr>
          <w:p>
            <w:r>
              <w:rPr>
                <w:sz w:val="19"/>
              </w:rPr>
            </w:r>
            <w:r>
              <w:rPr>
                <w:sz w:val="19"/>
              </w:rPr>
              <w:t>LOW</w:t>
            </w:r>
          </w:p>
        </w:tc>
      </w:tr>
      <w:tr>
        <w:tc>
          <w:tcPr>
            <w:tcW w:type="dxa" w:w="1728"/>
          </w:tcPr>
          <w:p>
            <w:r>
              <w:rPr>
                <w:sz w:val="19"/>
              </w:rPr>
            </w:r>
            <w:r>
              <w:rPr>
                <w:sz w:val="19"/>
              </w:rPr>
              <w:t>Firebase Auth (token verify)</w:t>
            </w:r>
          </w:p>
        </w:tc>
        <w:tc>
          <w:tcPr>
            <w:tcW w:type="dxa" w:w="1728"/>
          </w:tcPr>
          <w:p>
            <w:r>
              <w:rPr>
                <w:sz w:val="19"/>
              </w:rPr>
            </w:r>
            <w:r>
              <w:rPr>
                <w:sz w:val="19"/>
              </w:rPr>
              <w:t xml:space="preserve">Cognito user pools + </w:t>
            </w:r>
            <w:r>
              <w:rPr>
                <w:rFonts w:ascii="Consolas" w:hAnsi="Consolas"/>
                <w:sz w:val="19"/>
              </w:rPr>
              <w:t>aws-jwt-verify</w:t>
            </w:r>
          </w:p>
        </w:tc>
        <w:tc>
          <w:tcPr>
            <w:tcW w:type="dxa" w:w="1728"/>
          </w:tcPr>
          <w:p>
            <w:r>
              <w:rPr>
                <w:sz w:val="19"/>
              </w:rPr>
            </w:r>
            <w:r>
              <w:rPr>
                <w:sz w:val="19"/>
              </w:rPr>
              <w:t>Yes</w:t>
            </w:r>
          </w:p>
        </w:tc>
        <w:tc>
          <w:tcPr>
            <w:tcW w:type="dxa" w:w="1728"/>
          </w:tcPr>
          <w:p>
            <w:r>
              <w:rPr>
                <w:sz w:val="19"/>
              </w:rPr>
            </w:r>
            <w:r>
              <w:rPr>
                <w:sz w:val="19"/>
              </w:rPr>
              <w:t>10–15</w:t>
            </w:r>
          </w:p>
        </w:tc>
        <w:tc>
          <w:tcPr>
            <w:tcW w:type="dxa" w:w="1728"/>
          </w:tcPr>
          <w:p>
            <w:r>
              <w:rPr>
                <w:sz w:val="19"/>
              </w:rPr>
            </w:r>
            <w:r>
              <w:rPr>
                <w:b/>
                <w:sz w:val="19"/>
              </w:rPr>
              <w:t>HIGH</w:t>
            </w:r>
          </w:p>
        </w:tc>
      </w:tr>
      <w:tr>
        <w:tc>
          <w:tcPr>
            <w:tcW w:type="dxa" w:w="1728"/>
          </w:tcPr>
          <w:p>
            <w:r>
              <w:rPr>
                <w:sz w:val="19"/>
              </w:rPr>
            </w:r>
            <w:r>
              <w:rPr>
                <w:sz w:val="19"/>
              </w:rPr>
              <w:t>Firebase Cloud Messaging</w:t>
            </w:r>
          </w:p>
        </w:tc>
        <w:tc>
          <w:tcPr>
            <w:tcW w:type="dxa" w:w="1728"/>
          </w:tcPr>
          <w:p>
            <w:r>
              <w:rPr>
                <w:sz w:val="19"/>
              </w:rPr>
            </w:r>
            <w:r>
              <w:rPr>
                <w:sz w:val="19"/>
              </w:rPr>
              <w:t>Keep FCM (independent of auth) or SNS push</w:t>
            </w:r>
          </w:p>
        </w:tc>
        <w:tc>
          <w:tcPr>
            <w:tcW w:type="dxa" w:w="1728"/>
          </w:tcPr>
          <w:p>
            <w:r>
              <w:rPr>
                <w:sz w:val="19"/>
              </w:rPr>
            </w:r>
            <w:r>
              <w:rPr>
                <w:sz w:val="19"/>
              </w:rPr>
              <w:t>n/a</w:t>
            </w:r>
          </w:p>
        </w:tc>
        <w:tc>
          <w:tcPr>
            <w:tcW w:type="dxa" w:w="1728"/>
          </w:tcPr>
          <w:p>
            <w:r>
              <w:rPr>
                <w:sz w:val="19"/>
              </w:rPr>
            </w:r>
            <w:r>
              <w:rPr>
                <w:sz w:val="19"/>
              </w:rPr>
              <w:t>0–3</w:t>
            </w:r>
          </w:p>
        </w:tc>
        <w:tc>
          <w:tcPr>
            <w:tcW w:type="dxa" w:w="1728"/>
          </w:tcPr>
          <w:p>
            <w:r>
              <w:rPr>
                <w:sz w:val="19"/>
              </w:rPr>
            </w:r>
            <w:r>
              <w:rPr>
                <w:sz w:val="19"/>
              </w:rPr>
              <w:t>LOW</w:t>
            </w:r>
          </w:p>
        </w:tc>
      </w:tr>
      <w:tr>
        <w:tc>
          <w:tcPr>
            <w:tcW w:type="dxa" w:w="1728"/>
          </w:tcPr>
          <w:p>
            <w:r>
              <w:rPr>
                <w:sz w:val="19"/>
              </w:rPr>
            </w:r>
            <w:r>
              <w:rPr>
                <w:sz w:val="19"/>
              </w:rPr>
              <w:t>Cloud SQL for PostgreSQL 16</w:t>
            </w:r>
          </w:p>
        </w:tc>
        <w:tc>
          <w:tcPr>
            <w:tcW w:type="dxa" w:w="1728"/>
          </w:tcPr>
          <w:p>
            <w:r>
              <w:rPr>
                <w:sz w:val="19"/>
              </w:rPr>
            </w:r>
            <w:r>
              <w:rPr>
                <w:sz w:val="19"/>
              </w:rPr>
              <w:t xml:space="preserve">RDS for PostgreSQL, </w:t>
            </w:r>
            <w:r>
              <w:rPr>
                <w:rFonts w:ascii="Consolas" w:hAnsi="Consolas"/>
                <w:sz w:val="19"/>
              </w:rPr>
              <w:t>db.t4g.small</w:t>
            </w:r>
            <w:r>
              <w:rPr>
                <w:sz w:val="19"/>
              </w:rPr>
              <w:t xml:space="preserve"> Multi-AZ + gp3</w:t>
            </w:r>
          </w:p>
        </w:tc>
        <w:tc>
          <w:tcPr>
            <w:tcW w:type="dxa" w:w="1728"/>
          </w:tcPr>
          <w:p>
            <w:r>
              <w:rPr>
                <w:sz w:val="19"/>
              </w:rPr>
            </w:r>
            <w:r>
              <w:rPr>
                <w:sz w:val="19"/>
              </w:rPr>
              <w:t>Yes</w:t>
            </w:r>
          </w:p>
        </w:tc>
        <w:tc>
          <w:tcPr>
            <w:tcW w:type="dxa" w:w="1728"/>
          </w:tcPr>
          <w:p>
            <w:r>
              <w:rPr>
                <w:sz w:val="19"/>
              </w:rPr>
            </w:r>
            <w:r>
              <w:rPr>
                <w:sz w:val="19"/>
              </w:rPr>
              <w:t>4–6</w:t>
            </w:r>
          </w:p>
        </w:tc>
        <w:tc>
          <w:tcPr>
            <w:tcW w:type="dxa" w:w="1728"/>
          </w:tcPr>
          <w:p>
            <w:r>
              <w:rPr>
                <w:sz w:val="19"/>
              </w:rPr>
            </w:r>
            <w:r>
              <w:rPr>
                <w:sz w:val="19"/>
              </w:rPr>
              <w:t>LOW</w:t>
            </w:r>
          </w:p>
        </w:tc>
      </w:tr>
      <w:tr>
        <w:tc>
          <w:tcPr>
            <w:tcW w:type="dxa" w:w="1728"/>
          </w:tcPr>
          <w:p>
            <w:r>
              <w:rPr>
                <w:sz w:val="19"/>
              </w:rPr>
            </w:r>
            <w:r>
              <w:rPr>
                <w:sz w:val="19"/>
              </w:rPr>
              <w:t>Memorystore Redis</w:t>
            </w:r>
          </w:p>
        </w:tc>
        <w:tc>
          <w:tcPr>
            <w:tcW w:type="dxa" w:w="1728"/>
          </w:tcPr>
          <w:p>
            <w:r>
              <w:rPr>
                <w:sz w:val="19"/>
              </w:rPr>
            </w:r>
            <w:r>
              <w:rPr>
                <w:sz w:val="19"/>
              </w:rPr>
              <w:t xml:space="preserve">ElastiCache for Valkey, </w:t>
            </w:r>
            <w:r>
              <w:rPr>
                <w:rFonts w:ascii="Consolas" w:hAnsi="Consolas"/>
                <w:sz w:val="19"/>
              </w:rPr>
              <w:t>cache.t4g.micro</w:t>
            </w:r>
          </w:p>
        </w:tc>
        <w:tc>
          <w:tcPr>
            <w:tcW w:type="dxa" w:w="1728"/>
          </w:tcPr>
          <w:p>
            <w:r>
              <w:rPr>
                <w:sz w:val="19"/>
              </w:rPr>
            </w:r>
            <w:r>
              <w:rPr>
                <w:sz w:val="19"/>
              </w:rPr>
              <w:t>Yes</w:t>
            </w:r>
          </w:p>
        </w:tc>
        <w:tc>
          <w:tcPr>
            <w:tcW w:type="dxa" w:w="1728"/>
          </w:tcPr>
          <w:p>
            <w:r>
              <w:rPr>
                <w:sz w:val="19"/>
              </w:rPr>
            </w:r>
            <w:r>
              <w:rPr>
                <w:sz w:val="19"/>
              </w:rPr>
              <w:t>2–3</w:t>
            </w:r>
          </w:p>
        </w:tc>
        <w:tc>
          <w:tcPr>
            <w:tcW w:type="dxa" w:w="1728"/>
          </w:tcPr>
          <w:p>
            <w:r>
              <w:rPr>
                <w:sz w:val="19"/>
              </w:rPr>
            </w:r>
            <w:r>
              <w:rPr>
                <w:sz w:val="19"/>
              </w:rPr>
              <w:t>LOW</w:t>
            </w:r>
          </w:p>
        </w:tc>
      </w:tr>
      <w:tr>
        <w:tc>
          <w:tcPr>
            <w:tcW w:type="dxa" w:w="1728"/>
          </w:tcPr>
          <w:p>
            <w:r>
              <w:rPr>
                <w:sz w:val="19"/>
              </w:rPr>
            </w:r>
            <w:r>
              <w:rPr>
                <w:sz w:val="19"/>
              </w:rPr>
              <w:t>Cloud Run · api</w:t>
            </w:r>
          </w:p>
        </w:tc>
        <w:tc>
          <w:tcPr>
            <w:tcW w:type="dxa" w:w="1728"/>
          </w:tcPr>
          <w:p>
            <w:r>
              <w:rPr>
                <w:sz w:val="19"/>
              </w:rPr>
            </w:r>
            <w:r>
              <w:rPr>
                <w:sz w:val="19"/>
              </w:rPr>
              <w:t>ECS Fargate + ALB</w:t>
            </w:r>
          </w:p>
        </w:tc>
        <w:tc>
          <w:tcPr>
            <w:tcW w:type="dxa" w:w="1728"/>
          </w:tcPr>
          <w:p>
            <w:r>
              <w:rPr>
                <w:sz w:val="19"/>
              </w:rPr>
            </w:r>
            <w:r>
              <w:rPr>
                <w:sz w:val="19"/>
              </w:rPr>
              <w:t>Yes</w:t>
            </w:r>
          </w:p>
        </w:tc>
        <w:tc>
          <w:tcPr>
            <w:tcW w:type="dxa" w:w="1728"/>
          </w:tcPr>
          <w:p>
            <w:r>
              <w:rPr>
                <w:sz w:val="19"/>
              </w:rPr>
            </w:r>
            <w:r>
              <w:rPr>
                <w:sz w:val="19"/>
              </w:rPr>
              <w:t>6–10</w:t>
            </w:r>
          </w:p>
        </w:tc>
        <w:tc>
          <w:tcPr>
            <w:tcW w:type="dxa" w:w="1728"/>
          </w:tcPr>
          <w:p>
            <w:r>
              <w:rPr>
                <w:sz w:val="19"/>
              </w:rPr>
            </w:r>
            <w:r>
              <w:rPr>
                <w:sz w:val="19"/>
              </w:rPr>
              <w:t>MEDIUM</w:t>
            </w:r>
          </w:p>
        </w:tc>
      </w:tr>
      <w:tr>
        <w:tc>
          <w:tcPr>
            <w:tcW w:type="dxa" w:w="1728"/>
          </w:tcPr>
          <w:p>
            <w:r>
              <w:rPr>
                <w:sz w:val="19"/>
              </w:rPr>
            </w:r>
            <w:r>
              <w:rPr>
                <w:sz w:val="19"/>
              </w:rPr>
              <w:t>Cloud Run · worker</w:t>
            </w:r>
          </w:p>
        </w:tc>
        <w:tc>
          <w:tcPr>
            <w:tcW w:type="dxa" w:w="1728"/>
          </w:tcPr>
          <w:p>
            <w:r>
              <w:rPr>
                <w:sz w:val="19"/>
              </w:rPr>
            </w:r>
            <w:r>
              <w:rPr>
                <w:sz w:val="19"/>
              </w:rPr>
              <w:t>ECS Fargate consuming SQS</w:t>
            </w:r>
          </w:p>
        </w:tc>
        <w:tc>
          <w:tcPr>
            <w:tcW w:type="dxa" w:w="1728"/>
          </w:tcPr>
          <w:p>
            <w:r>
              <w:rPr>
                <w:sz w:val="19"/>
              </w:rPr>
            </w:r>
            <w:r>
              <w:rPr>
                <w:sz w:val="19"/>
              </w:rPr>
              <w:t>Yes</w:t>
            </w:r>
          </w:p>
        </w:tc>
        <w:tc>
          <w:tcPr>
            <w:tcW w:type="dxa" w:w="1728"/>
          </w:tcPr>
          <w:p>
            <w:r>
              <w:rPr>
                <w:sz w:val="19"/>
              </w:rPr>
            </w:r>
            <w:r>
              <w:rPr>
                <w:sz w:val="19"/>
              </w:rPr>
              <w:t>5–8</w:t>
            </w:r>
          </w:p>
        </w:tc>
        <w:tc>
          <w:tcPr>
            <w:tcW w:type="dxa" w:w="1728"/>
          </w:tcPr>
          <w:p>
            <w:r>
              <w:rPr>
                <w:sz w:val="19"/>
              </w:rPr>
            </w:r>
            <w:r>
              <w:rPr>
                <w:sz w:val="19"/>
              </w:rPr>
              <w:t>MEDIUM</w:t>
            </w:r>
          </w:p>
        </w:tc>
      </w:tr>
      <w:tr>
        <w:tc>
          <w:tcPr>
            <w:tcW w:type="dxa" w:w="1728"/>
          </w:tcPr>
          <w:p>
            <w:r>
              <w:rPr>
                <w:sz w:val="19"/>
              </w:rPr>
            </w:r>
            <w:r>
              <w:rPr>
                <w:sz w:val="19"/>
              </w:rPr>
              <w:t>Cloud Tasks (HTTP + OIDC)</w:t>
            </w:r>
          </w:p>
        </w:tc>
        <w:tc>
          <w:tcPr>
            <w:tcW w:type="dxa" w:w="1728"/>
          </w:tcPr>
          <w:p>
            <w:r>
              <w:rPr>
                <w:sz w:val="19"/>
              </w:rPr>
            </w:r>
            <w:r>
              <w:rPr>
                <w:sz w:val="19"/>
              </w:rPr>
              <w:t>SQS + worker consumer</w:t>
            </w:r>
          </w:p>
        </w:tc>
        <w:tc>
          <w:tcPr>
            <w:tcW w:type="dxa" w:w="1728"/>
          </w:tcPr>
          <w:p>
            <w:r>
              <w:rPr>
                <w:sz w:val="19"/>
              </w:rPr>
            </w:r>
            <w:r>
              <w:rPr>
                <w:sz w:val="19"/>
              </w:rPr>
              <w:t>Yes</w:t>
            </w:r>
          </w:p>
        </w:tc>
        <w:tc>
          <w:tcPr>
            <w:tcW w:type="dxa" w:w="1728"/>
          </w:tcPr>
          <w:p>
            <w:r>
              <w:rPr>
                <w:sz w:val="19"/>
              </w:rPr>
            </w:r>
            <w:r>
              <w:rPr>
                <w:sz w:val="19"/>
              </w:rPr>
              <w:t>4–8</w:t>
            </w:r>
          </w:p>
        </w:tc>
        <w:tc>
          <w:tcPr>
            <w:tcW w:type="dxa" w:w="1728"/>
          </w:tcPr>
          <w:p>
            <w:r>
              <w:rPr>
                <w:sz w:val="19"/>
              </w:rPr>
            </w:r>
            <w:r>
              <w:rPr>
                <w:b/>
                <w:sz w:val="19"/>
              </w:rPr>
              <w:t>HIGH</w:t>
            </w:r>
          </w:p>
        </w:tc>
      </w:tr>
      <w:tr>
        <w:tc>
          <w:tcPr>
            <w:tcW w:type="dxa" w:w="1728"/>
          </w:tcPr>
          <w:p>
            <w:r>
              <w:rPr>
                <w:sz w:val="19"/>
              </w:rPr>
            </w:r>
            <w:r>
              <w:rPr>
                <w:sz w:val="19"/>
              </w:rPr>
              <w:t>Secret Manager</w:t>
            </w:r>
          </w:p>
        </w:tc>
        <w:tc>
          <w:tcPr>
            <w:tcW w:type="dxa" w:w="1728"/>
          </w:tcPr>
          <w:p>
            <w:r>
              <w:rPr>
                <w:sz w:val="19"/>
              </w:rPr>
            </w:r>
            <w:r>
              <w:rPr>
                <w:sz w:val="19"/>
              </w:rPr>
              <w:t>Secrets Manager ($0.40/secret) + SSM for config</w:t>
            </w:r>
          </w:p>
        </w:tc>
        <w:tc>
          <w:tcPr>
            <w:tcW w:type="dxa" w:w="1728"/>
          </w:tcPr>
          <w:p>
            <w:r>
              <w:rPr>
                <w:sz w:val="19"/>
              </w:rPr>
            </w:r>
            <w:r>
              <w:rPr>
                <w:sz w:val="19"/>
              </w:rPr>
              <w:t>Yes</w:t>
            </w:r>
          </w:p>
        </w:tc>
        <w:tc>
          <w:tcPr>
            <w:tcW w:type="dxa" w:w="1728"/>
          </w:tcPr>
          <w:p>
            <w:r>
              <w:rPr>
                <w:sz w:val="19"/>
              </w:rPr>
            </w:r>
            <w:r>
              <w:rPr>
                <w:sz w:val="19"/>
              </w:rPr>
              <w:t>1–2</w:t>
            </w:r>
          </w:p>
        </w:tc>
        <w:tc>
          <w:tcPr>
            <w:tcW w:type="dxa" w:w="1728"/>
          </w:tcPr>
          <w:p>
            <w:r>
              <w:rPr>
                <w:sz w:val="19"/>
              </w:rPr>
            </w:r>
            <w:r>
              <w:rPr>
                <w:sz w:val="19"/>
              </w:rPr>
              <w:t>LOW</w:t>
            </w:r>
          </w:p>
        </w:tc>
      </w:tr>
      <w:tr>
        <w:tc>
          <w:tcPr>
            <w:tcW w:type="dxa" w:w="1728"/>
          </w:tcPr>
          <w:p>
            <w:r>
              <w:rPr>
                <w:sz w:val="19"/>
              </w:rPr>
            </w:r>
            <w:r>
              <w:rPr>
                <w:sz w:val="19"/>
              </w:rPr>
              <w:t>Cloud KMS (contact encryption)</w:t>
            </w:r>
          </w:p>
        </w:tc>
        <w:tc>
          <w:tcPr>
            <w:tcW w:type="dxa" w:w="1728"/>
          </w:tcPr>
          <w:p>
            <w:r>
              <w:rPr>
                <w:sz w:val="19"/>
              </w:rPr>
            </w:r>
            <w:r>
              <w:rPr>
                <w:sz w:val="19"/>
              </w:rPr>
              <w:t>KMS CMK + envelope encryption</w:t>
            </w:r>
          </w:p>
        </w:tc>
        <w:tc>
          <w:tcPr>
            <w:tcW w:type="dxa" w:w="1728"/>
          </w:tcPr>
          <w:p>
            <w:r>
              <w:rPr>
                <w:sz w:val="19"/>
              </w:rPr>
            </w:r>
            <w:r>
              <w:rPr>
                <w:sz w:val="19"/>
              </w:rPr>
              <w:t>Yes</w:t>
            </w:r>
          </w:p>
        </w:tc>
        <w:tc>
          <w:tcPr>
            <w:tcW w:type="dxa" w:w="1728"/>
          </w:tcPr>
          <w:p>
            <w:r>
              <w:rPr>
                <w:sz w:val="19"/>
              </w:rPr>
            </w:r>
            <w:r>
              <w:rPr>
                <w:sz w:val="19"/>
              </w:rPr>
              <w:t>3–5</w:t>
            </w:r>
          </w:p>
        </w:tc>
        <w:tc>
          <w:tcPr>
            <w:tcW w:type="dxa" w:w="1728"/>
          </w:tcPr>
          <w:p>
            <w:r>
              <w:rPr>
                <w:sz w:val="19"/>
              </w:rPr>
            </w:r>
            <w:r>
              <w:rPr>
                <w:sz w:val="19"/>
              </w:rPr>
              <w:t>MEDIUM</w:t>
            </w:r>
          </w:p>
        </w:tc>
      </w:tr>
      <w:tr>
        <w:tc>
          <w:tcPr>
            <w:tcW w:type="dxa" w:w="1728"/>
          </w:tcPr>
          <w:p>
            <w:r>
              <w:rPr>
                <w:sz w:val="19"/>
              </w:rPr>
            </w:r>
            <w:r>
              <w:rPr>
                <w:sz w:val="19"/>
              </w:rPr>
              <w:t>Cloud Build + Artifact Registry</w:t>
            </w:r>
          </w:p>
        </w:tc>
        <w:tc>
          <w:tcPr>
            <w:tcW w:type="dxa" w:w="1728"/>
          </w:tcPr>
          <w:p>
            <w:r>
              <w:rPr>
                <w:sz w:val="19"/>
              </w:rPr>
            </w:r>
            <w:r>
              <w:rPr>
                <w:sz w:val="19"/>
              </w:rPr>
              <w:t>CodeBuild + ECR, or GitHub Actions with OIDC</w:t>
            </w:r>
          </w:p>
        </w:tc>
        <w:tc>
          <w:tcPr>
            <w:tcW w:type="dxa" w:w="1728"/>
          </w:tcPr>
          <w:p>
            <w:r>
              <w:rPr>
                <w:sz w:val="19"/>
              </w:rPr>
            </w:r>
            <w:r>
              <w:rPr>
                <w:sz w:val="19"/>
              </w:rPr>
              <w:t>Yes</w:t>
            </w:r>
          </w:p>
        </w:tc>
        <w:tc>
          <w:tcPr>
            <w:tcW w:type="dxa" w:w="1728"/>
          </w:tcPr>
          <w:p>
            <w:r>
              <w:rPr>
                <w:sz w:val="19"/>
              </w:rPr>
            </w:r>
            <w:r>
              <w:rPr>
                <w:sz w:val="19"/>
              </w:rPr>
              <w:t>3–5</w:t>
            </w:r>
          </w:p>
        </w:tc>
        <w:tc>
          <w:tcPr>
            <w:tcW w:type="dxa" w:w="1728"/>
          </w:tcPr>
          <w:p>
            <w:r>
              <w:rPr>
                <w:sz w:val="19"/>
              </w:rPr>
            </w:r>
            <w:r>
              <w:rPr>
                <w:sz w:val="19"/>
              </w:rPr>
              <w:t>LOW</w:t>
            </w:r>
          </w:p>
        </w:tc>
      </w:tr>
      <w:tr>
        <w:tc>
          <w:tcPr>
            <w:tcW w:type="dxa" w:w="1728"/>
          </w:tcPr>
          <w:p>
            <w:r>
              <w:rPr>
                <w:sz w:val="19"/>
              </w:rPr>
            </w:r>
            <w:r>
              <w:rPr>
                <w:sz w:val="19"/>
              </w:rPr>
              <w:t>GCP DPA / asia-south1 residency</w:t>
            </w:r>
          </w:p>
        </w:tc>
        <w:tc>
          <w:tcPr>
            <w:tcW w:type="dxa" w:w="1728"/>
          </w:tcPr>
          <w:p>
            <w:r>
              <w:rPr>
                <w:sz w:val="19"/>
              </w:rPr>
            </w:r>
            <w:r>
              <w:rPr>
                <w:sz w:val="19"/>
              </w:rPr>
              <w:t>Region-scoped AWS resources + AWS DPA</w:t>
            </w:r>
          </w:p>
        </w:tc>
        <w:tc>
          <w:tcPr>
            <w:tcW w:type="dxa" w:w="1728"/>
          </w:tcPr>
          <w:p>
            <w:r>
              <w:rPr>
                <w:sz w:val="19"/>
              </w:rPr>
            </w:r>
            <w:r>
              <w:rPr>
                <w:sz w:val="19"/>
              </w:rPr>
              <w:t>ap-south-1</w:t>
            </w:r>
          </w:p>
        </w:tc>
        <w:tc>
          <w:tcPr>
            <w:tcW w:type="dxa" w:w="1728"/>
          </w:tcPr>
          <w:p>
            <w:r>
              <w:rPr>
                <w:sz w:val="19"/>
              </w:rPr>
            </w:r>
            <w:r>
              <w:rPr>
                <w:sz w:val="19"/>
              </w:rPr>
              <w:t>2–4 (legal)</w:t>
            </w:r>
          </w:p>
        </w:tc>
        <w:tc>
          <w:tcPr>
            <w:tcW w:type="dxa" w:w="1728"/>
          </w:tcPr>
          <w:p>
            <w:r>
              <w:rPr>
                <w:sz w:val="19"/>
              </w:rPr>
            </w:r>
            <w:r>
              <w:rPr>
                <w:sz w:val="19"/>
              </w:rPr>
              <w:t>MEDIUM</w:t>
            </w:r>
          </w:p>
        </w:tc>
      </w:tr>
    </w:tbl>
    <w:p/>
    <w:p>
      <w:pPr>
        <w:pStyle w:val="Heading2"/>
      </w:pPr>
      <w:r>
        <w:t>6. Phases and stories</w:t>
      </w:r>
    </w:p>
    <w:p>
      <w:pPr>
        <w:pStyle w:val="Heading3"/>
      </w:pPr>
      <w:r>
        <w:t>Phase 1 — Substrate (34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A1</w:t>
            </w:r>
          </w:p>
        </w:tc>
        <w:tc>
          <w:tcPr>
            <w:tcW w:type="dxa" w:w="2880"/>
          </w:tcPr>
          <w:p>
            <w:r>
              <w:rPr>
                <w:sz w:val="19"/>
              </w:rPr>
            </w:r>
            <w:r>
              <w:rPr>
                <w:sz w:val="19"/>
              </w:rPr>
              <w:t>AWS account baseline: IAM user/roles, MFA, budget alarm, credits confirmed</w:t>
            </w:r>
          </w:p>
        </w:tc>
        <w:tc>
          <w:tcPr>
            <w:tcW w:type="dxa" w:w="2880"/>
          </w:tcPr>
          <w:p>
            <w:r>
              <w:rPr>
                <w:sz w:val="19"/>
              </w:rPr>
            </w:r>
            <w:r>
              <w:rPr>
                <w:sz w:val="19"/>
              </w:rPr>
              <w:t>1</w:t>
            </w:r>
          </w:p>
        </w:tc>
      </w:tr>
      <w:tr>
        <w:tc>
          <w:tcPr>
            <w:tcW w:type="dxa" w:w="2880"/>
          </w:tcPr>
          <w:p>
            <w:r>
              <w:rPr>
                <w:sz w:val="19"/>
              </w:rPr>
            </w:r>
            <w:r>
              <w:rPr>
                <w:sz w:val="19"/>
              </w:rPr>
              <w:t>A2</w:t>
            </w:r>
          </w:p>
        </w:tc>
        <w:tc>
          <w:tcPr>
            <w:tcW w:type="dxa" w:w="2880"/>
          </w:tcPr>
          <w:p>
            <w:r>
              <w:rPr>
                <w:sz w:val="19"/>
              </w:rPr>
            </w:r>
            <w:r>
              <w:rPr>
                <w:sz w:val="19"/>
              </w:rPr>
              <w:t>Apply Terraform beta stack (VPC, RDS, ElastiCache, S3, KMS, ECR, ECS, ALB, SQS)</w:t>
            </w:r>
          </w:p>
        </w:tc>
        <w:tc>
          <w:tcPr>
            <w:tcW w:type="dxa" w:w="2880"/>
          </w:tcPr>
          <w:p>
            <w:r>
              <w:rPr>
                <w:sz w:val="19"/>
              </w:rPr>
            </w:r>
            <w:r>
              <w:rPr>
                <w:sz w:val="19"/>
              </w:rPr>
              <w:t>3</w:t>
            </w:r>
          </w:p>
        </w:tc>
      </w:tr>
      <w:tr>
        <w:tc>
          <w:tcPr>
            <w:tcW w:type="dxa" w:w="2880"/>
          </w:tcPr>
          <w:p>
            <w:r>
              <w:rPr>
                <w:sz w:val="19"/>
              </w:rPr>
            </w:r>
            <w:r>
              <w:rPr>
                <w:sz w:val="19"/>
              </w:rPr>
              <w:t>A3</w:t>
            </w:r>
          </w:p>
        </w:tc>
        <w:tc>
          <w:tcPr>
            <w:tcW w:type="dxa" w:w="2880"/>
          </w:tcPr>
          <w:p>
            <w:r>
              <w:rPr>
                <w:sz w:val="19"/>
              </w:rPr>
            </w:r>
            <w:r>
              <w:rPr>
                <w:sz w:val="19"/>
              </w:rPr>
              <w:t>Container builds + CI to ECR with GitHub Actions OIDC</w:t>
            </w:r>
          </w:p>
        </w:tc>
        <w:tc>
          <w:tcPr>
            <w:tcW w:type="dxa" w:w="2880"/>
          </w:tcPr>
          <w:p>
            <w:r>
              <w:rPr>
                <w:sz w:val="19"/>
              </w:rPr>
            </w:r>
            <w:r>
              <w:rPr>
                <w:sz w:val="19"/>
              </w:rPr>
              <w:t>4</w:t>
            </w:r>
          </w:p>
        </w:tc>
      </w:tr>
      <w:tr>
        <w:tc>
          <w:tcPr>
            <w:tcW w:type="dxa" w:w="2880"/>
          </w:tcPr>
          <w:p>
            <w:r>
              <w:rPr>
                <w:sz w:val="19"/>
              </w:rPr>
            </w:r>
            <w:r>
              <w:rPr>
                <w:sz w:val="19"/>
              </w:rPr>
              <w:t>A4</w:t>
            </w:r>
          </w:p>
        </w:tc>
        <w:tc>
          <w:tcPr>
            <w:tcW w:type="dxa" w:w="2880"/>
          </w:tcPr>
          <w:p>
            <w:r>
              <w:rPr>
                <w:sz w:val="19"/>
              </w:rPr>
            </w:r>
            <w:r>
              <w:rPr>
                <w:sz w:val="19"/>
              </w:rPr>
              <w:t>Prisma migrate + seed against RDS</w:t>
            </w:r>
          </w:p>
        </w:tc>
        <w:tc>
          <w:tcPr>
            <w:tcW w:type="dxa" w:w="2880"/>
          </w:tcPr>
          <w:p>
            <w:r>
              <w:rPr>
                <w:sz w:val="19"/>
              </w:rPr>
            </w:r>
            <w:r>
              <w:rPr>
                <w:sz w:val="19"/>
              </w:rPr>
              <w:t>2</w:t>
            </w:r>
          </w:p>
        </w:tc>
      </w:tr>
      <w:tr>
        <w:tc>
          <w:tcPr>
            <w:tcW w:type="dxa" w:w="2880"/>
          </w:tcPr>
          <w:p>
            <w:r>
              <w:rPr>
                <w:sz w:val="19"/>
              </w:rPr>
            </w:r>
            <w:r>
              <w:rPr>
                <w:sz w:val="19"/>
              </w:rPr>
              <w:t>A5</w:t>
            </w:r>
          </w:p>
        </w:tc>
        <w:tc>
          <w:tcPr>
            <w:tcW w:type="dxa" w:w="2880"/>
          </w:tcPr>
          <w:p>
            <w:r>
              <w:rPr>
                <w:sz w:val="19"/>
              </w:rPr>
            </w:r>
            <w:r>
              <w:rPr>
                <w:sz w:val="19"/>
              </w:rPr>
              <w:t xml:space="preserve">API on ECS Fargate behind ALB, </w:t>
            </w:r>
            <w:r>
              <w:rPr>
                <w:rFonts w:ascii="Consolas" w:hAnsi="Consolas"/>
                <w:sz w:val="19"/>
              </w:rPr>
              <w:t>/health</w:t>
            </w:r>
            <w:r>
              <w:rPr>
                <w:sz w:val="19"/>
              </w:rPr>
              <w:t xml:space="preserve"> green</w:t>
            </w:r>
          </w:p>
        </w:tc>
        <w:tc>
          <w:tcPr>
            <w:tcW w:type="dxa" w:w="2880"/>
          </w:tcPr>
          <w:p>
            <w:r>
              <w:rPr>
                <w:sz w:val="19"/>
              </w:rPr>
            </w:r>
            <w:r>
              <w:rPr>
                <w:sz w:val="19"/>
              </w:rPr>
              <w:t>5</w:t>
            </w:r>
          </w:p>
        </w:tc>
      </w:tr>
      <w:tr>
        <w:tc>
          <w:tcPr>
            <w:tcW w:type="dxa" w:w="2880"/>
          </w:tcPr>
          <w:p>
            <w:r>
              <w:rPr>
                <w:sz w:val="19"/>
              </w:rPr>
            </w:r>
            <w:r>
              <w:rPr>
                <w:sz w:val="19"/>
              </w:rPr>
              <w:t>A6</w:t>
            </w:r>
          </w:p>
        </w:tc>
        <w:tc>
          <w:tcPr>
            <w:tcW w:type="dxa" w:w="2880"/>
          </w:tcPr>
          <w:p>
            <w:r>
              <w:rPr>
                <w:sz w:val="19"/>
              </w:rPr>
            </w:r>
            <w:r>
              <w:rPr>
                <w:sz w:val="19"/>
              </w:rPr>
              <w:t xml:space="preserve">Worker on ECS + </w:t>
            </w:r>
            <w:r>
              <w:rPr>
                <w:b/>
                <w:sz w:val="19"/>
              </w:rPr>
              <w:t>SQS consumer</w:t>
            </w:r>
            <w:r>
              <w:rPr>
                <w:sz w:val="19"/>
              </w:rPr>
              <w:t xml:space="preserve"> replacing the OIDC HTTP endpoint</w:t>
            </w:r>
          </w:p>
        </w:tc>
        <w:tc>
          <w:tcPr>
            <w:tcW w:type="dxa" w:w="2880"/>
          </w:tcPr>
          <w:p>
            <w:r>
              <w:rPr>
                <w:sz w:val="19"/>
              </w:rPr>
            </w:r>
            <w:r>
              <w:rPr>
                <w:sz w:val="19"/>
              </w:rPr>
              <w:t>7</w:t>
            </w:r>
          </w:p>
        </w:tc>
      </w:tr>
      <w:tr>
        <w:tc>
          <w:tcPr>
            <w:tcW w:type="dxa" w:w="2880"/>
          </w:tcPr>
          <w:p>
            <w:r>
              <w:rPr>
                <w:sz w:val="19"/>
              </w:rPr>
            </w:r>
            <w:r>
              <w:rPr>
                <w:sz w:val="19"/>
              </w:rPr>
              <w:t>A7</w:t>
            </w:r>
          </w:p>
        </w:tc>
        <w:tc>
          <w:tcPr>
            <w:tcW w:type="dxa" w:w="2880"/>
          </w:tcPr>
          <w:p>
            <w:r>
              <w:rPr>
                <w:sz w:val="19"/>
              </w:rPr>
            </w:r>
            <w:r>
              <w:rPr>
                <w:sz w:val="19"/>
              </w:rPr>
              <w:t>Redis cutover (config only — ElastiCache is wire-compatible)</w:t>
            </w:r>
          </w:p>
        </w:tc>
        <w:tc>
          <w:tcPr>
            <w:tcW w:type="dxa" w:w="2880"/>
          </w:tcPr>
          <w:p>
            <w:r>
              <w:rPr>
                <w:sz w:val="19"/>
              </w:rPr>
            </w:r>
            <w:r>
              <w:rPr>
                <w:sz w:val="19"/>
              </w:rPr>
              <w:t>2</w:t>
            </w:r>
          </w:p>
        </w:tc>
      </w:tr>
      <w:tr>
        <w:tc>
          <w:tcPr>
            <w:tcW w:type="dxa" w:w="2880"/>
          </w:tcPr>
          <w:p>
            <w:r>
              <w:rPr>
                <w:sz w:val="19"/>
              </w:rPr>
            </w:r>
            <w:r>
              <w:rPr>
                <w:sz w:val="19"/>
              </w:rPr>
              <w:t>A8</w:t>
            </w:r>
          </w:p>
        </w:tc>
        <w:tc>
          <w:tcPr>
            <w:tcW w:type="dxa" w:w="2880"/>
          </w:tcPr>
          <w:p>
            <w:r>
              <w:rPr>
                <w:sz w:val="19"/>
              </w:rPr>
            </w:r>
            <w:r>
              <w:rPr>
                <w:sz w:val="19"/>
              </w:rPr>
              <w:t>Secrets Manager wiring + KMS envelope encryption for emergency contacts</w:t>
            </w:r>
          </w:p>
        </w:tc>
        <w:tc>
          <w:tcPr>
            <w:tcW w:type="dxa" w:w="2880"/>
          </w:tcPr>
          <w:p>
            <w:r>
              <w:rPr>
                <w:sz w:val="19"/>
              </w:rPr>
            </w:r>
            <w:r>
              <w:rPr>
                <w:sz w:val="19"/>
              </w:rPr>
              <w:t>4</w:t>
            </w:r>
          </w:p>
        </w:tc>
      </w:tr>
      <w:tr>
        <w:tc>
          <w:tcPr>
            <w:tcW w:type="dxa" w:w="2880"/>
          </w:tcPr>
          <w:p>
            <w:r>
              <w:rPr>
                <w:sz w:val="19"/>
              </w:rPr>
            </w:r>
            <w:r>
              <w:rPr>
                <w:sz w:val="19"/>
              </w:rPr>
              <w:t>A9</w:t>
            </w:r>
          </w:p>
        </w:tc>
        <w:tc>
          <w:tcPr>
            <w:tcW w:type="dxa" w:w="2880"/>
          </w:tcPr>
          <w:p>
            <w:r>
              <w:rPr>
                <w:sz w:val="19"/>
              </w:rPr>
            </w:r>
            <w:r>
              <w:rPr>
                <w:sz w:val="19"/>
              </w:rPr>
              <w:t>S3 uploads adapter with presigned PUT + SSE-KMS</w:t>
            </w:r>
          </w:p>
        </w:tc>
        <w:tc>
          <w:tcPr>
            <w:tcW w:type="dxa" w:w="2880"/>
          </w:tcPr>
          <w:p>
            <w:r>
              <w:rPr>
                <w:sz w:val="19"/>
              </w:rPr>
            </w:r>
            <w:r>
              <w:rPr>
                <w:sz w:val="19"/>
              </w:rPr>
              <w:t>4</w:t>
            </w:r>
          </w:p>
        </w:tc>
      </w:tr>
      <w:tr>
        <w:tc>
          <w:tcPr>
            <w:tcW w:type="dxa" w:w="2880"/>
          </w:tcPr>
          <w:p>
            <w:r>
              <w:rPr>
                <w:sz w:val="19"/>
              </w:rPr>
            </w:r>
            <w:r>
              <w:rPr>
                <w:sz w:val="19"/>
              </w:rPr>
              <w:t>A10</w:t>
            </w:r>
          </w:p>
        </w:tc>
        <w:tc>
          <w:tcPr>
            <w:tcW w:type="dxa" w:w="2880"/>
          </w:tcPr>
          <w:p>
            <w:r>
              <w:rPr>
                <w:sz w:val="19"/>
              </w:rPr>
            </w:r>
            <w:r>
              <w:rPr>
                <w:sz w:val="19"/>
              </w:rPr>
              <w:t>Observability: log groups, alarms, cost anomaly detection</w:t>
            </w:r>
          </w:p>
        </w:tc>
        <w:tc>
          <w:tcPr>
            <w:tcW w:type="dxa" w:w="2880"/>
          </w:tcPr>
          <w:p>
            <w:r>
              <w:rPr>
                <w:sz w:val="19"/>
              </w:rPr>
            </w:r>
            <w:r>
              <w:rPr>
                <w:sz w:val="19"/>
              </w:rPr>
              <w:t>2</w:t>
            </w:r>
          </w:p>
        </w:tc>
      </w:tr>
    </w:tbl>
    <w:p/>
    <w:p>
      <w:pPr>
        <w:pStyle w:val="Heading3"/>
      </w:pPr>
      <w:r>
        <w:t>Phase 2 — Embeddings (8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B1</w:t>
            </w:r>
          </w:p>
        </w:tc>
        <w:tc>
          <w:tcPr>
            <w:tcW w:type="dxa" w:w="2880"/>
          </w:tcPr>
          <w:p>
            <w:r>
              <w:rPr>
                <w:sz w:val="19"/>
              </w:rPr>
            </w:r>
            <w:r>
              <w:rPr>
                <w:sz w:val="19"/>
              </w:rPr>
              <w:t>Titan V2 embeddings behind the existing interface</w:t>
            </w:r>
          </w:p>
        </w:tc>
        <w:tc>
          <w:tcPr>
            <w:tcW w:type="dxa" w:w="2880"/>
          </w:tcPr>
          <w:p>
            <w:r>
              <w:rPr>
                <w:sz w:val="19"/>
              </w:rPr>
            </w:r>
            <w:r>
              <w:rPr>
                <w:sz w:val="19"/>
              </w:rPr>
              <w:t>3</w:t>
            </w:r>
          </w:p>
        </w:tc>
      </w:tr>
      <w:tr>
        <w:tc>
          <w:tcPr>
            <w:tcW w:type="dxa" w:w="2880"/>
          </w:tcPr>
          <w:p>
            <w:r>
              <w:rPr>
                <w:sz w:val="19"/>
              </w:rPr>
            </w:r>
            <w:r>
              <w:rPr>
                <w:sz w:val="19"/>
              </w:rPr>
              <w:t>B2</w:t>
            </w:r>
          </w:p>
        </w:tc>
        <w:tc>
          <w:tcPr>
            <w:tcW w:type="dxa" w:w="2880"/>
          </w:tcPr>
          <w:p>
            <w:r>
              <w:rPr>
                <w:sz w:val="19"/>
              </w:rPr>
            </w:r>
            <w:r>
              <w:rPr>
                <w:sz w:val="19"/>
              </w:rPr>
              <w:t>Full re-index of stored summaries (vectors are not comparable across models)</w:t>
            </w:r>
          </w:p>
        </w:tc>
        <w:tc>
          <w:tcPr>
            <w:tcW w:type="dxa" w:w="2880"/>
          </w:tcPr>
          <w:p>
            <w:r>
              <w:rPr>
                <w:sz w:val="19"/>
              </w:rPr>
            </w:r>
            <w:r>
              <w:rPr>
                <w:sz w:val="19"/>
              </w:rPr>
              <w:t>5</w:t>
            </w:r>
          </w:p>
        </w:tc>
      </w:tr>
    </w:tbl>
    <w:p/>
    <w:p>
      <w:pPr>
        <w:pStyle w:val="Heading3"/>
      </w:pPr>
      <w:r>
        <w:t>Phase 3 — Cutover (8 dev-days) · Track 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C1</w:t>
            </w:r>
          </w:p>
        </w:tc>
        <w:tc>
          <w:tcPr>
            <w:tcW w:type="dxa" w:w="2880"/>
          </w:tcPr>
          <w:p>
            <w:r>
              <w:rPr>
                <w:sz w:val="19"/>
              </w:rPr>
            </w:r>
            <w:r>
              <w:rPr>
                <w:sz w:val="19"/>
              </w:rPr>
              <w:t>DNS + domain cutover with dual-run and rollback</w:t>
            </w:r>
          </w:p>
        </w:tc>
        <w:tc>
          <w:tcPr>
            <w:tcW w:type="dxa" w:w="2880"/>
          </w:tcPr>
          <w:p>
            <w:r>
              <w:rPr>
                <w:sz w:val="19"/>
              </w:rPr>
            </w:r>
            <w:r>
              <w:rPr>
                <w:sz w:val="19"/>
              </w:rPr>
              <w:t>4</w:t>
            </w:r>
          </w:p>
        </w:tc>
      </w:tr>
      <w:tr>
        <w:tc>
          <w:tcPr>
            <w:tcW w:type="dxa" w:w="2880"/>
          </w:tcPr>
          <w:p>
            <w:r>
              <w:rPr>
                <w:sz w:val="19"/>
              </w:rPr>
            </w:r>
            <w:r>
              <w:rPr>
                <w:sz w:val="19"/>
              </w:rPr>
              <w:t>C2</w:t>
            </w:r>
          </w:p>
        </w:tc>
        <w:tc>
          <w:tcPr>
            <w:tcW w:type="dxa" w:w="2880"/>
          </w:tcPr>
          <w:p>
            <w:r>
              <w:rPr>
                <w:sz w:val="19"/>
              </w:rPr>
            </w:r>
            <w:r>
              <w:rPr>
                <w:sz w:val="19"/>
              </w:rPr>
              <w:t>Point the Android app at the new host; fix the dead URL and its test</w:t>
            </w:r>
          </w:p>
        </w:tc>
        <w:tc>
          <w:tcPr>
            <w:tcW w:type="dxa" w:w="2880"/>
          </w:tcPr>
          <w:p>
            <w:r>
              <w:rPr>
                <w:sz w:val="19"/>
              </w:rPr>
            </w:r>
            <w:r>
              <w:rPr>
                <w:sz w:val="19"/>
              </w:rPr>
              <w:t>1</w:t>
            </w:r>
          </w:p>
        </w:tc>
      </w:tr>
      <w:tr>
        <w:tc>
          <w:tcPr>
            <w:tcW w:type="dxa" w:w="2880"/>
          </w:tcPr>
          <w:p>
            <w:r>
              <w:rPr>
                <w:sz w:val="19"/>
              </w:rPr>
            </w:r>
            <w:r>
              <w:rPr>
                <w:sz w:val="19"/>
              </w:rPr>
              <w:t>C3</w:t>
            </w:r>
          </w:p>
        </w:tc>
        <w:tc>
          <w:tcPr>
            <w:tcW w:type="dxa" w:w="2880"/>
          </w:tcPr>
          <w:p>
            <w:r>
              <w:rPr>
                <w:sz w:val="19"/>
              </w:rPr>
            </w:r>
            <w:r>
              <w:rPr>
                <w:sz w:val="19"/>
              </w:rPr>
              <w:t>DPDP/DPA documentation update</w:t>
            </w:r>
          </w:p>
        </w:tc>
        <w:tc>
          <w:tcPr>
            <w:tcW w:type="dxa" w:w="2880"/>
          </w:tcPr>
          <w:p>
            <w:r>
              <w:rPr>
                <w:sz w:val="19"/>
              </w:rPr>
            </w:r>
            <w:r>
              <w:rPr>
                <w:sz w:val="19"/>
              </w:rPr>
              <w:t>2 (legal)</w:t>
            </w:r>
          </w:p>
        </w:tc>
      </w:tr>
      <w:tr>
        <w:tc>
          <w:tcPr>
            <w:tcW w:type="dxa" w:w="2880"/>
          </w:tcPr>
          <w:p>
            <w:r>
              <w:rPr>
                <w:sz w:val="19"/>
              </w:rPr>
            </w:r>
            <w:r>
              <w:rPr>
                <w:sz w:val="19"/>
              </w:rPr>
              <w:t>C4</w:t>
            </w:r>
          </w:p>
        </w:tc>
        <w:tc>
          <w:tcPr>
            <w:tcW w:type="dxa" w:w="2880"/>
          </w:tcPr>
          <w:p>
            <w:r>
              <w:rPr>
                <w:sz w:val="19"/>
              </w:rPr>
            </w:r>
            <w:r>
              <w:rPr>
                <w:sz w:val="19"/>
              </w:rPr>
              <w:t>Decommission GCP resources</w:t>
            </w:r>
          </w:p>
        </w:tc>
        <w:tc>
          <w:tcPr>
            <w:tcW w:type="dxa" w:w="2880"/>
          </w:tcPr>
          <w:p>
            <w:r>
              <w:rPr>
                <w:sz w:val="19"/>
              </w:rPr>
            </w:r>
            <w:r>
              <w:rPr>
                <w:sz w:val="19"/>
              </w:rPr>
              <w:t>2</w:t>
            </w:r>
          </w:p>
        </w:tc>
      </w:tr>
    </w:tbl>
    <w:p/>
    <w:p>
      <w:r>
        <w:rPr>
          <w:b/>
        </w:rPr>
        <w:t>Track A total: 50 dev-days → AWS-hosted, Play Store unblocked, no model decision made yet.</w:t>
      </w:r>
    </w:p>
    <w:p>
      <w:pPr>
        <w:pStyle w:val="Heading3"/>
      </w:pPr>
      <w:r>
        <w:t>Phase 4 — Inference (19 dev-days) · Track 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D1</w:t>
            </w:r>
          </w:p>
        </w:tc>
        <w:tc>
          <w:tcPr>
            <w:tcW w:type="dxa" w:w="2880"/>
          </w:tcPr>
          <w:p>
            <w:r>
              <w:rPr>
                <w:sz w:val="19"/>
              </w:rPr>
            </w:r>
            <w:r>
              <w:rPr>
                <w:sz w:val="19"/>
              </w:rPr>
              <w:t>Eval harness: replay the 3 safety-critical prompts across candidates</w:t>
            </w:r>
          </w:p>
        </w:tc>
        <w:tc>
          <w:tcPr>
            <w:tcW w:type="dxa" w:w="2880"/>
          </w:tcPr>
          <w:p>
            <w:r>
              <w:rPr>
                <w:sz w:val="19"/>
              </w:rPr>
            </w:r>
            <w:r>
              <w:rPr>
                <w:sz w:val="19"/>
              </w:rPr>
              <w:t>5</w:t>
            </w:r>
          </w:p>
        </w:tc>
      </w:tr>
      <w:tr>
        <w:tc>
          <w:tcPr>
            <w:tcW w:type="dxa" w:w="2880"/>
          </w:tcPr>
          <w:p>
            <w:r>
              <w:rPr>
                <w:sz w:val="19"/>
              </w:rPr>
            </w:r>
            <w:r>
              <w:rPr>
                <w:sz w:val="19"/>
              </w:rPr>
              <w:t>D2</w:t>
            </w:r>
          </w:p>
        </w:tc>
        <w:tc>
          <w:tcPr>
            <w:tcW w:type="dxa" w:w="2880"/>
          </w:tcPr>
          <w:p>
            <w:r>
              <w:rPr>
                <w:sz w:val="19"/>
              </w:rPr>
            </w:r>
            <w:r>
              <w:rPr>
                <w:sz w:val="19"/>
              </w:rPr>
              <w:t xml:space="preserve">Run comparison: current baseline (Llama 3.1 8B via OpenRouter) vs </w:t>
            </w:r>
            <w:r>
              <w:rPr>
                <w:b/>
                <w:sz w:val="19"/>
              </w:rPr>
              <w:t>DeepSeek V3.2</w:t>
            </w:r>
            <w:r>
              <w:rPr>
                <w:sz w:val="19"/>
              </w:rPr>
              <w:t xml:space="preserve"> vs DeepSeek V3.1, in-region on Bedrock</w:t>
            </w:r>
          </w:p>
        </w:tc>
        <w:tc>
          <w:tcPr>
            <w:tcW w:type="dxa" w:w="2880"/>
          </w:tcPr>
          <w:p>
            <w:r>
              <w:rPr>
                <w:sz w:val="19"/>
              </w:rPr>
            </w:r>
            <w:r>
              <w:rPr>
                <w:sz w:val="19"/>
              </w:rPr>
              <w:t>3</w:t>
            </w:r>
          </w:p>
        </w:tc>
      </w:tr>
      <w:tr>
        <w:tc>
          <w:tcPr>
            <w:tcW w:type="dxa" w:w="2880"/>
          </w:tcPr>
          <w:p>
            <w:r>
              <w:rPr>
                <w:sz w:val="19"/>
              </w:rPr>
            </w:r>
            <w:r>
              <w:rPr>
                <w:sz w:val="19"/>
              </w:rPr>
              <w:t>D3</w:t>
            </w:r>
          </w:p>
        </w:tc>
        <w:tc>
          <w:tcPr>
            <w:tcW w:type="dxa" w:w="2880"/>
          </w:tcPr>
          <w:p>
            <w:r>
              <w:rPr>
                <w:sz w:val="19"/>
              </w:rPr>
            </w:r>
            <w:r>
              <w:rPr>
                <w:b/>
                <w:sz w:val="19"/>
              </w:rPr>
              <w:t>Clinical acceptance decision</w:t>
            </w:r>
            <w:r>
              <w:rPr>
                <w:sz w:val="19"/>
              </w:rPr>
              <w:t xml:space="preserve"> — Shubhangi signs the quality bar</w:t>
            </w:r>
          </w:p>
        </w:tc>
        <w:tc>
          <w:tcPr>
            <w:tcW w:type="dxa" w:w="2880"/>
          </w:tcPr>
          <w:p>
            <w:r>
              <w:rPr>
                <w:sz w:val="19"/>
              </w:rPr>
            </w:r>
            <w:r>
              <w:rPr>
                <w:sz w:val="19"/>
              </w:rPr>
              <w:t>2 (external)</w:t>
            </w:r>
          </w:p>
        </w:tc>
      </w:tr>
      <w:tr>
        <w:tc>
          <w:tcPr>
            <w:tcW w:type="dxa" w:w="2880"/>
          </w:tcPr>
          <w:p>
            <w:r>
              <w:rPr>
                <w:sz w:val="19"/>
              </w:rPr>
            </w:r>
            <w:r>
              <w:rPr>
                <w:sz w:val="19"/>
              </w:rPr>
              <w:t>D4</w:t>
            </w:r>
          </w:p>
        </w:tc>
        <w:tc>
          <w:tcPr>
            <w:tcW w:type="dxa" w:w="2880"/>
          </w:tcPr>
          <w:p>
            <w:r>
              <w:rPr>
                <w:sz w:val="19"/>
              </w:rPr>
            </w:r>
            <w:r>
              <w:rPr>
                <w:sz w:val="19"/>
              </w:rPr>
              <w:t>Bedrock hardening: structured outputs (</w:t>
            </w:r>
            <w:r>
              <w:rPr>
                <w:rFonts w:ascii="Consolas" w:hAnsi="Consolas"/>
                <w:sz w:val="19"/>
              </w:rPr>
              <w:t>outputConfig.textFormat</w:t>
            </w:r>
            <w:r>
              <w:rPr>
                <w:sz w:val="19"/>
              </w:rPr>
              <w:t xml:space="preserve">), guardrails, </w:t>
            </w:r>
            <w:r>
              <w:rPr>
                <w:rFonts w:ascii="Consolas" w:hAnsi="Consolas"/>
                <w:sz w:val="19"/>
              </w:rPr>
              <w:t>data_retention_mode: none</w:t>
            </w:r>
            <w:r>
              <w:rPr>
                <w:sz w:val="19"/>
              </w:rPr>
              <w:t>, schema pre-warm at deploy</w:t>
            </w:r>
          </w:p>
        </w:tc>
        <w:tc>
          <w:tcPr>
            <w:tcW w:type="dxa" w:w="2880"/>
          </w:tcPr>
          <w:p>
            <w:r>
              <w:rPr>
                <w:sz w:val="19"/>
              </w:rPr>
            </w:r>
            <w:r>
              <w:rPr>
                <w:sz w:val="19"/>
              </w:rPr>
              <w:t>6</w:t>
            </w:r>
          </w:p>
        </w:tc>
      </w:tr>
      <w:tr>
        <w:tc>
          <w:tcPr>
            <w:tcW w:type="dxa" w:w="2880"/>
          </w:tcPr>
          <w:p>
            <w:r>
              <w:rPr>
                <w:sz w:val="19"/>
              </w:rPr>
            </w:r>
            <w:r>
              <w:rPr>
                <w:sz w:val="19"/>
              </w:rPr>
              <w:t>D5</w:t>
            </w:r>
          </w:p>
        </w:tc>
        <w:tc>
          <w:tcPr>
            <w:tcW w:type="dxa" w:w="2880"/>
          </w:tcPr>
          <w:p>
            <w:r>
              <w:rPr>
                <w:sz w:val="19"/>
              </w:rPr>
            </w:r>
            <w:r>
              <w:rPr>
                <w:sz w:val="19"/>
              </w:rPr>
              <w:t xml:space="preserve">Flip </w:t>
            </w:r>
            <w:r>
              <w:rPr>
                <w:rFonts w:ascii="Consolas" w:hAnsi="Consolas"/>
                <w:sz w:val="19"/>
              </w:rPr>
              <w:t>OKUVU_LLM_PROVIDER=bedrock</w:t>
            </w:r>
            <w:r>
              <w:rPr>
                <w:sz w:val="19"/>
              </w:rPr>
              <w:t xml:space="preserve"> in production</w:t>
            </w:r>
          </w:p>
        </w:tc>
        <w:tc>
          <w:tcPr>
            <w:tcW w:type="dxa" w:w="2880"/>
          </w:tcPr>
          <w:p>
            <w:r>
              <w:rPr>
                <w:sz w:val="19"/>
              </w:rPr>
            </w:r>
            <w:r>
              <w:rPr>
                <w:sz w:val="19"/>
              </w:rPr>
              <w:t>3</w:t>
            </w:r>
          </w:p>
        </w:tc>
      </w:tr>
    </w:tbl>
    <w:p/>
    <w:p>
      <w:pPr>
        <w:pStyle w:val="Heading3"/>
      </w:pPr>
      <w:r>
        <w:t>Phase 5 — Identity (19 dev-days) · Track B, only if you want off Google entirely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EDEDED"/>
          </w:tcPr>
          <w:p>
            <w:r>
              <w:rPr>
                <w:sz w:val="19"/>
              </w:rPr>
            </w:r>
            <w:r>
              <w:rPr>
                <w:b/>
              </w:rPr>
              <w:t>ID</w:t>
            </w:r>
          </w:p>
        </w:tc>
        <w:tc>
          <w:tcPr>
            <w:tcW w:type="dxa" w:w="2880"/>
            <w:shd w:val="clear" w:color="auto" w:fill="EDEDED"/>
          </w:tcPr>
          <w:p>
            <w:r>
              <w:rPr>
                <w:sz w:val="19"/>
              </w:rPr>
            </w:r>
            <w:r>
              <w:rPr>
                <w:b/>
              </w:rPr>
              <w:t>Story</w:t>
            </w:r>
          </w:p>
        </w:tc>
        <w:tc>
          <w:tcPr>
            <w:tcW w:type="dxa" w:w="2880"/>
            <w:shd w:val="clear" w:color="auto" w:fill="EDEDED"/>
          </w:tcPr>
          <w:p>
            <w:r>
              <w:rPr>
                <w:sz w:val="19"/>
              </w:rPr>
            </w:r>
            <w:r>
              <w:rPr>
                <w:b/>
              </w:rPr>
              <w:t>dd</w:t>
            </w:r>
          </w:p>
        </w:tc>
      </w:tr>
      <w:tr>
        <w:tc>
          <w:tcPr>
            <w:tcW w:type="dxa" w:w="2880"/>
          </w:tcPr>
          <w:p>
            <w:r>
              <w:rPr>
                <w:sz w:val="19"/>
              </w:rPr>
            </w:r>
            <w:r>
              <w:rPr>
                <w:sz w:val="19"/>
              </w:rPr>
              <w:t>E1</w:t>
            </w:r>
          </w:p>
        </w:tc>
        <w:tc>
          <w:tcPr>
            <w:tcW w:type="dxa" w:w="2880"/>
          </w:tcPr>
          <w:p>
            <w:r>
              <w:rPr>
                <w:sz w:val="19"/>
              </w:rPr>
            </w:r>
            <w:r>
              <w:rPr>
                <w:sz w:val="19"/>
              </w:rPr>
              <w:t>Cognito user pool + Terraform</w:t>
            </w:r>
          </w:p>
        </w:tc>
        <w:tc>
          <w:tcPr>
            <w:tcW w:type="dxa" w:w="2880"/>
          </w:tcPr>
          <w:p>
            <w:r>
              <w:rPr>
                <w:sz w:val="19"/>
              </w:rPr>
            </w:r>
            <w:r>
              <w:rPr>
                <w:sz w:val="19"/>
              </w:rPr>
              <w:t>5</w:t>
            </w:r>
          </w:p>
        </w:tc>
      </w:tr>
      <w:tr>
        <w:tc>
          <w:tcPr>
            <w:tcW w:type="dxa" w:w="2880"/>
          </w:tcPr>
          <w:p>
            <w:r>
              <w:rPr>
                <w:sz w:val="19"/>
              </w:rPr>
            </w:r>
            <w:r>
              <w:rPr>
                <w:sz w:val="19"/>
              </w:rPr>
              <w:t>E2</w:t>
            </w:r>
          </w:p>
        </w:tc>
        <w:tc>
          <w:tcPr>
            <w:tcW w:type="dxa" w:w="2880"/>
          </w:tcPr>
          <w:p>
            <w:r>
              <w:rPr>
                <w:sz w:val="19"/>
              </w:rPr>
            </w:r>
            <w:r>
              <w:rPr>
                <w:sz w:val="19"/>
              </w:rPr>
              <w:t>Flutter auth migration</w:t>
            </w:r>
          </w:p>
        </w:tc>
        <w:tc>
          <w:tcPr>
            <w:tcW w:type="dxa" w:w="2880"/>
          </w:tcPr>
          <w:p>
            <w:r>
              <w:rPr>
                <w:sz w:val="19"/>
              </w:rPr>
            </w:r>
            <w:r>
              <w:rPr>
                <w:sz w:val="19"/>
              </w:rPr>
              <w:t>6</w:t>
            </w:r>
          </w:p>
        </w:tc>
      </w:tr>
      <w:tr>
        <w:tc>
          <w:tcPr>
            <w:tcW w:type="dxa" w:w="2880"/>
          </w:tcPr>
          <w:p>
            <w:r>
              <w:rPr>
                <w:sz w:val="19"/>
              </w:rPr>
            </w:r>
            <w:r>
              <w:rPr>
                <w:sz w:val="19"/>
              </w:rPr>
              <w:t>E3</w:t>
            </w:r>
          </w:p>
        </w:tc>
        <w:tc>
          <w:tcPr>
            <w:tcW w:type="dxa" w:w="2880"/>
          </w:tcPr>
          <w:p>
            <w:r>
              <w:rPr>
                <w:sz w:val="19"/>
              </w:rPr>
            </w:r>
            <w:r>
              <w:rPr>
                <w:sz w:val="19"/>
              </w:rPr>
              <w:t>Portal NextAuth → Cognito</w:t>
            </w:r>
          </w:p>
        </w:tc>
        <w:tc>
          <w:tcPr>
            <w:tcW w:type="dxa" w:w="2880"/>
          </w:tcPr>
          <w:p>
            <w:r>
              <w:rPr>
                <w:sz w:val="19"/>
              </w:rPr>
            </w:r>
            <w:r>
              <w:rPr>
                <w:sz w:val="19"/>
              </w:rPr>
              <w:t>5</w:t>
            </w:r>
          </w:p>
        </w:tc>
      </w:tr>
      <w:tr>
        <w:tc>
          <w:tcPr>
            <w:tcW w:type="dxa" w:w="2880"/>
          </w:tcPr>
          <w:p>
            <w:r>
              <w:rPr>
                <w:sz w:val="19"/>
              </w:rPr>
            </w:r>
            <w:r>
              <w:rPr>
                <w:sz w:val="19"/>
              </w:rPr>
              <w:t>E4</w:t>
            </w:r>
          </w:p>
        </w:tc>
        <w:tc>
          <w:tcPr>
            <w:tcW w:type="dxa" w:w="2880"/>
          </w:tcPr>
          <w:p>
            <w:r>
              <w:rPr>
                <w:sz w:val="19"/>
              </w:rPr>
            </w:r>
            <w:r>
              <w:rPr>
                <w:sz w:val="19"/>
              </w:rPr>
              <w:t>Forced password reset: comms and flow</w:t>
            </w:r>
          </w:p>
        </w:tc>
        <w:tc>
          <w:tcPr>
            <w:tcW w:type="dxa" w:w="2880"/>
          </w:tcPr>
          <w:p>
            <w:r>
              <w:rPr>
                <w:sz w:val="19"/>
              </w:rPr>
            </w:r>
            <w:r>
              <w:rPr>
                <w:sz w:val="19"/>
              </w:rPr>
              <w:t>3</w:t>
            </w:r>
          </w:p>
        </w:tc>
      </w:tr>
    </w:tbl>
    <w:p/>
    <w:p>
      <w:r>
        <w:rPr>
          <w:b/>
        </w:rPr>
        <w:t>Full programme: 88 dev-days.</w:t>
      </w:r>
      <w:r>
        <w:t xml:space="preserve"> Track A alone: 50.</w:t>
      </w:r>
    </w:p>
    <w:p>
      <w:pPr>
        <w:pStyle w:val="Heading2"/>
      </w:pPr>
      <w:r>
        <w:t>7. Calendar and the critical path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Date</w:t>
            </w:r>
          </w:p>
        </w:tc>
        <w:tc>
          <w:tcPr>
            <w:tcW w:type="dxa" w:w="4320"/>
            <w:shd w:val="clear" w:color="auto" w:fill="EDEDED"/>
          </w:tcPr>
          <w:p>
            <w:r>
              <w:rPr>
                <w:sz w:val="19"/>
              </w:rPr>
            </w:r>
            <w:r>
              <w:rPr>
                <w:b/>
              </w:rPr>
              <w:t>Milestone</w:t>
            </w:r>
          </w:p>
        </w:tc>
      </w:tr>
      <w:tr>
        <w:tc>
          <w:tcPr>
            <w:tcW w:type="dxa" w:w="4320"/>
          </w:tcPr>
          <w:p>
            <w:r>
              <w:rPr>
                <w:sz w:val="19"/>
              </w:rPr>
            </w:r>
            <w:r>
              <w:rPr>
                <w:b/>
                <w:sz w:val="19"/>
              </w:rPr>
              <w:t>28 Oct</w:t>
            </w:r>
          </w:p>
        </w:tc>
        <w:tc>
          <w:tcPr>
            <w:tcW w:type="dxa" w:w="4320"/>
          </w:tcPr>
          <w:p>
            <w:r>
              <w:rPr>
                <w:sz w:val="19"/>
              </w:rPr>
            </w:r>
            <w:r>
              <w:rPr>
                <w:sz w:val="19"/>
              </w:rPr>
              <w:t>I have AWS credentials → Phase 1 begins. Terraform applies against your account</w:t>
            </w:r>
          </w:p>
        </w:tc>
      </w:tr>
      <w:tr>
        <w:tc>
          <w:tcPr>
            <w:tcW w:type="dxa" w:w="4320"/>
          </w:tcPr>
          <w:p>
            <w:r>
              <w:rPr>
                <w:sz w:val="19"/>
              </w:rPr>
            </w:r>
            <w:r>
              <w:rPr>
                <w:b/>
                <w:sz w:val="19"/>
              </w:rPr>
              <w:t>~4 Nov</w:t>
            </w:r>
          </w:p>
        </w:tc>
        <w:tc>
          <w:tcPr>
            <w:tcW w:type="dxa" w:w="4320"/>
          </w:tcPr>
          <w:p>
            <w:r>
              <w:rPr>
                <w:sz w:val="19"/>
              </w:rPr>
            </w:r>
            <w:r>
              <w:rPr>
                <w:sz w:val="19"/>
              </w:rPr>
              <w:t xml:space="preserve">RDS, ECS API and worker live; </w:t>
            </w:r>
            <w:r>
              <w:rPr>
                <w:rFonts w:ascii="Consolas" w:hAnsi="Consolas"/>
                <w:sz w:val="19"/>
              </w:rPr>
              <w:t>/health</w:t>
            </w:r>
            <w:r>
              <w:rPr>
                <w:sz w:val="19"/>
              </w:rPr>
              <w:t xml:space="preserve"> returns 200 on an AWS hostname</w:t>
            </w:r>
          </w:p>
        </w:tc>
      </w:tr>
      <w:tr>
        <w:tc>
          <w:tcPr>
            <w:tcW w:type="dxa" w:w="4320"/>
          </w:tcPr>
          <w:p>
            <w:r>
              <w:rPr>
                <w:sz w:val="19"/>
              </w:rPr>
            </w:r>
            <w:r>
              <w:rPr>
                <w:b/>
                <w:sz w:val="19"/>
              </w:rPr>
              <w:t>~7 Nov</w:t>
            </w:r>
          </w:p>
        </w:tc>
        <w:tc>
          <w:tcPr>
            <w:tcW w:type="dxa" w:w="4320"/>
          </w:tcPr>
          <w:p>
            <w:r>
              <w:rPr>
                <w:sz w:val="19"/>
              </w:rPr>
            </w:r>
            <w:r>
              <w:rPr>
                <w:b/>
                <w:sz w:val="19"/>
              </w:rPr>
              <w:t>Staging URL live on AWS.</w:t>
            </w:r>
            <w:r>
              <w:rPr>
                <w:sz w:val="19"/>
              </w:rPr>
              <w:t xml:space="preserve"> Android app can point at it. </w:t>
            </w:r>
            <w:r>
              <w:rPr>
                <w:b/>
                <w:sz w:val="19"/>
              </w:rPr>
              <w:t>Closed-test clock can start</w:t>
            </w:r>
          </w:p>
        </w:tc>
      </w:tr>
      <w:tr>
        <w:tc>
          <w:tcPr>
            <w:tcW w:type="dxa" w:w="4320"/>
          </w:tcPr>
          <w:p>
            <w:r>
              <w:rPr>
                <w:sz w:val="19"/>
              </w:rPr>
            </w:r>
            <w:r>
              <w:rPr>
                <w:b/>
                <w:sz w:val="19"/>
              </w:rPr>
              <w:t>~14 Nov</w:t>
            </w:r>
          </w:p>
        </w:tc>
        <w:tc>
          <w:tcPr>
            <w:tcW w:type="dxa" w:w="4320"/>
          </w:tcPr>
          <w:p>
            <w:r>
              <w:rPr>
                <w:sz w:val="19"/>
              </w:rPr>
            </w:r>
            <w:r>
              <w:rPr>
                <w:sz w:val="19"/>
              </w:rPr>
              <w:t>Track A complete: S3, KMS, secrets, observability, worker consuming SQS</w:t>
            </w:r>
          </w:p>
        </w:tc>
      </w:tr>
      <w:tr>
        <w:tc>
          <w:tcPr>
            <w:tcW w:type="dxa" w:w="4320"/>
          </w:tcPr>
          <w:p>
            <w:r>
              <w:rPr>
                <w:sz w:val="19"/>
              </w:rPr>
            </w:r>
            <w:r>
              <w:rPr>
                <w:b/>
                <w:sz w:val="19"/>
              </w:rPr>
              <w:t>~21 Nov</w:t>
            </w:r>
          </w:p>
        </w:tc>
        <w:tc>
          <w:tcPr>
            <w:tcW w:type="dxa" w:w="4320"/>
          </w:tcPr>
          <w:p>
            <w:r>
              <w:rPr>
                <w:sz w:val="19"/>
              </w:rPr>
            </w:r>
            <w:r>
              <w:rPr>
                <w:sz w:val="19"/>
              </w:rPr>
              <w:t>Titan embeddings shipped, re-index complete</w:t>
            </w:r>
          </w:p>
        </w:tc>
      </w:tr>
      <w:tr>
        <w:tc>
          <w:tcPr>
            <w:tcW w:type="dxa" w:w="4320"/>
          </w:tcPr>
          <w:p>
            <w:r>
              <w:rPr>
                <w:sz w:val="19"/>
              </w:rPr>
            </w:r>
            <w:r>
              <w:rPr>
                <w:b/>
                <w:sz w:val="19"/>
              </w:rPr>
              <w:t>~24 Nov earliest</w:t>
            </w:r>
          </w:p>
        </w:tc>
        <w:tc>
          <w:tcPr>
            <w:tcW w:type="dxa" w:w="4320"/>
          </w:tcPr>
          <w:p>
            <w:r>
              <w:rPr>
                <w:sz w:val="19"/>
              </w:rPr>
            </w:r>
            <w:r>
              <w:rPr>
                <w:sz w:val="19"/>
              </w:rPr>
              <w:t>Play Console production access (see §10 — this is their clock, not ours)</w:t>
            </w:r>
          </w:p>
        </w:tc>
      </w:tr>
      <w:tr>
        <w:tc>
          <w:tcPr>
            <w:tcW w:type="dxa" w:w="4320"/>
          </w:tcPr>
          <w:p>
            <w:r>
              <w:rPr>
                <w:sz w:val="19"/>
              </w:rPr>
            </w:r>
            <w:r>
              <w:rPr>
                <w:b/>
                <w:sz w:val="19"/>
              </w:rPr>
              <w:t>~5 Dec</w:t>
            </w:r>
          </w:p>
        </w:tc>
        <w:tc>
          <w:tcPr>
            <w:tcW w:type="dxa" w:w="4320"/>
          </w:tcPr>
          <w:p>
            <w:r>
              <w:rPr>
                <w:sz w:val="19"/>
              </w:rPr>
            </w:r>
            <w:r>
              <w:rPr>
                <w:sz w:val="19"/>
              </w:rPr>
              <w:t>Track B decision made with evidence; Bedrock flip if it passes</w:t>
            </w:r>
          </w:p>
        </w:tc>
      </w:tr>
      <w:tr>
        <w:tc>
          <w:tcPr>
            <w:tcW w:type="dxa" w:w="4320"/>
          </w:tcPr>
          <w:p>
            <w:r>
              <w:rPr>
                <w:sz w:val="19"/>
              </w:rPr>
            </w:r>
            <w:r>
              <w:rPr>
                <w:b/>
                <w:sz w:val="19"/>
              </w:rPr>
              <w:t>~mid Dec</w:t>
            </w:r>
          </w:p>
        </w:tc>
        <w:tc>
          <w:tcPr>
            <w:tcW w:type="dxa" w:w="4320"/>
          </w:tcPr>
          <w:p>
            <w:r>
              <w:rPr>
                <w:sz w:val="19"/>
              </w:rPr>
            </w:r>
            <w:r>
              <w:rPr>
                <w:sz w:val="19"/>
              </w:rPr>
              <w:t>GCP decommissioned, if identity migrated too</w:t>
            </w:r>
          </w:p>
        </w:tc>
      </w:tr>
    </w:tbl>
    <w:p/>
    <w:p>
      <w:r>
        <w:rPr>
          <w:b/>
        </w:rPr>
        <w:t>The critical path is not engineering. It is Google's 14-day testing clock and your AWS credentials.</w:t>
      </w:r>
      <w:r>
        <w:t xml:space="preserve"> One of those I can compress. The other I cannot.</w:t>
      </w:r>
    </w:p>
    <w:p>
      <w:pPr>
        <w:pStyle w:val="Heading2"/>
      </w:pPr>
      <w:r>
        <w:t>8. Cost on AWS (ap-south-1, verified pricing)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DEDED"/>
          </w:tcPr>
          <w:p>
            <w:r>
              <w:rPr>
                <w:sz w:val="19"/>
              </w:rPr>
            </w:r>
            <w:r>
              <w:rPr>
                <w:b/>
              </w:rPr>
              <w:t>Item</w:t>
            </w:r>
          </w:p>
        </w:tc>
        <w:tc>
          <w:tcPr>
            <w:tcW w:type="dxa" w:w="4320"/>
            <w:shd w:val="clear" w:color="auto" w:fill="EDEDED"/>
          </w:tcPr>
          <w:p>
            <w:r>
              <w:rPr>
                <w:sz w:val="19"/>
              </w:rPr>
            </w:r>
            <w:r>
              <w:rPr>
                <w:b/>
              </w:rPr>
              <w:t>Monthly</w:t>
            </w:r>
          </w:p>
        </w:tc>
      </w:tr>
      <w:tr>
        <w:tc>
          <w:tcPr>
            <w:tcW w:type="dxa" w:w="4320"/>
          </w:tcPr>
          <w:p>
            <w:r>
              <w:rPr>
                <w:sz w:val="19"/>
              </w:rPr>
            </w:r>
            <w:r>
              <w:rPr>
                <w:sz w:val="19"/>
              </w:rPr>
              <w:t xml:space="preserve">RDS PostgreSQL </w:t>
            </w:r>
            <w:r>
              <w:rPr>
                <w:rFonts w:ascii="Consolas" w:hAnsi="Consolas"/>
                <w:sz w:val="19"/>
              </w:rPr>
              <w:t>db.t4g.small</w:t>
            </w:r>
            <w:r>
              <w:rPr>
                <w:sz w:val="19"/>
              </w:rPr>
              <w:t xml:space="preserve"> Multi-AZ, 100 GB gp3</w:t>
            </w:r>
          </w:p>
        </w:tc>
        <w:tc>
          <w:tcPr>
            <w:tcW w:type="dxa" w:w="4320"/>
          </w:tcPr>
          <w:p>
            <w:r>
              <w:rPr>
                <w:sz w:val="19"/>
              </w:rPr>
            </w:r>
            <w:r>
              <w:rPr>
                <w:sz w:val="19"/>
              </w:rPr>
              <w:t>~$88</w:t>
            </w:r>
          </w:p>
        </w:tc>
      </w:tr>
      <w:tr>
        <w:tc>
          <w:tcPr>
            <w:tcW w:type="dxa" w:w="4320"/>
          </w:tcPr>
          <w:p>
            <w:r>
              <w:rPr>
                <w:sz w:val="19"/>
              </w:rPr>
            </w:r>
            <w:r>
              <w:rPr>
                <w:sz w:val="19"/>
              </w:rPr>
              <w:t xml:space="preserve">ElastiCache Valkey </w:t>
            </w:r>
            <w:r>
              <w:rPr>
                <w:rFonts w:ascii="Consolas" w:hAnsi="Consolas"/>
                <w:sz w:val="19"/>
              </w:rPr>
              <w:t>cache.t4g.micro</w:t>
            </w:r>
            <w:r>
              <w:rPr>
                <w:sz w:val="19"/>
              </w:rPr>
              <w:t xml:space="preserve"> × 2</w:t>
            </w:r>
          </w:p>
        </w:tc>
        <w:tc>
          <w:tcPr>
            <w:tcW w:type="dxa" w:w="4320"/>
          </w:tcPr>
          <w:p>
            <w:r>
              <w:rPr>
                <w:sz w:val="19"/>
              </w:rPr>
            </w:r>
            <w:r>
              <w:rPr>
                <w:sz w:val="19"/>
              </w:rPr>
              <w:t>~$12–23</w:t>
            </w:r>
          </w:p>
        </w:tc>
      </w:tr>
      <w:tr>
        <w:tc>
          <w:tcPr>
            <w:tcW w:type="dxa" w:w="4320"/>
          </w:tcPr>
          <w:p>
            <w:r>
              <w:rPr>
                <w:sz w:val="19"/>
              </w:rPr>
            </w:r>
            <w:r>
              <w:rPr>
                <w:sz w:val="19"/>
              </w:rPr>
              <w:t>ECS Fargate, 2 services + 2 ALBs</w:t>
            </w:r>
          </w:p>
        </w:tc>
        <w:tc>
          <w:tcPr>
            <w:tcW w:type="dxa" w:w="4320"/>
          </w:tcPr>
          <w:p>
            <w:r>
              <w:rPr>
                <w:sz w:val="19"/>
              </w:rPr>
            </w:r>
            <w:r>
              <w:rPr>
                <w:sz w:val="19"/>
              </w:rPr>
              <w:t>~$56–73</w:t>
            </w:r>
          </w:p>
        </w:tc>
      </w:tr>
      <w:tr>
        <w:tc>
          <w:tcPr>
            <w:tcW w:type="dxa" w:w="4320"/>
          </w:tcPr>
          <w:p>
            <w:r>
              <w:rPr>
                <w:sz w:val="19"/>
              </w:rPr>
            </w:r>
            <w:r>
              <w:rPr>
                <w:sz w:val="19"/>
              </w:rPr>
              <w:t>Secrets Manager, ~10 secrets</w:t>
            </w:r>
          </w:p>
        </w:tc>
        <w:tc>
          <w:tcPr>
            <w:tcW w:type="dxa" w:w="4320"/>
          </w:tcPr>
          <w:p>
            <w:r>
              <w:rPr>
                <w:sz w:val="19"/>
              </w:rPr>
            </w:r>
            <w:r>
              <w:rPr>
                <w:sz w:val="19"/>
              </w:rPr>
              <w:t>~$4</w:t>
            </w:r>
          </w:p>
        </w:tc>
      </w:tr>
      <w:tr>
        <w:tc>
          <w:tcPr>
            <w:tcW w:type="dxa" w:w="4320"/>
          </w:tcPr>
          <w:p>
            <w:r>
              <w:rPr>
                <w:sz w:val="19"/>
              </w:rPr>
            </w:r>
            <w:r>
              <w:rPr>
                <w:sz w:val="19"/>
              </w:rPr>
              <w:t>KMS CMK × 3</w:t>
            </w:r>
          </w:p>
        </w:tc>
        <w:tc>
          <w:tcPr>
            <w:tcW w:type="dxa" w:w="4320"/>
          </w:tcPr>
          <w:p>
            <w:r>
              <w:rPr>
                <w:sz w:val="19"/>
              </w:rPr>
            </w:r>
            <w:r>
              <w:rPr>
                <w:sz w:val="19"/>
              </w:rPr>
              <w:t>~$3</w:t>
            </w:r>
          </w:p>
        </w:tc>
      </w:tr>
      <w:tr>
        <w:tc>
          <w:tcPr>
            <w:tcW w:type="dxa" w:w="4320"/>
          </w:tcPr>
          <w:p>
            <w:r>
              <w:rPr>
                <w:sz w:val="19"/>
              </w:rPr>
            </w:r>
            <w:r>
              <w:rPr>
                <w:sz w:val="19"/>
              </w:rPr>
              <w:t>S3 + CloudWatch + SQS</w:t>
            </w:r>
          </w:p>
        </w:tc>
        <w:tc>
          <w:tcPr>
            <w:tcW w:type="dxa" w:w="4320"/>
          </w:tcPr>
          <w:p>
            <w:r>
              <w:rPr>
                <w:sz w:val="19"/>
              </w:rPr>
            </w:r>
            <w:r>
              <w:rPr>
                <w:sz w:val="19"/>
              </w:rPr>
              <w:t>~$10–20</w:t>
            </w:r>
          </w:p>
        </w:tc>
      </w:tr>
      <w:tr>
        <w:tc>
          <w:tcPr>
            <w:tcW w:type="dxa" w:w="4320"/>
          </w:tcPr>
          <w:p>
            <w:r>
              <w:rPr>
                <w:sz w:val="19"/>
              </w:rPr>
            </w:r>
            <w:r>
              <w:rPr>
                <w:b/>
                <w:sz w:val="19"/>
              </w:rPr>
              <w:t>Infrastructure subtotal</w:t>
            </w:r>
          </w:p>
        </w:tc>
        <w:tc>
          <w:tcPr>
            <w:tcW w:type="dxa" w:w="4320"/>
          </w:tcPr>
          <w:p>
            <w:r>
              <w:rPr>
                <w:sz w:val="19"/>
              </w:rPr>
            </w:r>
            <w:r>
              <w:rPr>
                <w:b/>
                <w:sz w:val="19"/>
              </w:rPr>
              <w:t>~$175–210/month</w:t>
            </w:r>
          </w:p>
        </w:tc>
      </w:tr>
      <w:tr>
        <w:tc>
          <w:tcPr>
            <w:tcW w:type="dxa" w:w="4320"/>
          </w:tcPr>
          <w:p>
            <w:r>
              <w:rPr>
                <w:sz w:val="19"/>
              </w:rPr>
            </w:r>
            <w:r>
              <w:rPr>
                <w:sz w:val="19"/>
              </w:rPr>
              <w:t xml:space="preserve">Inference — </w:t>
            </w:r>
            <w:r>
              <w:rPr>
                <w:b/>
                <w:sz w:val="19"/>
              </w:rPr>
              <w:t>DeepSeek V3.2 in ap-south-1</w:t>
            </w:r>
            <w:r>
              <w:rPr>
                <w:sz w:val="19"/>
              </w:rPr>
              <w:t>, 10k turns/month</w:t>
            </w:r>
          </w:p>
        </w:tc>
        <w:tc>
          <w:tcPr>
            <w:tcW w:type="dxa" w:w="4320"/>
          </w:tcPr>
          <w:p>
            <w:r>
              <w:rPr>
                <w:sz w:val="19"/>
              </w:rPr>
            </w:r>
            <w:r>
              <w:rPr>
                <w:b/>
                <w:sz w:val="19"/>
              </w:rPr>
              <w:t>~$85</w:t>
            </w:r>
          </w:p>
        </w:tc>
      </w:tr>
      <w:tr>
        <w:tc>
          <w:tcPr>
            <w:tcW w:type="dxa" w:w="4320"/>
          </w:tcPr>
          <w:p>
            <w:r>
              <w:rPr>
                <w:sz w:val="19"/>
              </w:rPr>
            </w:r>
            <w:r>
              <w:rPr>
                <w:sz w:val="19"/>
              </w:rPr>
              <w:t>Inference — same, at 50k turns/month</w:t>
            </w:r>
          </w:p>
        </w:tc>
        <w:tc>
          <w:tcPr>
            <w:tcW w:type="dxa" w:w="4320"/>
          </w:tcPr>
          <w:p>
            <w:r>
              <w:rPr>
                <w:sz w:val="19"/>
              </w:rPr>
            </w:r>
            <w:r>
              <w:rPr>
                <w:sz w:val="19"/>
              </w:rPr>
              <w:t>~$424</w:t>
            </w:r>
          </w:p>
        </w:tc>
      </w:tr>
    </w:tbl>
    <w:p/>
    <w:p>
      <w:r>
        <w:rPr>
          <w:b/>
        </w:rPr>
        <w:t>Credit position, corrected.</w:t>
      </w:r>
      <w:r>
        <w:t xml:space="preserve"> DeepSeek on Bedrock is billed as </w:t>
      </w:r>
      <w:r>
        <w:rPr>
          <w:rFonts w:ascii="Consolas" w:hAnsi="Consolas"/>
          <w:sz w:val="19"/>
        </w:rPr>
        <w:t>serviceCode: AmazonBedrock</w:t>
      </w:r>
      <w:r>
        <w:t xml:space="preserve"> — an ordinary AWS charge, not a Marketplace charge — so promotional credit applies to the model line as well as the infrastructure. At beta volumes the whole stack (infra + model) runs </w:t>
      </w:r>
      <w:r>
        <w:rPr>
          <w:b/>
        </w:rPr>
        <w:t>under $300/month</w:t>
      </w:r>
      <w:r>
        <w:t>, so $5,000 of credits covers roughly 17 months at 10k turns/month.</w:t>
      </w:r>
    </w:p>
    <w:p>
      <w:r>
        <w:t xml:space="preserve">What was previously described here as "the single most important commercial fact" — that credits could not cover the model — is no longer true under DeepSeek. The one caveat that remains is administrative: confirm the credit's </w:t>
      </w:r>
      <w:r>
        <w:rPr>
          <w:b/>
        </w:rPr>
        <w:t>Applicable products</w:t>
      </w:r>
      <w:r>
        <w:t xml:space="preserve"> on the Billing console Credits page, because a credit can be narrowed by the programme that issued it. See §3.1.</w:t>
      </w:r>
    </w:p>
    <w:p>
      <w:pPr>
        <w:pStyle w:val="Heading2"/>
      </w:pPr>
      <w:r>
        <w:t>9. Inputs and dependencies — what I need, and from whom</w:t>
      </w:r>
    </w:p>
    <w:p>
      <w:r>
        <w:t>Ordered by what blocks first. Nothing in Phase 1 starts without item 1.</w:t>
      </w:r>
    </w:p>
    <w:p>
      <w:pPr>
        <w:pStyle w:val="Heading3"/>
      </w:pPr>
      <w:r>
        <w:t>From you — blocking</w:t>
      </w:r>
    </w:p>
    <w:p>
      <w:pPr>
        <w:pStyle w:val="ListNumber"/>
      </w:pPr>
      <w:r>
        <w:rPr>
          <w:b/>
        </w:rPr>
        <w:t>AWS account access.</w:t>
      </w:r>
      <w:r>
        <w:t xml:space="preserve"> An IAM user with programmatic credentials (access key + secret) and MFA, or an SSO profile I can assume. Needs permissions to create VPC, RDS, ECS, ECR, S3, KMS, SQS, IAM, Secrets Manager, CloudWatch, Budgets. Without this, </w:t>
      </w:r>
      <w:r>
        <w:rPr>
          <w:rFonts w:ascii="Consolas" w:hAnsi="Consolas"/>
          <w:sz w:val="19"/>
        </w:rPr>
        <w:t>terraform apply</w:t>
      </w:r>
      <w:r>
        <w:t xml:space="preserve"> cannot run — it has been validated but never applied.</w:t>
      </w:r>
    </w:p>
    <w:p>
      <w:pPr>
        <w:pStyle w:val="ListNumber"/>
      </w:pPr>
      <w:r>
        <w:rPr>
          <w:b/>
        </w:rPr>
        <w:t>Confirmation of the credits</w:t>
      </w:r>
      <w:r>
        <w:t>, in writing: which programme (AWS Activate?), the amount, and its expiry. This determines whether Multi-AZ RDS and a NAT gateway are affordable from day one or whether the stack starts cheaper.</w:t>
      </w:r>
    </w:p>
    <w:p>
      <w:pPr>
        <w:pStyle w:val="ListNumber"/>
      </w:pPr>
      <w:r>
        <w:rPr>
          <w:b/>
        </w:rPr>
        <w:t>Google Play Console account</w:t>
      </w:r>
      <w:r>
        <w:t xml:space="preserve"> — created, identity-verified, payment profile complete. And one line: </w:t>
      </w:r>
      <w:r>
        <w:rPr>
          <w:b/>
        </w:rPr>
        <w:t>personal or organisation?</w:t>
      </w:r>
      <w:r>
        <w:t xml:space="preserve"> Personal means the 12-tester / 14-day clock applies. Organisation does not.</w:t>
      </w:r>
    </w:p>
    <w:p>
      <w:pPr>
        <w:pStyle w:val="ListNumber"/>
      </w:pPr>
      <w:r>
        <w:rPr>
          <w:b/>
        </w:rPr>
        <w:t>`google-services.json`</w:t>
      </w:r>
      <w:r>
        <w:t xml:space="preserve"> from the production Firebase project. Gitignored by design, so it is not in the repo, and its own example file says "get the real file from the Senior Engineer". </w:t>
      </w:r>
      <w:r>
        <w:rPr>
          <w:b/>
        </w:rPr>
        <w:t>This single file is what currently blocks the AAB build.</w:t>
      </w:r>
    </w:p>
    <w:p>
      <w:pPr>
        <w:pStyle w:val="ListNumber"/>
      </w:pPr>
      <w:r>
        <w:rPr>
          <w:b/>
        </w:rPr>
        <w:t>12+ tester Gmail addresses</w:t>
      </w:r>
      <w:r>
        <w:t xml:space="preserve"> for closed testing. Real people, opted in continuously for 14 days.</w:t>
      </w:r>
    </w:p>
    <w:p>
      <w:pPr>
        <w:pStyle w:val="ListNumber"/>
      </w:pPr>
      <w:r>
        <w:rPr>
          <w:b/>
        </w:rPr>
        <w:t>Upload keystore custody decision.</w:t>
      </w:r>
      <w:r>
        <w:t xml:space="preserve"> I generated a placeholder key so the signing path could be proven. Before the first upload you must regenerate it with your own password and store it offline — losing an upload key costs a support ticket to Google; losing a signing key without Play App Signing costs the listing.</w:t>
      </w:r>
    </w:p>
    <w:p>
      <w:pPr>
        <w:pStyle w:val="ListNumber"/>
      </w:pPr>
      <w:r>
        <w:rPr>
          <w:b/>
        </w:rPr>
        <w:t>A live privacy policy URL</w:t>
      </w:r>
      <w:r>
        <w:t xml:space="preserve"> on your own domain. The current value in the app config is a Google Docs publish link, which is not acceptable for a Play listing.</w:t>
      </w:r>
    </w:p>
    <w:p>
      <w:pPr>
        <w:pStyle w:val="ListNumber"/>
      </w:pPr>
      <w:r>
        <w:rPr>
          <w:b/>
        </w:rPr>
        <w:t>Domain/DNS access</w:t>
      </w:r>
      <w:r>
        <w:t xml:space="preserve"> for </w:t>
      </w:r>
      <w:r>
        <w:rPr>
          <w:rFonts w:ascii="Consolas" w:hAnsi="Consolas"/>
          <w:sz w:val="19"/>
        </w:rPr>
        <w:t>okuvu.in</w:t>
      </w:r>
      <w:r>
        <w:t xml:space="preserve"> at Spaceship, for the cutover.</w:t>
      </w:r>
    </w:p>
    <w:p>
      <w:pPr>
        <w:pStyle w:val="Heading3"/>
      </w:pPr>
      <w:r>
        <w:t>From Dr Shubhangi Goswami — blocking Track B only</w:t>
      </w:r>
    </w:p>
    <w:p>
      <w:pPr>
        <w:pStyle w:val="ListNumber"/>
      </w:pPr>
      <w:r>
        <w:rPr>
          <w:b/>
        </w:rPr>
        <w:t>The model acceptance bar</w:t>
      </w:r>
      <w:r>
        <w:t xml:space="preserve"> in writing: what quality threshold the safety-critical prompts must clear before DeepSeek V3.2 replaces the current Llama 3.1 8B baseline. Without a signed threshold, D2 has no pass/fail criterion and the migration stalls at the last gate.</w:t>
      </w:r>
    </w:p>
    <w:p>
      <w:pPr>
        <w:pStyle w:val="ListNumber"/>
      </w:pPr>
      <w:r>
        <w:rPr>
          <w:b/>
        </w:rPr>
        <w:t>Sign-off on the crisis copy and helpline numbers</w:t>
      </w:r>
      <w:r>
        <w:t>, still outstanding from the clinical packet. This gates what the app may display in the store listing and in the crisis overlay.</w:t>
      </w:r>
    </w:p>
    <w:p>
      <w:pPr>
        <w:pStyle w:val="Heading3"/>
      </w:pPr>
      <w:r>
        <w:t>From you — needed later, not blocking week 1</w:t>
      </w:r>
    </w:p>
    <w:p>
      <w:pPr>
        <w:pStyle w:val="ListNumber"/>
      </w:pPr>
      <w:r>
        <w:rPr>
          <w:b/>
        </w:rPr>
        <w:t>LLM route for the bridge</w:t>
      </w:r>
      <w:r>
        <w:t>: either keep the existing OpenRouter key for the bridge period, or go straight to Bedrock DeepSeek V3.2. The direct Bedrock route is now the better choice — it removes a third-party sub-processor from the DPDP chain and is credit-eligible, so there is no cost reason to keep an external API key. One of the two must exist before the app can serve a real turn on AWS.</w:t>
      </w:r>
    </w:p>
    <w:p>
      <w:pPr>
        <w:pStyle w:val="ListNumber"/>
      </w:pPr>
      <w:r>
        <w:rPr>
          <w:b/>
        </w:rPr>
        <w:t>Residency: resolved, not a choice.</w:t>
      </w:r>
      <w:r>
        <w:t xml:space="preserve"> DeepSeek V3.2 on Bedrock has no Geo or Global inference profile — only In-Region. Inference stays in Mumbai, so the README's residency claim translates to "ap-south-1 only" without weakening. No written residency decision is needed while DeepSeek is the model. This reverses the earlier §9.12 item, which assumed Claude's India-geo profile would be unavoidable.</w:t>
      </w:r>
    </w:p>
    <w:p>
      <w:pPr>
        <w:pStyle w:val="ListNumber"/>
      </w:pPr>
      <w:r>
        <w:rPr>
          <w:b/>
        </w:rPr>
        <w:t>Invite-email sender</w:t>
      </w:r>
      <w:r>
        <w:t xml:space="preserve"> (SES or Brevo) so the API can send therapist invites.</w:t>
      </w:r>
    </w:p>
    <w:p>
      <w:pPr>
        <w:pStyle w:val="ListNumber"/>
      </w:pPr>
      <w:r>
        <w:rPr>
          <w:b/>
        </w:rPr>
        <w:t>Voice vendor</w:t>
      </w:r>
      <w:r>
        <w:t xml:space="preserve"> (Sarvam key) if A13 voice ships in this release — otherwise it stays unavailable, as it is today.</w:t>
      </w:r>
    </w:p>
    <w:p>
      <w:pPr>
        <w:pStyle w:val="Heading2"/>
      </w:pPr>
      <w:r>
        <w:t>10. Play Store: it is an AAB, not an APK</w:t>
      </w:r>
    </w:p>
    <w:p>
      <w:r>
        <w:t xml:space="preserve">One correction to the brief. </w:t>
      </w:r>
      <w:r>
        <w:rPr>
          <w:b/>
        </w:rPr>
        <w:t>Google Play has not accepted a plain APK for new apps since August 2021.</w:t>
      </w:r>
      <w:r>
        <w:t xml:space="preserve"> New apps publish an Android App Bundle (</w:t>
      </w:r>
      <w:r>
        <w:rPr>
          <w:rFonts w:ascii="Consolas" w:hAnsi="Consolas"/>
          <w:sz w:val="19"/>
        </w:rPr>
        <w:t>.aab</w:t>
      </w:r>
      <w:r>
        <w:t>), and you must be enrolled in Play App Signing. An APK is for direct install and internal testing only — useful for giving someone a file to sideload, not for the store.</w:t>
      </w:r>
    </w:p>
    <w:p>
      <w:r>
        <w:t>Verified today, from Google's own documentation:</w:t>
      </w:r>
    </w:p>
    <w:p>
      <w:pPr>
        <w:pStyle w:val="ListBullet"/>
      </w:pPr>
      <w:r>
        <w:rPr>
          <w:b/>
        </w:rPr>
        <w:t>AAB required</w:t>
      </w:r>
      <w:r>
        <w:t xml:space="preserve"> for new apps; APK uploads survive only for legacy apps created before August 2021.</w:t>
      </w:r>
    </w:p>
    <w:p>
      <w:pPr>
        <w:pStyle w:val="ListBullet"/>
      </w:pPr>
      <w:r>
        <w:rPr>
          <w:b/>
        </w:rPr>
        <w:t>Target API 36 (Android 16) is mandatory for new apps and updates from 31 August 2026.</w:t>
      </w:r>
      <w:r>
        <w:t xml:space="preserve"> The repo now pins </w:t>
      </w:r>
      <w:r>
        <w:rPr>
          <w:rFonts w:ascii="Consolas" w:hAnsi="Consolas"/>
          <w:sz w:val="19"/>
        </w:rPr>
        <w:t>targetSdk 36</w:t>
      </w:r>
      <w:r>
        <w:t xml:space="preserve"> — it was below the requirement.</w:t>
      </w:r>
    </w:p>
    <w:p>
      <w:pPr>
        <w:pStyle w:val="ListBullet"/>
      </w:pPr>
      <w:r>
        <w:rPr>
          <w:b/>
        </w:rPr>
        <w:t>Personal accounts created after 13 Nov 2023: 12 testers opted in continuously for 14 days</w:t>
      </w:r>
      <w:r>
        <w:t xml:space="preserve"> before you may apply for production. Opting out mid-way resets the clock; the 14 days must be consecutive; 12 must still be opted in at the moment you apply. Organisation accounts skip this.</w:t>
      </w:r>
    </w:p>
    <w:p>
      <w:pPr>
        <w:pStyle w:val="ListBullet"/>
      </w:pPr>
      <w:r>
        <w:rPr>
          <w:b/>
        </w:rPr>
        <w:t>Before review you need</w:t>
      </w:r>
      <w:r>
        <w:t>: privacy policy URL, Data safety form, content rating questionnaire, app-access instructions, ads declaration, target audience, 512² icon, 1024×500 feature graphic, at least 2 screenshots.</w:t>
      </w:r>
    </w:p>
    <w:p>
      <w:pPr>
        <w:pStyle w:val="Heading3"/>
      </w:pPr>
      <w:r>
        <w:t>The three things standing between the repo and an uploaded AAB</w:t>
      </w:r>
    </w:p>
    <w:p>
      <w:pPr>
        <w:pStyle w:val="ListNumber"/>
      </w:pPr>
      <w:r>
        <w:rPr>
          <w:b/>
        </w:rPr>
        <w:t>`google-services.json` is missing.</w:t>
      </w:r>
      <w:r>
        <w:t xml:space="preserve"> Build fails with </w:t>
      </w:r>
      <w:r>
        <w:rPr>
          <w:rFonts w:ascii="Consolas" w:hAnsi="Consolas"/>
          <w:sz w:val="19"/>
        </w:rPr>
        <w:t>File google-services.json is missing</w:t>
      </w:r>
      <w:r>
        <w:t>. Everything else works — proven by building a signed 60.7 MB AAB with a temporary placeholder.</w:t>
      </w:r>
    </w:p>
    <w:p>
      <w:pPr>
        <w:pStyle w:val="ListNumber"/>
      </w:pPr>
      <w:r>
        <w:rPr>
          <w:b/>
        </w:rPr>
        <w:t>The production backend URL in the app is dead.</w:t>
      </w:r>
      <w:r>
        <w:t xml:space="preserve"> </w:t>
      </w:r>
      <w:r>
        <w:rPr>
          <w:rFonts w:ascii="Consolas" w:hAnsi="Consolas"/>
          <w:sz w:val="19"/>
        </w:rPr>
        <w:t>backend-971397352159.asia-south1.run.app</w:t>
      </w:r>
      <w:r>
        <w:t xml:space="preserve"> returns 404 on </w:t>
      </w:r>
      <w:r>
        <w:rPr>
          <w:rFonts w:ascii="Consolas" w:hAnsi="Consolas"/>
          <w:sz w:val="19"/>
        </w:rPr>
        <w:t>/health</w:t>
      </w:r>
      <w:r>
        <w:t xml:space="preserve">, </w:t>
      </w:r>
      <w:r>
        <w:rPr>
          <w:rFonts w:ascii="Consolas" w:hAnsi="Consolas"/>
          <w:sz w:val="19"/>
        </w:rPr>
        <w:t>/v1/health</w:t>
      </w:r>
      <w:r>
        <w:t xml:space="preserve">, </w:t>
      </w:r>
      <w:r>
        <w:rPr>
          <w:rFonts w:ascii="Consolas" w:hAnsi="Consolas"/>
          <w:sz w:val="19"/>
        </w:rPr>
        <w:t>/api/health</w:t>
      </w:r>
      <w:r>
        <w:t xml:space="preserve"> and </w:t>
      </w:r>
      <w:r>
        <w:rPr>
          <w:rFonts w:ascii="Consolas" w:hAnsi="Consolas"/>
          <w:sz w:val="19"/>
        </w:rPr>
        <w:t>/ws</w:t>
      </w:r>
      <w:r>
        <w:t>. Two Flutter tests fail because the test expects a *third*, older host. Shipping as-is points users at nothing. Phase C2 fixes this, and it is one of the reasons AWS staging must land first.</w:t>
      </w:r>
    </w:p>
    <w:p>
      <w:pPr>
        <w:pStyle w:val="ListNumber"/>
      </w:pPr>
      <w:r>
        <w:rPr>
          <w:b/>
        </w:rPr>
        <w:t>No real upload key</w:t>
      </w:r>
      <w:r>
        <w:t xml:space="preserve">, and </w:t>
      </w:r>
      <w:r>
        <w:rPr>
          <w:rFonts w:ascii="Consolas" w:hAnsi="Consolas"/>
          <w:sz w:val="19"/>
        </w:rPr>
        <w:t>--dart-define=FLAVOR=prod</w:t>
      </w:r>
      <w:r>
        <w:t xml:space="preserve"> is required at build time or the app throws </w:t>
      </w:r>
      <w:r>
        <w:rPr>
          <w:rFonts w:ascii="Consolas" w:hAnsi="Consolas"/>
          <w:sz w:val="19"/>
        </w:rPr>
        <w:t>FlavorNotSpecifiedException</w:t>
      </w:r>
      <w:r>
        <w:t xml:space="preserve"> at launch — a trap that would have shipped a crashing app.</w:t>
      </w:r>
    </w:p>
    <w:p>
      <w:pPr>
        <w:pStyle w:val="Heading2"/>
      </w:pPr>
      <w:r>
        <w:t>11. Risks and kill criteria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DEDED"/>
          </w:tcPr>
          <w:p>
            <w:r>
              <w:rPr>
                <w:sz w:val="19"/>
              </w:rPr>
            </w:r>
            <w:r>
              <w:rPr>
                <w:b/>
              </w:rPr>
              <w:t>ID</w:t>
            </w:r>
          </w:p>
        </w:tc>
        <w:tc>
          <w:tcPr>
            <w:tcW w:type="dxa" w:w="1728"/>
            <w:shd w:val="clear" w:color="auto" w:fill="EDEDED"/>
          </w:tcPr>
          <w:p>
            <w:r>
              <w:rPr>
                <w:sz w:val="19"/>
              </w:rPr>
            </w:r>
            <w:r>
              <w:rPr>
                <w:b/>
              </w:rPr>
              <w:t>Risk</w:t>
            </w:r>
          </w:p>
        </w:tc>
        <w:tc>
          <w:tcPr>
            <w:tcW w:type="dxa" w:w="1728"/>
            <w:shd w:val="clear" w:color="auto" w:fill="EDEDED"/>
          </w:tcPr>
          <w:p>
            <w:r>
              <w:rPr>
                <w:sz w:val="19"/>
              </w:rPr>
            </w:r>
            <w:r>
              <w:rPr>
                <w:b/>
              </w:rPr>
              <w:t>Likelihood</w:t>
            </w:r>
          </w:p>
        </w:tc>
        <w:tc>
          <w:tcPr>
            <w:tcW w:type="dxa" w:w="1728"/>
            <w:shd w:val="clear" w:color="auto" w:fill="EDEDED"/>
          </w:tcPr>
          <w:p>
            <w:r>
              <w:rPr>
                <w:sz w:val="19"/>
              </w:rPr>
            </w:r>
            <w:r>
              <w:rPr>
                <w:b/>
              </w:rPr>
              <w:t>Impact</w:t>
            </w:r>
          </w:p>
        </w:tc>
        <w:tc>
          <w:tcPr>
            <w:tcW w:type="dxa" w:w="1728"/>
            <w:shd w:val="clear" w:color="auto" w:fill="EDEDED"/>
          </w:tcPr>
          <w:p>
            <w:r>
              <w:rPr>
                <w:sz w:val="19"/>
              </w:rPr>
            </w:r>
            <w:r>
              <w:rPr>
                <w:b/>
              </w:rPr>
              <w:t>Mitigation</w:t>
            </w:r>
          </w:p>
        </w:tc>
      </w:tr>
      <w:tr>
        <w:tc>
          <w:tcPr>
            <w:tcW w:type="dxa" w:w="1728"/>
          </w:tcPr>
          <w:p>
            <w:r>
              <w:rPr>
                <w:sz w:val="19"/>
              </w:rPr>
            </w:r>
            <w:r>
              <w:rPr>
                <w:sz w:val="19"/>
              </w:rPr>
              <w:t>R1</w:t>
            </w:r>
          </w:p>
        </w:tc>
        <w:tc>
          <w:tcPr>
            <w:tcW w:type="dxa" w:w="1728"/>
          </w:tcPr>
          <w:p>
            <w:r>
              <w:rPr>
                <w:sz w:val="19"/>
              </w:rPr>
            </w:r>
            <w:r>
              <w:rPr>
                <w:sz w:val="19"/>
              </w:rPr>
              <w:t>No AWS credentials → nothing can be applied</w:t>
            </w:r>
          </w:p>
        </w:tc>
        <w:tc>
          <w:tcPr>
            <w:tcW w:type="dxa" w:w="1728"/>
          </w:tcPr>
          <w:p>
            <w:r>
              <w:rPr>
                <w:sz w:val="19"/>
              </w:rPr>
            </w:r>
            <w:r>
              <w:rPr>
                <w:sz w:val="19"/>
              </w:rPr>
              <w:t>High</w:t>
            </w:r>
          </w:p>
        </w:tc>
        <w:tc>
          <w:tcPr>
            <w:tcW w:type="dxa" w:w="1728"/>
          </w:tcPr>
          <w:p>
            <w:r>
              <w:rPr>
                <w:sz w:val="19"/>
              </w:rPr>
            </w:r>
            <w:r>
              <w:rPr>
                <w:sz w:val="19"/>
              </w:rPr>
              <w:t>Blocks everything</w:t>
            </w:r>
          </w:p>
        </w:tc>
        <w:tc>
          <w:tcPr>
            <w:tcW w:type="dxa" w:w="1728"/>
          </w:tcPr>
          <w:p>
            <w:r>
              <w:rPr>
                <w:sz w:val="19"/>
              </w:rPr>
            </w:r>
            <w:r>
              <w:rPr>
                <w:sz w:val="19"/>
              </w:rPr>
              <w:t>Terraform is written and validated; needs only credentials</w:t>
            </w:r>
          </w:p>
        </w:tc>
      </w:tr>
      <w:tr>
        <w:tc>
          <w:tcPr>
            <w:tcW w:type="dxa" w:w="1728"/>
          </w:tcPr>
          <w:p>
            <w:r>
              <w:rPr>
                <w:sz w:val="19"/>
              </w:rPr>
            </w:r>
            <w:r>
              <w:rPr>
                <w:sz w:val="19"/>
              </w:rPr>
              <w:t>R2</w:t>
            </w:r>
          </w:p>
        </w:tc>
        <w:tc>
          <w:tcPr>
            <w:tcW w:type="dxa" w:w="1728"/>
          </w:tcPr>
          <w:p>
            <w:r>
              <w:rPr>
                <w:sz w:val="19"/>
              </w:rPr>
            </w:r>
            <w:r>
              <w:rPr>
                <w:sz w:val="19"/>
              </w:rPr>
              <w:t>DeepSeek V3.2 fails the clinical bar on crisis classification</w:t>
            </w:r>
          </w:p>
        </w:tc>
        <w:tc>
          <w:tcPr>
            <w:tcW w:type="dxa" w:w="1728"/>
          </w:tcPr>
          <w:p>
            <w:r>
              <w:rPr>
                <w:sz w:val="19"/>
              </w:rPr>
            </w:r>
            <w:r>
              <w:rPr>
                <w:sz w:val="19"/>
              </w:rPr>
              <w:t>Medium</w:t>
            </w:r>
          </w:p>
        </w:tc>
        <w:tc>
          <w:tcPr>
            <w:tcW w:type="dxa" w:w="1728"/>
          </w:tcPr>
          <w:p>
            <w:r>
              <w:rPr>
                <w:sz w:val="19"/>
              </w:rPr>
            </w:r>
            <w:r>
              <w:rPr>
                <w:sz w:val="19"/>
              </w:rPr>
              <w:t>If it fails there is no credit-eligible in-region fallback of comparable class</w:t>
            </w:r>
          </w:p>
        </w:tc>
        <w:tc>
          <w:tcPr>
            <w:tcW w:type="dxa" w:w="1728"/>
          </w:tcPr>
          <w:p>
            <w:r>
              <w:rPr>
                <w:sz w:val="19"/>
              </w:rPr>
            </w:r>
            <w:r>
              <w:rPr>
                <w:sz w:val="19"/>
              </w:rPr>
              <w:t>Measure V3.2 against V3.1 and the current baseline in D2 before the flip; keep the API-key path one env var away</w:t>
            </w:r>
          </w:p>
        </w:tc>
      </w:tr>
      <w:tr>
        <w:tc>
          <w:tcPr>
            <w:tcW w:type="dxa" w:w="1728"/>
          </w:tcPr>
          <w:p>
            <w:r>
              <w:rPr>
                <w:sz w:val="19"/>
              </w:rPr>
            </w:r>
            <w:r>
              <w:rPr>
                <w:sz w:val="19"/>
              </w:rPr>
              <w:t>R3</w:t>
            </w:r>
          </w:p>
        </w:tc>
        <w:tc>
          <w:tcPr>
            <w:tcW w:type="dxa" w:w="1728"/>
          </w:tcPr>
          <w:p>
            <w:r>
              <w:rPr>
                <w:sz w:val="19"/>
              </w:rPr>
            </w:r>
            <w:r>
              <w:rPr>
                <w:sz w:val="19"/>
              </w:rPr>
              <w:t>Credits are a narrowed programme that excludes Bedrock inference</w:t>
            </w:r>
          </w:p>
        </w:tc>
        <w:tc>
          <w:tcPr>
            <w:tcW w:type="dxa" w:w="1728"/>
          </w:tcPr>
          <w:p>
            <w:r>
              <w:rPr>
                <w:sz w:val="19"/>
              </w:rPr>
            </w:r>
            <w:r>
              <w:rPr>
                <w:sz w:val="19"/>
              </w:rPr>
              <w:t>Low</w:t>
            </w:r>
          </w:p>
        </w:tc>
        <w:tc>
          <w:tcPr>
            <w:tcW w:type="dxa" w:w="1728"/>
          </w:tcPr>
          <w:p>
            <w:r>
              <w:rPr>
                <w:sz w:val="19"/>
              </w:rPr>
            </w:r>
            <w:r>
              <w:rPr>
                <w:sz w:val="19"/>
              </w:rPr>
              <w:t>Model line bills outside the credit</w:t>
            </w:r>
          </w:p>
        </w:tc>
        <w:tc>
          <w:tcPr>
            <w:tcW w:type="dxa" w:w="1728"/>
          </w:tcPr>
          <w:p>
            <w:r>
              <w:rPr>
                <w:sz w:val="19"/>
              </w:rPr>
            </w:r>
            <w:r>
              <w:rPr>
                <w:sz w:val="19"/>
              </w:rPr>
              <w:t>Check Applicable products on the Billing console Credits page before Phase 1; infra is only ~$200/mo worst case</w:t>
            </w:r>
          </w:p>
        </w:tc>
      </w:tr>
      <w:tr>
        <w:tc>
          <w:tcPr>
            <w:tcW w:type="dxa" w:w="1728"/>
          </w:tcPr>
          <w:p>
            <w:r>
              <w:rPr>
                <w:sz w:val="19"/>
              </w:rPr>
            </w:r>
            <w:r>
              <w:rPr>
                <w:sz w:val="19"/>
              </w:rPr>
              <w:t>R4</w:t>
            </w:r>
          </w:p>
        </w:tc>
        <w:tc>
          <w:tcPr>
            <w:tcW w:type="dxa" w:w="1728"/>
          </w:tcPr>
          <w:p>
            <w:r>
              <w:rPr>
                <w:sz w:val="19"/>
              </w:rPr>
            </w:r>
            <w:r>
              <w:rPr>
                <w:sz w:val="19"/>
              </w:rPr>
              <w:t>14-day Play clock means store release cannot be pulled forward</w:t>
            </w:r>
          </w:p>
        </w:tc>
        <w:tc>
          <w:tcPr>
            <w:tcW w:type="dxa" w:w="1728"/>
          </w:tcPr>
          <w:p>
            <w:r>
              <w:rPr>
                <w:sz w:val="19"/>
              </w:rPr>
            </w:r>
            <w:r>
              <w:rPr>
                <w:sz w:val="19"/>
              </w:rPr>
              <w:t>Certain</w:t>
            </w:r>
          </w:p>
        </w:tc>
        <w:tc>
          <w:tcPr>
            <w:tcW w:type="dxa" w:w="1728"/>
          </w:tcPr>
          <w:p>
            <w:r>
              <w:rPr>
                <w:sz w:val="19"/>
              </w:rPr>
            </w:r>
            <w:r>
              <w:rPr>
                <w:sz w:val="19"/>
              </w:rPr>
              <w:t>~4 weeks minimum</w:t>
            </w:r>
          </w:p>
        </w:tc>
        <w:tc>
          <w:tcPr>
            <w:tcW w:type="dxa" w:w="1728"/>
          </w:tcPr>
          <w:p>
            <w:r>
              <w:rPr>
                <w:sz w:val="19"/>
              </w:rPr>
            </w:r>
            <w:r>
              <w:rPr>
                <w:sz w:val="19"/>
              </w:rPr>
              <w:t>Start the clock the day staging is live</w:t>
            </w:r>
          </w:p>
        </w:tc>
      </w:tr>
      <w:tr>
        <w:tc>
          <w:tcPr>
            <w:tcW w:type="dxa" w:w="1728"/>
          </w:tcPr>
          <w:p>
            <w:r>
              <w:rPr>
                <w:sz w:val="19"/>
              </w:rPr>
            </w:r>
            <w:r>
              <w:rPr>
                <w:sz w:val="19"/>
              </w:rPr>
              <w:t>R5</w:t>
            </w:r>
          </w:p>
        </w:tc>
        <w:tc>
          <w:tcPr>
            <w:tcW w:type="dxa" w:w="1728"/>
          </w:tcPr>
          <w:p>
            <w:r>
              <w:rPr>
                <w:sz w:val="19"/>
              </w:rPr>
            </w:r>
            <w:r>
              <w:rPr>
                <w:sz w:val="19"/>
              </w:rPr>
              <w:t>Forced password resets if Cognito migration happens post-launch</w:t>
            </w:r>
          </w:p>
        </w:tc>
        <w:tc>
          <w:tcPr>
            <w:tcW w:type="dxa" w:w="1728"/>
          </w:tcPr>
          <w:p>
            <w:r>
              <w:rPr>
                <w:sz w:val="19"/>
              </w:rPr>
            </w:r>
            <w:r>
              <w:rPr>
                <w:sz w:val="19"/>
              </w:rPr>
              <w:t>Certain if deferred</w:t>
            </w:r>
          </w:p>
        </w:tc>
        <w:tc>
          <w:tcPr>
            <w:tcW w:type="dxa" w:w="1728"/>
          </w:tcPr>
          <w:p>
            <w:r>
              <w:rPr>
                <w:sz w:val="19"/>
              </w:rPr>
            </w:r>
            <w:r>
              <w:rPr>
                <w:sz w:val="19"/>
              </w:rPr>
              <w:t>Churn</w:t>
            </w:r>
          </w:p>
        </w:tc>
        <w:tc>
          <w:tcPr>
            <w:tcW w:type="dxa" w:w="1728"/>
          </w:tcPr>
          <w:p>
            <w:r>
              <w:rPr>
                <w:sz w:val="19"/>
              </w:rPr>
            </w:r>
            <w:r>
              <w:rPr>
                <w:sz w:val="19"/>
              </w:rPr>
              <w:t>Do identity migration before public launch, or never</w:t>
            </w:r>
          </w:p>
        </w:tc>
      </w:tr>
      <w:tr>
        <w:tc>
          <w:tcPr>
            <w:tcW w:type="dxa" w:w="1728"/>
          </w:tcPr>
          <w:p>
            <w:r>
              <w:rPr>
                <w:sz w:val="19"/>
              </w:rPr>
            </w:r>
            <w:r>
              <w:rPr>
                <w:sz w:val="19"/>
              </w:rPr>
              <w:t>R6</w:t>
            </w:r>
          </w:p>
        </w:tc>
        <w:tc>
          <w:tcPr>
            <w:tcW w:type="dxa" w:w="1728"/>
          </w:tcPr>
          <w:p>
            <w:r>
              <w:rPr>
                <w:sz w:val="19"/>
              </w:rPr>
            </w:r>
            <w:r>
              <w:rPr>
                <w:sz w:val="19"/>
              </w:rPr>
              <w:t>Model-quality regression is invisible because recall is unmeasured</w:t>
            </w:r>
          </w:p>
        </w:tc>
        <w:tc>
          <w:tcPr>
            <w:tcW w:type="dxa" w:w="1728"/>
          </w:tcPr>
          <w:p>
            <w:r>
              <w:rPr>
                <w:sz w:val="19"/>
              </w:rPr>
            </w:r>
            <w:r>
              <w:rPr>
                <w:sz w:val="19"/>
              </w:rPr>
              <w:t>High</w:t>
            </w:r>
          </w:p>
        </w:tc>
        <w:tc>
          <w:tcPr>
            <w:tcW w:type="dxa" w:w="1728"/>
          </w:tcPr>
          <w:p>
            <w:r>
              <w:rPr>
                <w:sz w:val="19"/>
              </w:rPr>
            </w:r>
            <w:r>
              <w:rPr>
                <w:sz w:val="19"/>
              </w:rPr>
              <w:t>Safety</w:t>
            </w:r>
          </w:p>
        </w:tc>
        <w:tc>
          <w:tcPr>
            <w:tcW w:type="dxa" w:w="1728"/>
          </w:tcPr>
          <w:p>
            <w:r>
              <w:rPr>
                <w:sz w:val="19"/>
              </w:rPr>
            </w:r>
            <w:r>
              <w:rPr>
                <w:sz w:val="19"/>
              </w:rPr>
              <w:t>D1/D2 require an eval set; this is the same gap flagged in the agent evaluation</w:t>
            </w:r>
          </w:p>
        </w:tc>
      </w:tr>
    </w:tbl>
    <w:p/>
    <w:p>
      <w:r>
        <w:rPr>
          <w:b/>
        </w:rPr>
        <w:t>Kill criteria.</w:t>
      </w:r>
      <w:r>
        <w:t xml:space="preserve"> Stop the migration and revert to GCP if: AWS credits turn out to exclude Bedrock inference (ruled unlikely — DeepSeek is billed as an ordinary AWS service charge) *and* DeepSeek V3.2 fails the clinical bar *and* you decline to fund the model line outside the credits. With DeepSeek those three conditions now have to fail together, which is a materially weaker case for abandoning the migration than this document originally described — the model line at beta volume is under $100/month.</w:t>
      </w:r>
    </w:p>
    <w:p>
      <w:pPr>
        <w:pStyle w:val="Heading2"/>
      </w:pPr>
      <w:r>
        <w:t>12. What this plan does not claim</w:t>
      </w:r>
    </w:p>
    <w:p>
      <w:pPr>
        <w:pStyle w:val="ListBullet"/>
      </w:pPr>
      <w:r>
        <w:rPr>
          <w:b/>
        </w:rPr>
        <w:t>Nothing has been deployed.</w:t>
      </w:r>
      <w:r>
        <w:t xml:space="preserve"> The Terraform validates; it has never been applied, because there are no AWS credentials on the build host.</w:t>
      </w:r>
    </w:p>
    <w:p>
      <w:pPr>
        <w:pStyle w:val="ListBullet"/>
      </w:pPr>
      <w:r>
        <w:rPr>
          <w:b/>
        </w:rPr>
        <w:t>No Bedrock call has ever succeeded against a live endpoint.</w:t>
      </w:r>
      <w:r>
        <w:t xml:space="preserve"> The client is written and its tests mock the SDK; a real call without credentials fails closed with a fallback, which is the correct behaviour but is not a demonstration.</w:t>
      </w:r>
    </w:p>
    <w:p>
      <w:pPr>
        <w:pStyle w:val="ListBullet"/>
      </w:pPr>
      <w:r>
        <w:rPr>
          <w:b/>
        </w:rPr>
        <w:t>The migration is not seven days.</w:t>
      </w:r>
      <w:r>
        <w:t xml:space="preserve"> Track A is 50 dev-days; the full programme is 88. The seven-day build plan is superseded by this document.</w:t>
      </w:r>
    </w:p>
    <w:p>
      <w:pPr>
        <w:pStyle w:val="ListBullet"/>
      </w:pPr>
      <w:r>
        <w:rPr>
          <w:b/>
        </w:rPr>
        <w:t>The Android app has never run against a live backend</w:t>
      </w:r>
      <w:r>
        <w:t>, because the configured backend is dead. 209 Flutter tests pass; 2 fail on that stale URL.</w:t>
      </w:r>
    </w:p>
    <w:p>
      <w:pPr>
        <w:pStyle w:val="ListBullet"/>
      </w:pPr>
      <w:r>
        <w:rPr>
          <w:b/>
        </w:rPr>
        <w:t>Classifier recall is still unmeasured</w:t>
      </w:r>
      <w:r>
        <w:t>, in both codebases. Adding agents and moving clouds does not make the pipeline safer; only measurement does.</w:t>
      </w:r>
    </w:p>
    <w:p>
      <w:r>
        <w:t xml:space="preserve">*Prepared 27 October 2026. Every figure in this document was produced by running something today: </w:t>
      </w:r>
      <w:r>
        <w:rPr>
          <w:rFonts w:ascii="Consolas" w:hAnsi="Consolas"/>
          <w:sz w:val="19"/>
        </w:rPr>
        <w:t>terraform validate</w:t>
      </w:r>
      <w:r>
        <w:t xml:space="preserve">, the four test suites, a signed AAB build, HTTP probes against the production host, and AWS documentation pages cited in </w:t>
      </w:r>
      <w:r>
        <w:rPr>
          <w:rFonts w:ascii="Consolas" w:hAnsi="Consolas"/>
          <w:sz w:val="19"/>
        </w:rPr>
        <w:t>GCP-to-AWS-mapping-ap-south-1.md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