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pPr>
      <w:r>
        <w:rPr>
          <w:b/>
          <w:i w:val="0"/>
          <w:color w:val="555555"/>
          <w:sz w:val="18"/>
        </w:rPr>
        <w:t>OKUVU</w:t>
      </w:r>
    </w:p>
    <w:p>
      <w:pPr>
        <w:spacing w:after="40" w:line="276" w:lineRule="auto"/>
      </w:pPr>
      <w:r>
        <w:rPr>
          <w:b/>
          <w:i w:val="0"/>
          <w:color w:val="1A1A1A"/>
          <w:sz w:val="40"/>
        </w:rPr>
        <w:t>Clinical sign-off record — revision 3</w:t>
      </w:r>
    </w:p>
    <w:p>
      <w:pPr>
        <w:spacing w:after="200" w:line="276" w:lineRule="auto"/>
      </w:pPr>
      <w:r>
        <w:rPr>
          <w:b w:val="0"/>
          <w:i/>
          <w:color w:val="555555"/>
          <w:sz w:val="22"/>
        </w:rPr>
        <w:t>S3 crisis reply · third-party reply · self-injury reply · literal-phrase list · precedence · S4 crisis card</w:t>
      </w:r>
    </w:p>
    <w:p>
      <w:pPr>
        <w:spacing w:after="200" w:line="276" w:lineRule="auto"/>
      </w:pPr>
      <w:r>
        <w:rPr>
          <w:b w:val="0"/>
          <w:i w:val="0"/>
          <w:color w:val="1A1A1A"/>
          <w:sz w:val="21"/>
        </w:rPr>
        <w:t>Recorded from Dr Shubhangi Goswami's third reply of 31 October 2026, nine numbered answers to the open points that revision 2 listed. Revision 1 recorded her five-row answer. Revision 2 recorded her eight-instruction correction of the helpline set. This revision closes the last five points, reverses one decision from revision 2, and moves the self-injury reply to the crisis tier. It states what she approved in her wording, and what that approval does not settle. It supersedes revision 2 and is not itself a claim of clinical review.</w:t>
      </w:r>
    </w:p>
    <w:tbl>
      <w:tblPr>
        <w:tblStyle w:val="TableGrid"/>
        <w:tblW w:type="auto" w:w="0"/>
        <w:jc w:val="center"/>
        <w:tblLayout w:type="fixed"/>
        <w:tblLook w:firstColumn="1" w:firstRow="1" w:lastColumn="0" w:lastRow="0" w:noHBand="0" w:noVBand="1" w:val="04A0"/>
      </w:tblPr>
      <w:tblGrid>
        <w:gridCol w:w="2381"/>
        <w:gridCol w:w="7257"/>
      </w:tblGrid>
      <w:tr>
        <w:trPr>
          <w:tblHeader/>
        </w:trPr>
        <w:tc>
          <w:tcPr>
            <w:tcW w:type="dxa" w:w="2381"/>
            <w:shd w:val="clear" w:color="auto" w:fill="EDE7E1"/>
          </w:tcPr>
          <w:p>
            <w:pPr>
              <w:spacing w:after="40" w:before="40" w:line="259" w:lineRule="auto"/>
            </w:pPr>
            <w:r/>
            <w:r>
              <w:rPr>
                <w:b/>
                <w:i w:val="0"/>
                <w:color w:val="1A1A1A"/>
                <w:sz w:val="19"/>
              </w:rPr>
              <w:t>Field</w:t>
            </w:r>
          </w:p>
        </w:tc>
        <w:tc>
          <w:tcPr>
            <w:tcW w:type="dxa" w:w="7257"/>
            <w:shd w:val="clear" w:color="auto" w:fill="EDE7E1"/>
          </w:tcPr>
          <w:p>
            <w:pPr>
              <w:spacing w:after="40" w:before="40" w:line="259" w:lineRule="auto"/>
            </w:pPr>
            <w:r/>
            <w:r>
              <w:rPr>
                <w:b/>
                <w:i w:val="0"/>
                <w:color w:val="1A1A1A"/>
                <w:sz w:val="19"/>
              </w:rPr>
              <w:t>Value</w:t>
            </w:r>
          </w:p>
        </w:tc>
      </w:tr>
      <w:tr>
        <w:tc>
          <w:tcPr>
            <w:tcW w:type="dxa" w:w="2381"/>
          </w:tcPr>
          <w:p>
            <w:pPr>
              <w:spacing w:after="40" w:before="40" w:line="259" w:lineRule="auto"/>
            </w:pPr>
            <w:r/>
            <w:r>
              <w:rPr>
                <w:b w:val="0"/>
                <w:i w:val="0"/>
                <w:color w:val="1A1A1A"/>
                <w:sz w:val="19"/>
              </w:rPr>
              <w:t>Clinical lead</w:t>
            </w:r>
          </w:p>
        </w:tc>
        <w:tc>
          <w:tcPr>
            <w:tcW w:type="dxa" w:w="7257"/>
          </w:tcPr>
          <w:p>
            <w:pPr>
              <w:spacing w:after="40" w:before="40" w:line="259" w:lineRule="auto"/>
            </w:pPr>
            <w:r/>
            <w:r>
              <w:rPr>
                <w:b w:val="0"/>
                <w:i w:val="0"/>
                <w:color w:val="1A1A1A"/>
                <w:sz w:val="19"/>
              </w:rPr>
              <w:t>Dr Shubhangi Goswami — Clinical Psychologist</w:t>
            </w:r>
          </w:p>
        </w:tc>
      </w:tr>
      <w:tr>
        <w:tc>
          <w:tcPr>
            <w:tcW w:type="dxa" w:w="2381"/>
          </w:tcPr>
          <w:p>
            <w:pPr>
              <w:spacing w:after="40" w:before="40" w:line="259" w:lineRule="auto"/>
            </w:pPr>
            <w:r/>
            <w:r>
              <w:rPr>
                <w:b w:val="0"/>
                <w:i w:val="0"/>
                <w:color w:val="1A1A1A"/>
                <w:sz w:val="19"/>
              </w:rPr>
              <w:t>Authority basis</w:t>
            </w:r>
          </w:p>
        </w:tc>
        <w:tc>
          <w:tcPr>
            <w:tcW w:type="dxa" w:w="7257"/>
          </w:tcPr>
          <w:p>
            <w:pPr>
              <w:spacing w:after="40" w:before="40" w:line="259" w:lineRule="auto"/>
            </w:pPr>
            <w:r/>
            <w:r>
              <w:rPr>
                <w:b w:val="0"/>
                <w:i w:val="0"/>
                <w:color w:val="1A1A1A"/>
                <w:sz w:val="19"/>
              </w:rPr>
              <w:t>Designated clinical authority, recorded 27 October 2026 (docs/00a-clinical-authority.md); role includes product design</w:t>
            </w:r>
          </w:p>
        </w:tc>
      </w:tr>
      <w:tr>
        <w:tc>
          <w:tcPr>
            <w:tcW w:type="dxa" w:w="2381"/>
          </w:tcPr>
          <w:p>
            <w:pPr>
              <w:spacing w:after="40" w:before="40" w:line="259" w:lineRule="auto"/>
            </w:pPr>
            <w:r/>
            <w:r>
              <w:rPr>
                <w:b w:val="0"/>
                <w:i w:val="0"/>
                <w:color w:val="1A1A1A"/>
                <w:sz w:val="19"/>
              </w:rPr>
              <w:t>Story</w:t>
            </w:r>
          </w:p>
        </w:tc>
        <w:tc>
          <w:tcPr>
            <w:tcW w:type="dxa" w:w="7257"/>
          </w:tcPr>
          <w:p>
            <w:pPr>
              <w:spacing w:after="40" w:before="40" w:line="259" w:lineRule="auto"/>
            </w:pPr>
            <w:r/>
            <w:r>
              <w:rPr>
                <w:b w:val="0"/>
                <w:i w:val="0"/>
                <w:color w:val="1A1A1A"/>
                <w:sz w:val="19"/>
              </w:rPr>
              <w:t>E17-S7 — clinical sign-off for the S3 crisis copy and its adjacent cards</w:t>
            </w:r>
          </w:p>
        </w:tc>
      </w:tr>
      <w:tr>
        <w:tc>
          <w:tcPr>
            <w:tcW w:type="dxa" w:w="2381"/>
          </w:tcPr>
          <w:p>
            <w:pPr>
              <w:spacing w:after="40" w:before="40" w:line="259" w:lineRule="auto"/>
            </w:pPr>
            <w:r/>
            <w:r>
              <w:rPr>
                <w:b w:val="0"/>
                <w:i w:val="0"/>
                <w:color w:val="1A1A1A"/>
                <w:sz w:val="19"/>
              </w:rPr>
              <w:t>Decision given</w:t>
            </w:r>
          </w:p>
        </w:tc>
        <w:tc>
          <w:tcPr>
            <w:tcW w:type="dxa" w:w="7257"/>
          </w:tcPr>
          <w:p>
            <w:pPr>
              <w:spacing w:after="40" w:before="40" w:line="259" w:lineRule="auto"/>
            </w:pPr>
            <w:r/>
            <w:r>
              <w:rPr>
                <w:b w:val="0"/>
                <w:i w:val="0"/>
                <w:color w:val="1A1A1A"/>
                <w:sz w:val="19"/>
              </w:rPr>
              <w:t>31 October 2026, by email (third message of the day)</w:t>
            </w:r>
          </w:p>
        </w:tc>
      </w:tr>
      <w:tr>
        <w:tc>
          <w:tcPr>
            <w:tcW w:type="dxa" w:w="2381"/>
          </w:tcPr>
          <w:p>
            <w:pPr>
              <w:spacing w:after="40" w:before="40" w:line="259" w:lineRule="auto"/>
            </w:pPr>
            <w:r/>
            <w:r>
              <w:rPr>
                <w:b w:val="0"/>
                <w:i w:val="0"/>
                <w:color w:val="1A1A1A"/>
                <w:sz w:val="19"/>
              </w:rPr>
              <w:t>Record compiled</w:t>
            </w:r>
          </w:p>
        </w:tc>
        <w:tc>
          <w:tcPr>
            <w:tcW w:type="dxa" w:w="7257"/>
          </w:tcPr>
          <w:p>
            <w:pPr>
              <w:spacing w:after="40" w:before="40" w:line="259" w:lineRule="auto"/>
            </w:pPr>
            <w:r/>
            <w:r>
              <w:rPr>
                <w:b w:val="0"/>
                <w:i w:val="0"/>
                <w:color w:val="1A1A1A"/>
                <w:sz w:val="19"/>
              </w:rPr>
              <w:t>31 October 2026, revision 3</w:t>
            </w:r>
          </w:p>
        </w:tc>
      </w:tr>
      <w:tr>
        <w:tc>
          <w:tcPr>
            <w:tcW w:type="dxa" w:w="2381"/>
          </w:tcPr>
          <w:p>
            <w:pPr>
              <w:spacing w:after="40" w:before="40" w:line="259" w:lineRule="auto"/>
            </w:pPr>
            <w:r/>
            <w:r>
              <w:rPr>
                <w:b w:val="0"/>
                <w:i w:val="0"/>
                <w:color w:val="1A1A1A"/>
                <w:sz w:val="19"/>
              </w:rPr>
              <w:t>Items decided</w:t>
            </w:r>
          </w:p>
        </w:tc>
        <w:tc>
          <w:tcPr>
            <w:tcW w:type="dxa" w:w="7257"/>
          </w:tcPr>
          <w:p>
            <w:pPr>
              <w:spacing w:after="40" w:before="40" w:line="259" w:lineRule="auto"/>
            </w:pPr>
            <w:r/>
            <w:r>
              <w:rPr>
                <w:b w:val="0"/>
                <w:i w:val="0"/>
                <w:color w:val="1A1A1A"/>
                <w:sz w:val="19"/>
              </w:rPr>
              <w:t>9 of 9 numbered answers — all five points left open by revision 2, plus the three copy edits and one reversal</w:t>
            </w:r>
          </w:p>
        </w:tc>
      </w:tr>
      <w:tr>
        <w:tc>
          <w:tcPr>
            <w:tcW w:type="dxa" w:w="2381"/>
          </w:tcPr>
          <w:p>
            <w:pPr>
              <w:spacing w:after="40" w:before="40" w:line="259" w:lineRule="auto"/>
            </w:pPr>
            <w:r/>
            <w:r>
              <w:rPr>
                <w:b w:val="0"/>
                <w:i w:val="0"/>
                <w:color w:val="1A1A1A"/>
                <w:sz w:val="19"/>
              </w:rPr>
              <w:t>Status</w:t>
            </w:r>
          </w:p>
        </w:tc>
        <w:tc>
          <w:tcPr>
            <w:tcW w:type="dxa" w:w="7257"/>
          </w:tcPr>
          <w:p>
            <w:pPr>
              <w:spacing w:after="40" w:before="40" w:line="259" w:lineRule="auto"/>
            </w:pPr>
            <w:r/>
            <w:r>
              <w:rPr>
                <w:b w:val="0"/>
                <w:i w:val="0"/>
                <w:color w:val="1A1A1A"/>
                <w:sz w:val="19"/>
              </w:rPr>
              <w:t>SIGNED for six pieces of copy and the helpline set. Three decisions remain hers (§10), none of them inside this copy.</w:t>
            </w:r>
          </w:p>
        </w:tc>
      </w:tr>
      <w:tr>
        <w:tc>
          <w:tcPr>
            <w:tcW w:type="dxa" w:w="2381"/>
          </w:tcPr>
          <w:p>
            <w:pPr>
              <w:spacing w:after="40" w:before="40" w:line="259" w:lineRule="auto"/>
            </w:pPr>
            <w:r/>
            <w:r>
              <w:rPr>
                <w:b w:val="0"/>
                <w:i w:val="0"/>
                <w:color w:val="1A1A1A"/>
                <w:sz w:val="19"/>
              </w:rPr>
              <w:t>Text approved against</w:t>
            </w:r>
          </w:p>
        </w:tc>
        <w:tc>
          <w:tcPr>
            <w:tcW w:type="dxa" w:w="7257"/>
          </w:tcPr>
          <w:p>
            <w:pPr>
              <w:spacing w:after="40" w:before="40" w:line="259" w:lineRule="auto"/>
            </w:pPr>
            <w:r/>
            <w:r>
              <w:rPr>
                <w:b w:val="0"/>
                <w:i w:val="0"/>
                <w:color w:val="1A1A1A"/>
                <w:sz w:val="19"/>
              </w:rPr>
              <w:t>docs/CLINICAL-REVIEW-S3-CRISIS-COPY.md (pack of 30 October 2026), as amended by her three replies of 31 October 2026</w:t>
            </w:r>
          </w:p>
        </w:tc>
      </w:tr>
    </w:tbl>
    <w:p>
      <w:pPr>
        <w:spacing w:after="40"/>
      </w:pPr>
    </w:p>
    <w:tbl>
      <w:tblPr>
        <w:tblStyle w:val="TableGrid"/>
        <w:tblW w:type="auto" w:w="0"/>
        <w:tblLayout w:type="fixed"/>
        <w:tblLook w:firstColumn="1" w:firstRow="1" w:lastColumn="0" w:lastRow="0" w:noHBand="0" w:noVBand="1" w:val="04A0"/>
      </w:tblPr>
      <w:tblGrid>
        <w:gridCol w:w="9638"/>
      </w:tblGrid>
      <w:tr>
        <w:tc>
          <w:tcPr>
            <w:tcW w:type="dxa" w:w="9638"/>
            <w:shd w:val="clear" w:color="auto" w:fill="F6F3EF"/>
          </w:tcPr>
          <w:p>
            <w:pPr>
              <w:spacing w:after="60"/>
            </w:pPr>
            <w:r/>
            <w:r>
              <w:rPr>
                <w:b/>
                <w:sz w:val="19"/>
              </w:rPr>
              <w:t>How to read this file</w:t>
            </w:r>
          </w:p>
          <w:p>
            <w:pPr>
              <w:spacing w:after="60" w:line="269" w:lineRule="auto"/>
            </w:pPr>
            <w:r>
              <w:rPr>
                <w:sz w:val="19"/>
              </w:rPr>
              <w:t>Every block marked “her text, verbatim” is her wording, unaltered, including its slips. Blocks marked “shipping text” are what the product would actually say: her words with the phone numbers inserted, and nothing else changed except where a table in this file lists the change and its reason. Where I have edited her words I say so in that table rather than in silence. Anything I verified against an external source is dated; anything I could not verify is named as unverified. The engineering status is stated per item, because approval of words is not evidence that the software says them yet.</w:t>
            </w:r>
          </w:p>
        </w:tc>
      </w:tr>
    </w:tbl>
    <w:p>
      <w:pPr>
        <w:spacing w:after="40"/>
      </w:pPr>
    </w:p>
    <w:p>
      <w:pPr>
        <w:pStyle w:val="Heading1"/>
        <w:keepNext/>
        <w:pBdr>
          <w:bottom w:val="single" w:sz="6" w:space="2" w:color="D8CFC6"/>
        </w:pBdr>
        <w:spacing w:before="320" w:after="120"/>
      </w:pPr>
      <w:r>
        <w:rPr>
          <w:rFonts w:ascii="Calibri" w:hAnsi="Calibri"/>
          <w:b/>
          <w:color w:val="8C2F2F"/>
          <w:sz w:val="28"/>
        </w:rPr>
        <w:t>1. What was decided, in one table</w:t>
      </w:r>
    </w:p>
    <w:p>
      <w:pPr>
        <w:spacing w:after="160" w:line="276" w:lineRule="auto"/>
      </w:pPr>
      <w:r>
        <w:rPr>
          <w:b w:val="0"/>
          <w:i w:val="0"/>
          <w:color w:val="1A1A1A"/>
          <w:sz w:val="21"/>
        </w:rPr>
        <w:t>Her message carried nine numbered answers. All nine are recorded below. Seven close an open point that revision 2 had put to her. One reverses a decision she gave earlier the same day. One is a routing decision with a consequence she has not seen, which is §6.3.</w:t>
      </w:r>
    </w:p>
    <w:tbl>
      <w:tblPr>
        <w:tblStyle w:val="TableGrid"/>
        <w:tblW w:type="auto" w:w="0"/>
        <w:jc w:val="center"/>
        <w:tblLayout w:type="fixed"/>
        <w:tblLook w:firstColumn="1" w:firstRow="1" w:lastColumn="0" w:lastRow="0" w:noHBand="0" w:noVBand="1" w:val="04A0"/>
      </w:tblPr>
      <w:tblGrid>
        <w:gridCol w:w="454"/>
        <w:gridCol w:w="2494"/>
        <w:gridCol w:w="2268"/>
        <w:gridCol w:w="4195"/>
      </w:tblGrid>
      <w:tr>
        <w:trPr>
          <w:tblHeader/>
        </w:trPr>
        <w:tc>
          <w:tcPr>
            <w:tcW w:type="dxa" w:w="454"/>
            <w:shd w:val="clear" w:color="auto" w:fill="EDE7E1"/>
          </w:tcPr>
          <w:p>
            <w:pPr>
              <w:spacing w:after="40" w:before="40" w:line="259" w:lineRule="auto"/>
            </w:pPr>
            <w:r/>
            <w:r>
              <w:rPr>
                <w:b/>
                <w:i w:val="0"/>
                <w:color w:val="1A1A1A"/>
                <w:sz w:val="18"/>
              </w:rPr>
              <w:t>#</w:t>
            </w:r>
          </w:p>
        </w:tc>
        <w:tc>
          <w:tcPr>
            <w:tcW w:type="dxa" w:w="2494"/>
            <w:shd w:val="clear" w:color="auto" w:fill="EDE7E1"/>
          </w:tcPr>
          <w:p>
            <w:pPr>
              <w:spacing w:after="40" w:before="40" w:line="259" w:lineRule="auto"/>
            </w:pPr>
            <w:r/>
            <w:r>
              <w:rPr>
                <w:b/>
                <w:i w:val="0"/>
                <w:color w:val="1A1A1A"/>
                <w:sz w:val="18"/>
              </w:rPr>
              <w:t>Her instruction</w:t>
            </w:r>
          </w:p>
        </w:tc>
        <w:tc>
          <w:tcPr>
            <w:tcW w:type="dxa" w:w="2268"/>
            <w:shd w:val="clear" w:color="auto" w:fill="EDE7E1"/>
          </w:tcPr>
          <w:p>
            <w:pPr>
              <w:spacing w:after="40" w:before="40" w:line="259" w:lineRule="auto"/>
            </w:pPr>
            <w:r/>
            <w:r>
              <w:rPr>
                <w:b/>
                <w:i w:val="0"/>
                <w:color w:val="1A1A1A"/>
                <w:sz w:val="18"/>
              </w:rPr>
              <w:t>Decision recorded</w:t>
            </w:r>
          </w:p>
        </w:tc>
        <w:tc>
          <w:tcPr>
            <w:tcW w:type="dxa" w:w="4195"/>
            <w:shd w:val="clear" w:color="auto" w:fill="EDE7E1"/>
          </w:tcPr>
          <w:p>
            <w:pPr>
              <w:spacing w:after="40" w:before="40" w:line="259" w:lineRule="auto"/>
            </w:pPr>
            <w:r/>
            <w:r>
              <w:rPr>
                <w:b/>
                <w:i w:val="0"/>
                <w:color w:val="1A1A1A"/>
                <w:sz w:val="18"/>
              </w:rPr>
              <w:t>Effect on the build</w:t>
            </w:r>
          </w:p>
        </w:tc>
      </w:tr>
      <w:tr>
        <w:tc>
          <w:tcPr>
            <w:tcW w:type="dxa" w:w="454"/>
          </w:tcPr>
          <w:p>
            <w:pPr>
              <w:spacing w:after="40" w:before="40" w:line="259" w:lineRule="auto"/>
            </w:pPr>
            <w:r/>
            <w:r>
              <w:rPr>
                <w:b w:val="0"/>
                <w:i w:val="0"/>
                <w:color w:val="1A1A1A"/>
                <w:sz w:val="18"/>
              </w:rPr>
              <w:t>1</w:t>
            </w:r>
          </w:p>
        </w:tc>
        <w:tc>
          <w:tcPr>
            <w:tcW w:type="dxa" w:w="2494"/>
          </w:tcPr>
          <w:p>
            <w:pPr>
              <w:spacing w:after="40" w:before="40" w:line="259" w:lineRule="auto"/>
            </w:pPr>
            <w:r/>
            <w:r>
              <w:rPr>
                <w:b w:val="0"/>
                <w:i w:val="0"/>
                <w:color w:val="1A1A1A"/>
                <w:sz w:val="18"/>
              </w:rPr>
              <w:t>Confirm Sneha's hours as 10am – 10pm</w:t>
            </w:r>
          </w:p>
        </w:tc>
        <w:tc>
          <w:tcPr>
            <w:tcW w:type="dxa" w:w="2268"/>
          </w:tcPr>
          <w:p>
            <w:pPr>
              <w:spacing w:after="40" w:before="40" w:line="259" w:lineRule="auto"/>
            </w:pPr>
            <w:r/>
            <w:r>
              <w:rPr>
                <w:b w:val="0"/>
                <w:i w:val="0"/>
                <w:color w:val="1A1A1A"/>
                <w:sz w:val="18"/>
              </w:rPr>
              <w:t>Confirmed. Printed beside the number.</w:t>
            </w:r>
          </w:p>
        </w:tc>
        <w:tc>
          <w:tcPr>
            <w:tcW w:type="dxa" w:w="4195"/>
          </w:tcPr>
          <w:p>
            <w:pPr>
              <w:spacing w:after="40" w:before="40" w:line="259" w:lineRule="auto"/>
            </w:pPr>
            <w:r/>
            <w:r>
              <w:rPr>
                <w:b w:val="0"/>
                <w:i w:val="0"/>
                <w:color w:val="1A1A1A"/>
                <w:sz w:val="18"/>
              </w:rPr>
              <w:t>The card now says 10 am–10 pm, so somebody calling at 2 am can see the line is closed before they dial.</w:t>
            </w:r>
          </w:p>
        </w:tc>
      </w:tr>
      <w:tr>
        <w:tc>
          <w:tcPr>
            <w:tcW w:type="dxa" w:w="454"/>
          </w:tcPr>
          <w:p>
            <w:pPr>
              <w:spacing w:after="40" w:before="40" w:line="259" w:lineRule="auto"/>
            </w:pPr>
            <w:r/>
            <w:r>
              <w:rPr>
                <w:b w:val="0"/>
                <w:i w:val="0"/>
                <w:color w:val="1A1A1A"/>
                <w:sz w:val="18"/>
              </w:rPr>
              <w:t>2</w:t>
            </w:r>
          </w:p>
        </w:tc>
        <w:tc>
          <w:tcPr>
            <w:tcW w:type="dxa" w:w="2494"/>
          </w:tcPr>
          <w:p>
            <w:pPr>
              <w:spacing w:after="40" w:before="40" w:line="259" w:lineRule="auto"/>
            </w:pPr>
            <w:r/>
            <w:r>
              <w:rPr>
                <w:b w:val="0"/>
                <w:i w:val="0"/>
                <w:color w:val="1A1A1A"/>
                <w:sz w:val="18"/>
              </w:rPr>
              <w:t>Put it before iCall</w:t>
            </w:r>
          </w:p>
        </w:tc>
        <w:tc>
          <w:tcPr>
            <w:tcW w:type="dxa" w:w="2268"/>
          </w:tcPr>
          <w:p>
            <w:pPr>
              <w:spacing w:after="40" w:before="40" w:line="259" w:lineRule="auto"/>
            </w:pPr>
            <w:r/>
            <w:r>
              <w:rPr>
                <w:b w:val="0"/>
                <w:i w:val="0"/>
                <w:color w:val="1A1A1A"/>
                <w:sz w:val="18"/>
              </w:rPr>
              <w:t>NIMHANS moves to fourth; iCall fifth.</w:t>
            </w:r>
          </w:p>
        </w:tc>
        <w:tc>
          <w:tcPr>
            <w:tcW w:type="dxa" w:w="4195"/>
          </w:tcPr>
          <w:p>
            <w:pPr>
              <w:spacing w:after="40" w:before="40" w:line="259" w:lineRule="auto"/>
            </w:pPr>
            <w:r/>
            <w:r>
              <w:rPr>
                <w:b w:val="0"/>
                <w:i w:val="0"/>
                <w:color w:val="1A1A1A"/>
                <w:sz w:val="18"/>
              </w:rPr>
              <w:t>Order: Tele-MANAS, Vandrevala, Sneha, NIMHANS, iCall, 112.</w:t>
            </w:r>
          </w:p>
        </w:tc>
      </w:tr>
      <w:tr>
        <w:tc>
          <w:tcPr>
            <w:tcW w:type="dxa" w:w="454"/>
          </w:tcPr>
          <w:p>
            <w:pPr>
              <w:spacing w:after="40" w:before="40" w:line="259" w:lineRule="auto"/>
            </w:pPr>
            <w:r/>
            <w:r>
              <w:rPr>
                <w:b w:val="0"/>
                <w:i w:val="0"/>
                <w:color w:val="1A1A1A"/>
                <w:sz w:val="18"/>
              </w:rPr>
              <w:t>3</w:t>
            </w:r>
          </w:p>
        </w:tc>
        <w:tc>
          <w:tcPr>
            <w:tcW w:type="dxa" w:w="2494"/>
          </w:tcPr>
          <w:p>
            <w:pPr>
              <w:spacing w:after="40" w:before="40" w:line="259" w:lineRule="auto"/>
            </w:pPr>
            <w:r/>
            <w:r>
              <w:rPr>
                <w:b w:val="0"/>
                <w:i w:val="0"/>
                <w:color w:val="1A1A1A"/>
                <w:sz w:val="18"/>
              </w:rPr>
              <w:t>Self-injury — “send it to S4 … if the app senses that the individual wants to cut or is cutting, crisis card comes up”</w:t>
            </w:r>
          </w:p>
        </w:tc>
        <w:tc>
          <w:tcPr>
            <w:tcW w:type="dxa" w:w="2268"/>
          </w:tcPr>
          <w:p>
            <w:pPr>
              <w:spacing w:after="40" w:before="40" w:line="259" w:lineRule="auto"/>
            </w:pPr>
            <w:r/>
            <w:r>
              <w:rPr>
                <w:b w:val="0"/>
                <w:i w:val="0"/>
                <w:color w:val="1A1A1A"/>
                <w:sz w:val="18"/>
              </w:rPr>
              <w:t>The cutting reply is served on the crisis tier, not the grounding tier.</w:t>
            </w:r>
          </w:p>
        </w:tc>
        <w:tc>
          <w:tcPr>
            <w:tcW w:type="dxa" w:w="4195"/>
          </w:tcPr>
          <w:p>
            <w:pPr>
              <w:spacing w:after="40" w:before="40" w:line="259" w:lineRule="auto"/>
            </w:pPr>
            <w:r/>
            <w:r>
              <w:rPr>
                <w:b w:val="0"/>
                <w:i w:val="0"/>
                <w:color w:val="1A1A1A"/>
                <w:sz w:val="18"/>
              </w:rPr>
              <w:t>Precedence stands unchanged. New string required: an S4 variant for self-injury.</w:t>
            </w:r>
          </w:p>
        </w:tc>
      </w:tr>
      <w:tr>
        <w:tc>
          <w:tcPr>
            <w:tcW w:type="dxa" w:w="454"/>
          </w:tcPr>
          <w:p>
            <w:pPr>
              <w:spacing w:after="40" w:before="40" w:line="259" w:lineRule="auto"/>
            </w:pPr>
            <w:r/>
            <w:r>
              <w:rPr>
                <w:b w:val="0"/>
                <w:i w:val="0"/>
                <w:color w:val="1A1A1A"/>
                <w:sz w:val="18"/>
              </w:rPr>
              <w:t>4</w:t>
            </w:r>
          </w:p>
        </w:tc>
        <w:tc>
          <w:tcPr>
            <w:tcW w:type="dxa" w:w="2494"/>
          </w:tcPr>
          <w:p>
            <w:pPr>
              <w:spacing w:after="40" w:before="40" w:line="259" w:lineRule="auto"/>
            </w:pPr>
            <w:r/>
            <w:r>
              <w:rPr>
                <w:b w:val="0"/>
                <w:i w:val="0"/>
                <w:color w:val="1A1A1A"/>
                <w:sz w:val="18"/>
              </w:rPr>
              <w:t>“ok. drop it” — the ask-about-intent passage</w:t>
            </w:r>
          </w:p>
        </w:tc>
        <w:tc>
          <w:tcPr>
            <w:tcW w:type="dxa" w:w="2268"/>
          </w:tcPr>
          <w:p>
            <w:pPr>
              <w:spacing w:after="40" w:before="40" w:line="259" w:lineRule="auto"/>
            </w:pPr>
            <w:r/>
            <w:r>
              <w:rPr>
                <w:b w:val="0"/>
                <w:i w:val="0"/>
                <w:color w:val="1A1A1A"/>
                <w:sz w:val="18"/>
              </w:rPr>
              <w:t>Dropped.</w:t>
            </w:r>
          </w:p>
        </w:tc>
        <w:tc>
          <w:tcPr>
            <w:tcW w:type="dxa" w:w="4195"/>
          </w:tcPr>
          <w:p>
            <w:pPr>
              <w:spacing w:after="40" w:before="40" w:line="259" w:lineRule="auto"/>
            </w:pPr>
            <w:r/>
            <w:r>
              <w:rPr>
                <w:b w:val="0"/>
                <w:i w:val="0"/>
                <w:color w:val="1A1A1A"/>
                <w:sz w:val="18"/>
              </w:rPr>
              <w:t>The third-party card is rebuilt from her words only. An unreviewed clinical technique leaves the product.</w:t>
            </w:r>
          </w:p>
        </w:tc>
      </w:tr>
      <w:tr>
        <w:tc>
          <w:tcPr>
            <w:tcW w:type="dxa" w:w="454"/>
          </w:tcPr>
          <w:p>
            <w:pPr>
              <w:spacing w:after="40" w:before="40" w:line="259" w:lineRule="auto"/>
            </w:pPr>
            <w:r/>
            <w:r>
              <w:rPr>
                <w:b w:val="0"/>
                <w:i w:val="0"/>
                <w:color w:val="1A1A1A"/>
                <w:sz w:val="18"/>
              </w:rPr>
              <w:t>5</w:t>
            </w:r>
          </w:p>
        </w:tc>
        <w:tc>
          <w:tcPr>
            <w:tcW w:type="dxa" w:w="2494"/>
          </w:tcPr>
          <w:p>
            <w:pPr>
              <w:spacing w:after="40" w:before="40" w:line="259" w:lineRule="auto"/>
            </w:pPr>
            <w:r/>
            <w:r>
              <w:rPr>
                <w:b w:val="0"/>
                <w:i w:val="0"/>
                <w:color w:val="1A1A1A"/>
                <w:sz w:val="18"/>
              </w:rPr>
              <w:t>“Currently, the app is therapist guided, therefore it remains”</w:t>
            </w:r>
          </w:p>
        </w:tc>
        <w:tc>
          <w:tcPr>
            <w:tcW w:type="dxa" w:w="2268"/>
          </w:tcPr>
          <w:p>
            <w:pPr>
              <w:spacing w:after="40" w:before="40" w:line="259" w:lineRule="auto"/>
            </w:pPr>
            <w:r/>
            <w:r>
              <w:rPr>
                <w:b w:val="0"/>
                <w:i w:val="0"/>
                <w:color w:val="1A1A1A"/>
                <w:sz w:val="18"/>
              </w:rPr>
              <w:t>“Please let your therapist know” stays in her wording.</w:t>
            </w:r>
          </w:p>
        </w:tc>
        <w:tc>
          <w:tcPr>
            <w:tcW w:type="dxa" w:w="4195"/>
          </w:tcPr>
          <w:p>
            <w:pPr>
              <w:spacing w:after="40" w:before="40" w:line="259" w:lineRule="auto"/>
            </w:pPr>
            <w:r/>
            <w:r>
              <w:rPr>
                <w:b w:val="0"/>
                <w:i w:val="0"/>
                <w:color w:val="1A1A1A"/>
                <w:sz w:val="18"/>
              </w:rPr>
              <w:t>No softening to “or someone you trust”. The exception path is §10 note 3.</w:t>
            </w:r>
          </w:p>
        </w:tc>
      </w:tr>
      <w:tr>
        <w:tc>
          <w:tcPr>
            <w:tcW w:type="dxa" w:w="454"/>
          </w:tcPr>
          <w:p>
            <w:pPr>
              <w:spacing w:after="40" w:before="40" w:line="259" w:lineRule="auto"/>
            </w:pPr>
            <w:r/>
            <w:r>
              <w:rPr>
                <w:b w:val="0"/>
                <w:i w:val="0"/>
                <w:color w:val="1A1A1A"/>
                <w:sz w:val="18"/>
              </w:rPr>
              <w:t>6</w:t>
            </w:r>
          </w:p>
        </w:tc>
        <w:tc>
          <w:tcPr>
            <w:tcW w:type="dxa" w:w="2494"/>
          </w:tcPr>
          <w:p>
            <w:pPr>
              <w:spacing w:after="40" w:before="40" w:line="259" w:lineRule="auto"/>
            </w:pPr>
            <w:r/>
            <w:r>
              <w:rPr>
                <w:b w:val="0"/>
                <w:i w:val="0"/>
                <w:color w:val="1A1A1A"/>
                <w:sz w:val="18"/>
              </w:rPr>
              <w:t>“ok, remove it” — “trust me”</w:t>
            </w:r>
          </w:p>
        </w:tc>
        <w:tc>
          <w:tcPr>
            <w:tcW w:type="dxa" w:w="2268"/>
          </w:tcPr>
          <w:p>
            <w:pPr>
              <w:spacing w:after="40" w:before="40" w:line="259" w:lineRule="auto"/>
            </w:pPr>
            <w:r/>
            <w:r>
              <w:rPr>
                <w:b w:val="0"/>
                <w:i w:val="0"/>
                <w:color w:val="1A1A1A"/>
                <w:sz w:val="18"/>
              </w:rPr>
              <w:t>Removed.</w:t>
            </w:r>
          </w:p>
        </w:tc>
        <w:tc>
          <w:tcPr>
            <w:tcW w:type="dxa" w:w="4195"/>
          </w:tcPr>
          <w:p>
            <w:pPr>
              <w:spacing w:after="40" w:before="40" w:line="259" w:lineRule="auto"/>
            </w:pPr>
            <w:r/>
            <w:r>
              <w:rPr>
                <w:b w:val="0"/>
                <w:i w:val="0"/>
                <w:color w:val="1A1A1A"/>
                <w:sz w:val="18"/>
              </w:rPr>
              <w:t>One-word edit to her text; nothing else in the sentence changes.</w:t>
            </w:r>
          </w:p>
        </w:tc>
      </w:tr>
      <w:tr>
        <w:tc>
          <w:tcPr>
            <w:tcW w:type="dxa" w:w="454"/>
          </w:tcPr>
          <w:p>
            <w:pPr>
              <w:spacing w:after="40" w:before="40" w:line="259" w:lineRule="auto"/>
            </w:pPr>
            <w:r/>
            <w:r>
              <w:rPr>
                <w:b w:val="0"/>
                <w:i w:val="0"/>
                <w:color w:val="1A1A1A"/>
                <w:sz w:val="18"/>
              </w:rPr>
              <w:t>7</w:t>
            </w:r>
          </w:p>
        </w:tc>
        <w:tc>
          <w:tcPr>
            <w:tcW w:type="dxa" w:w="2494"/>
          </w:tcPr>
          <w:p>
            <w:pPr>
              <w:spacing w:after="40" w:before="40" w:line="259" w:lineRule="auto"/>
            </w:pPr>
            <w:r/>
            <w:r>
              <w:rPr>
                <w:b w:val="0"/>
                <w:i w:val="0"/>
                <w:color w:val="1A1A1A"/>
                <w:sz w:val="18"/>
              </w:rPr>
              <w:t>Hindi triggers — “acceptable for launch”</w:t>
            </w:r>
          </w:p>
        </w:tc>
        <w:tc>
          <w:tcPr>
            <w:tcW w:type="dxa" w:w="2268"/>
          </w:tcPr>
          <w:p>
            <w:pPr>
              <w:spacing w:after="40" w:before="40" w:line="259" w:lineRule="auto"/>
            </w:pPr>
            <w:r/>
            <w:r>
              <w:rPr>
                <w:b w:val="0"/>
                <w:i w:val="0"/>
                <w:color w:val="1A1A1A"/>
                <w:sz w:val="18"/>
              </w:rPr>
              <w:t>Accepted: Hindi and Hinglish messages are answered by English cards.</w:t>
            </w:r>
          </w:p>
        </w:tc>
        <w:tc>
          <w:tcPr>
            <w:tcW w:type="dxa" w:w="4195"/>
          </w:tcPr>
          <w:p>
            <w:pPr>
              <w:spacing w:after="40" w:before="40" w:line="259" w:lineRule="auto"/>
            </w:pPr>
            <w:r/>
            <w:r>
              <w:rPr>
                <w:b w:val="0"/>
                <w:i w:val="0"/>
                <w:color w:val="1A1A1A"/>
                <w:sz w:val="18"/>
              </w:rPr>
              <w:t>No Hindi card is required before launch. Recorded as an accepted risk, §10 note 2.</w:t>
            </w:r>
          </w:p>
        </w:tc>
      </w:tr>
      <w:tr>
        <w:tc>
          <w:tcPr>
            <w:tcW w:type="dxa" w:w="454"/>
          </w:tcPr>
          <w:p>
            <w:pPr>
              <w:spacing w:after="40" w:before="40" w:line="259" w:lineRule="auto"/>
            </w:pPr>
            <w:r/>
            <w:r>
              <w:rPr>
                <w:b w:val="0"/>
                <w:i w:val="0"/>
                <w:color w:val="1A1A1A"/>
                <w:sz w:val="18"/>
              </w:rPr>
              <w:t>8</w:t>
            </w:r>
          </w:p>
        </w:tc>
        <w:tc>
          <w:tcPr>
            <w:tcW w:type="dxa" w:w="2494"/>
          </w:tcPr>
          <w:p>
            <w:pPr>
              <w:spacing w:after="40" w:before="40" w:line="259" w:lineRule="auto"/>
            </w:pPr>
            <w:r/>
            <w:r>
              <w:rPr>
                <w:b w:val="0"/>
                <w:i w:val="0"/>
                <w:color w:val="1A1A1A"/>
                <w:sz w:val="18"/>
              </w:rPr>
              <w:t>“keep +91 9999 666 555, stated 24×7×365”</w:t>
            </w:r>
          </w:p>
        </w:tc>
        <w:tc>
          <w:tcPr>
            <w:tcW w:type="dxa" w:w="2268"/>
          </w:tcPr>
          <w:p>
            <w:pPr>
              <w:spacing w:after="40" w:before="40" w:line="259" w:lineRule="auto"/>
            </w:pPr>
            <w:r/>
            <w:r>
              <w:rPr>
                <w:b w:val="0"/>
                <w:i w:val="0"/>
                <w:color w:val="1A1A1A"/>
                <w:sz w:val="18"/>
              </w:rPr>
              <w:t>One Vandrevala number only, carrying the operator's own 24×7×365 claim.</w:t>
            </w:r>
          </w:p>
        </w:tc>
        <w:tc>
          <w:tcPr>
            <w:tcW w:type="dxa" w:w="4195"/>
          </w:tcPr>
          <w:p>
            <w:pPr>
              <w:spacing w:after="40" w:before="40" w:line="259" w:lineRule="auto"/>
            </w:pPr>
            <w:r/>
            <w:r>
              <w:rPr>
                <w:b w:val="0"/>
                <w:i w:val="0"/>
                <w:color w:val="1A1A1A"/>
                <w:sz w:val="18"/>
              </w:rPr>
              <w:t>1860-2662-345 is retired for the second time — this reverses revision 2.</w:t>
            </w:r>
          </w:p>
        </w:tc>
      </w:tr>
      <w:tr>
        <w:tc>
          <w:tcPr>
            <w:tcW w:type="dxa" w:w="454"/>
          </w:tcPr>
          <w:p>
            <w:pPr>
              <w:spacing w:after="40" w:before="40" w:line="259" w:lineRule="auto"/>
            </w:pPr>
            <w:r/>
            <w:r>
              <w:rPr>
                <w:b w:val="0"/>
                <w:i w:val="0"/>
                <w:color w:val="1A1A1A"/>
                <w:sz w:val="18"/>
              </w:rPr>
              <w:t>9</w:t>
            </w:r>
          </w:p>
        </w:tc>
        <w:tc>
          <w:tcPr>
            <w:tcW w:type="dxa" w:w="2494"/>
          </w:tcPr>
          <w:p>
            <w:pPr>
              <w:spacing w:after="40" w:before="40" w:line="259" w:lineRule="auto"/>
            </w:pPr>
            <w:r/>
            <w:r>
              <w:rPr>
                <w:b w:val="0"/>
                <w:i w:val="0"/>
                <w:color w:val="1A1A1A"/>
                <w:sz w:val="18"/>
              </w:rPr>
              <w:t>iCall — 9152987821, Monday to Saturday, 10 AM to 8 PM</w:t>
            </w:r>
          </w:p>
        </w:tc>
        <w:tc>
          <w:tcPr>
            <w:tcW w:type="dxa" w:w="2268"/>
          </w:tcPr>
          <w:p>
            <w:pPr>
              <w:spacing w:after="40" w:before="40" w:line="259" w:lineRule="auto"/>
            </w:pPr>
            <w:r/>
            <w:r>
              <w:rPr>
                <w:b w:val="0"/>
                <w:i w:val="0"/>
                <w:color w:val="1A1A1A"/>
                <w:sz w:val="18"/>
              </w:rPr>
              <w:t>Hours corrected and printed.</w:t>
            </w:r>
          </w:p>
        </w:tc>
        <w:tc>
          <w:tcPr>
            <w:tcW w:type="dxa" w:w="4195"/>
          </w:tcPr>
          <w:p>
            <w:pPr>
              <w:spacing w:after="40" w:before="40" w:line="259" w:lineRule="auto"/>
            </w:pPr>
            <w:r/>
            <w:r>
              <w:rPr>
                <w:b w:val="0"/>
                <w:i w:val="0"/>
                <w:color w:val="1A1A1A"/>
                <w:sz w:val="18"/>
              </w:rPr>
              <w:t>8 am–9 pm becomes 10 am–8 pm in every string and the app.</w:t>
            </w:r>
          </w:p>
        </w:tc>
      </w:tr>
    </w:tbl>
    <w:p>
      <w:pPr>
        <w:spacing w:after="40"/>
      </w:pPr>
    </w:p>
    <w:tbl>
      <w:tblPr>
        <w:tblStyle w:val="TableGrid"/>
        <w:tblW w:type="auto" w:w="0"/>
        <w:tblLayout w:type="fixed"/>
        <w:tblLook w:firstColumn="1" w:firstRow="1" w:lastColumn="0" w:lastRow="0" w:noHBand="0" w:noVBand="1" w:val="04A0"/>
      </w:tblPr>
      <w:tblGrid>
        <w:gridCol w:w="9638"/>
      </w:tblGrid>
      <w:tr>
        <w:tc>
          <w:tcPr>
            <w:tcW w:type="dxa" w:w="9638"/>
            <w:shd w:val="clear" w:color="auto" w:fill="FBF0EF"/>
          </w:tcPr>
          <w:p>
            <w:pPr>
              <w:spacing w:after="60"/>
            </w:pPr>
            <w:r/>
            <w:r>
              <w:rPr>
                <w:b/>
                <w:sz w:val="19"/>
              </w:rPr>
              <w:t>The one reversal, stated plainly</w:t>
            </w:r>
          </w:p>
          <w:p>
            <w:pPr>
              <w:spacing w:after="60" w:line="269" w:lineRule="auto"/>
            </w:pPr>
            <w:r>
              <w:rPr>
                <w:sz w:val="19"/>
              </w:rPr>
              <w:t>Revision 2 recorded instruction 5 as “show both +91-9999666555, 1860-2662-345”, and rev 2 built both into four cards. Instruction 8 of this message supersedes it: one number, the 9999 one, stated 24×7×365. That is the number Vandrevala publishes on its own site; the 1860 number appears nowhere on it, which is what I flagged. So this revision returns the set to what the branch already ships on this point, and the reversal costs no build work — only the record has to say which instruction governs. Nothing was built between her two messages, so no shipped copy is wrong.</w:t>
            </w:r>
          </w:p>
        </w:tc>
      </w:tr>
    </w:tbl>
    <w:p>
      <w:pPr>
        <w:spacing w:after="40"/>
      </w:pPr>
    </w:p>
    <w:p>
      <w:pPr>
        <w:pStyle w:val="Heading1"/>
        <w:keepNext/>
        <w:pBdr>
          <w:bottom w:val="single" w:sz="6" w:space="2" w:color="D8CFC6"/>
        </w:pBdr>
        <w:spacing w:before="320" w:after="120"/>
      </w:pPr>
      <w:r>
        <w:rPr>
          <w:rFonts w:ascii="Calibri" w:hAnsi="Calibri"/>
          <w:b/>
          <w:color w:val="8C2F2F"/>
          <w:sz w:val="28"/>
        </w:rPr>
        <w:t>2. The helplines — the set, in her final order</w:t>
      </w:r>
    </w:p>
    <w:p>
      <w:pPr>
        <w:pStyle w:val="Heading2"/>
        <w:keepNext/>
        <w:spacing w:before="240" w:after="80"/>
      </w:pPr>
      <w:r>
        <w:rPr>
          <w:rFonts w:ascii="Calibri" w:hAnsi="Calibri"/>
          <w:b/>
          <w:color w:val="1A1A1A"/>
          <w:sz w:val="23"/>
        </w:rPr>
        <w:t>2.1 Her instructions, verbatim</w:t>
      </w:r>
    </w:p>
    <w:p>
      <w:pPr>
        <w:spacing w:after="80" w:line="276" w:lineRule="auto"/>
      </w:pPr>
      <w:r>
        <w:rPr>
          <w:b w:val="0"/>
          <w:i w:val="0"/>
          <w:color w:val="1A1A1A"/>
          <w:sz w:val="21"/>
        </w:rPr>
        <w:t>From her message of 31 October 2026 (third of the day), on the numbers:</w:t>
      </w:r>
    </w:p>
    <w:p>
      <w:pPr>
        <w:pBdr>
          <w:left w:val="single" w:sz="12" w:space="8" w:color="B08A7A"/>
        </w:pBdr>
        <w:shd w:val="clear" w:color="auto" w:fill="F7F7F5"/>
        <w:spacing w:before="40" w:after="160" w:line="288" w:lineRule="auto"/>
        <w:ind w:left="283"/>
      </w:pPr>
      <w:r>
        <w:rPr>
          <w:i w:val="0"/>
          <w:color w:val="1A1A1A"/>
          <w:sz w:val="21"/>
        </w:rPr>
        <w:t>1. Confirm Sneha's hours as 10am - 10 pm</w:t>
      </w:r>
    </w:p>
    <w:p>
      <w:pPr>
        <w:pBdr>
          <w:left w:val="single" w:sz="12" w:space="8" w:color="B08A7A"/>
        </w:pBdr>
        <w:shd w:val="clear" w:color="auto" w:fill="F7F7F5"/>
        <w:spacing w:before="40" w:after="160" w:line="288" w:lineRule="auto"/>
        <w:ind w:left="283"/>
      </w:pPr>
      <w:r>
        <w:rPr>
          <w:i w:val="0"/>
          <w:color w:val="1A1A1A"/>
          <w:sz w:val="21"/>
        </w:rPr>
        <w:t>2. Put it before iCall</w:t>
      </w:r>
    </w:p>
    <w:p>
      <w:pPr>
        <w:pBdr>
          <w:left w:val="single" w:sz="12" w:space="8" w:color="B08A7A"/>
        </w:pBdr>
        <w:shd w:val="clear" w:color="auto" w:fill="F7F7F5"/>
        <w:spacing w:before="40" w:after="160" w:line="288" w:lineRule="auto"/>
        <w:ind w:left="283"/>
      </w:pPr>
      <w:r>
        <w:rPr>
          <w:i w:val="0"/>
          <w:color w:val="1A1A1A"/>
          <w:sz w:val="21"/>
        </w:rPr>
        <w:t>8. ok, keep +91 9999 666 555, stated 24×7×365</w:t>
      </w:r>
    </w:p>
    <w:p>
      <w:pPr>
        <w:pBdr>
          <w:left w:val="single" w:sz="12" w:space="8" w:color="B08A7A"/>
        </w:pBdr>
        <w:shd w:val="clear" w:color="auto" w:fill="F7F7F5"/>
        <w:spacing w:before="40" w:after="160" w:line="288" w:lineRule="auto"/>
        <w:ind w:left="283"/>
      </w:pPr>
      <w:r>
        <w:rPr>
          <w:i w:val="0"/>
          <w:color w:val="1A1A1A"/>
          <w:sz w:val="21"/>
        </w:rPr>
        <w:t>9. iCall - Telephone: 9152987821 (Monday to Saturday, 10 AM to 8 PM)</w:t>
      </w:r>
    </w:p>
    <w:p>
      <w:pPr>
        <w:spacing w:after="160" w:line="276" w:lineRule="auto"/>
      </w:pPr>
      <w:r>
        <w:rPr>
          <w:b w:val="0"/>
          <w:i w:val="0"/>
          <w:color w:val="1A1A1A"/>
          <w:sz w:val="21"/>
        </w:rPr>
        <w:t>Read with her earlier instruction of the same day — Tele-MANAS first, then Vandrevala, then Sneha, then iCall with its specification, and iCall last — the sequence is now complete and fully ordered by her. Nothing in it is my placement.</w:t>
      </w:r>
    </w:p>
    <w:p>
      <w:pPr>
        <w:pStyle w:val="Heading2"/>
        <w:keepNext/>
        <w:spacing w:before="240" w:after="80"/>
      </w:pPr>
      <w:r>
        <w:rPr>
          <w:rFonts w:ascii="Calibri" w:hAnsi="Calibri"/>
          <w:b/>
          <w:color w:val="1A1A1A"/>
          <w:sz w:val="23"/>
        </w:rPr>
        <w:t>2.2 The approved set</w:t>
      </w:r>
    </w:p>
    <w:tbl>
      <w:tblPr>
        <w:tblStyle w:val="TableGrid"/>
        <w:tblW w:type="auto" w:w="0"/>
        <w:jc w:val="center"/>
        <w:tblLayout w:type="fixed"/>
        <w:tblLook w:firstColumn="1" w:firstRow="1" w:lastColumn="0" w:lastRow="0" w:noHBand="0" w:noVBand="1" w:val="04A0"/>
      </w:tblPr>
      <w:tblGrid>
        <w:gridCol w:w="524"/>
        <w:gridCol w:w="1519"/>
        <w:gridCol w:w="1781"/>
        <w:gridCol w:w="1571"/>
        <w:gridCol w:w="2305"/>
        <w:gridCol w:w="1938"/>
      </w:tblGrid>
      <w:tr>
        <w:trPr>
          <w:tblHeader/>
        </w:trPr>
        <w:tc>
          <w:tcPr>
            <w:tcW w:type="dxa" w:w="524"/>
            <w:shd w:val="clear" w:color="auto" w:fill="EDE7E1"/>
          </w:tcPr>
          <w:p>
            <w:pPr>
              <w:spacing w:after="40" w:before="40" w:line="259" w:lineRule="auto"/>
            </w:pPr>
            <w:r/>
            <w:r>
              <w:rPr>
                <w:b/>
                <w:i w:val="0"/>
                <w:color w:val="1A1A1A"/>
                <w:sz w:val="17"/>
              </w:rPr>
              <w:t>Order</w:t>
            </w:r>
          </w:p>
        </w:tc>
        <w:tc>
          <w:tcPr>
            <w:tcW w:type="dxa" w:w="1519"/>
            <w:shd w:val="clear" w:color="auto" w:fill="EDE7E1"/>
          </w:tcPr>
          <w:p>
            <w:pPr>
              <w:spacing w:after="40" w:before="40" w:line="259" w:lineRule="auto"/>
            </w:pPr>
            <w:r/>
            <w:r>
              <w:rPr>
                <w:b/>
                <w:i w:val="0"/>
                <w:color w:val="1A1A1A"/>
                <w:sz w:val="17"/>
              </w:rPr>
              <w:t>Service</w:t>
            </w:r>
          </w:p>
        </w:tc>
        <w:tc>
          <w:tcPr>
            <w:tcW w:type="dxa" w:w="1781"/>
            <w:shd w:val="clear" w:color="auto" w:fill="EDE7E1"/>
          </w:tcPr>
          <w:p>
            <w:pPr>
              <w:spacing w:after="40" w:before="40" w:line="259" w:lineRule="auto"/>
            </w:pPr>
            <w:r/>
            <w:r>
              <w:rPr>
                <w:b/>
                <w:i w:val="0"/>
                <w:color w:val="1A1A1A"/>
                <w:sz w:val="17"/>
              </w:rPr>
              <w:t>Number as approved</w:t>
            </w:r>
          </w:p>
        </w:tc>
        <w:tc>
          <w:tcPr>
            <w:tcW w:type="dxa" w:w="1571"/>
            <w:shd w:val="clear" w:color="auto" w:fill="EDE7E1"/>
          </w:tcPr>
          <w:p>
            <w:pPr>
              <w:spacing w:after="40" w:before="40" w:line="259" w:lineRule="auto"/>
            </w:pPr>
            <w:r/>
            <w:r>
              <w:rPr>
                <w:b/>
                <w:i w:val="0"/>
                <w:color w:val="1A1A1A"/>
                <w:sz w:val="17"/>
              </w:rPr>
              <w:t>Who runs it</w:t>
            </w:r>
          </w:p>
        </w:tc>
        <w:tc>
          <w:tcPr>
            <w:tcW w:type="dxa" w:w="2305"/>
            <w:shd w:val="clear" w:color="auto" w:fill="EDE7E1"/>
          </w:tcPr>
          <w:p>
            <w:pPr>
              <w:spacing w:after="40" w:before="40" w:line="259" w:lineRule="auto"/>
            </w:pPr>
            <w:r/>
            <w:r>
              <w:rPr>
                <w:b/>
                <w:i w:val="0"/>
                <w:color w:val="1A1A1A"/>
                <w:sz w:val="17"/>
              </w:rPr>
              <w:t>Hours — verified 31 Oct 2026</w:t>
            </w:r>
          </w:p>
        </w:tc>
        <w:tc>
          <w:tcPr>
            <w:tcW w:type="dxa" w:w="1938"/>
            <w:shd w:val="clear" w:color="auto" w:fill="EDE7E1"/>
          </w:tcPr>
          <w:p>
            <w:pPr>
              <w:spacing w:after="40" w:before="40" w:line="259" w:lineRule="auto"/>
            </w:pPr>
            <w:r/>
            <w:r>
              <w:rPr>
                <w:b/>
                <w:i w:val="0"/>
                <w:color w:val="1A1A1A"/>
                <w:sz w:val="17"/>
              </w:rPr>
              <w:t>In the product today</w:t>
            </w:r>
          </w:p>
        </w:tc>
      </w:tr>
      <w:tr>
        <w:tc>
          <w:tcPr>
            <w:tcW w:type="dxa" w:w="524"/>
          </w:tcPr>
          <w:p>
            <w:pPr>
              <w:spacing w:after="40" w:before="40" w:line="259" w:lineRule="auto"/>
            </w:pPr>
            <w:r/>
            <w:r>
              <w:rPr>
                <w:b w:val="0"/>
                <w:i w:val="0"/>
                <w:color w:val="1A1A1A"/>
                <w:sz w:val="17"/>
              </w:rPr>
              <w:t>1</w:t>
            </w:r>
          </w:p>
        </w:tc>
        <w:tc>
          <w:tcPr>
            <w:tcW w:type="dxa" w:w="1519"/>
          </w:tcPr>
          <w:p>
            <w:pPr>
              <w:spacing w:after="40" w:before="40" w:line="259" w:lineRule="auto"/>
            </w:pPr>
            <w:r/>
            <w:r>
              <w:rPr>
                <w:b w:val="0"/>
                <w:i w:val="0"/>
                <w:color w:val="1A1A1A"/>
                <w:sz w:val="17"/>
              </w:rPr>
              <w:t>Tele-MANAS</w:t>
            </w:r>
          </w:p>
        </w:tc>
        <w:tc>
          <w:tcPr>
            <w:tcW w:type="dxa" w:w="1781"/>
          </w:tcPr>
          <w:p>
            <w:pPr>
              <w:spacing w:after="40" w:before="40" w:line="259" w:lineRule="auto"/>
            </w:pPr>
            <w:r/>
            <w:r>
              <w:rPr>
                <w:b w:val="0"/>
                <w:i w:val="0"/>
                <w:color w:val="1A1A1A"/>
                <w:sz w:val="17"/>
              </w:rPr>
              <w:t>14416 (also 1-800-891-4416)</w:t>
            </w:r>
          </w:p>
        </w:tc>
        <w:tc>
          <w:tcPr>
            <w:tcW w:type="dxa" w:w="1571"/>
          </w:tcPr>
          <w:p>
            <w:pPr>
              <w:spacing w:after="40" w:before="40" w:line="259" w:lineRule="auto"/>
            </w:pPr>
            <w:r/>
            <w:r>
              <w:rPr>
                <w:b w:val="0"/>
                <w:i w:val="0"/>
                <w:color w:val="1A1A1A"/>
                <w:sz w:val="17"/>
              </w:rPr>
              <w:t>Government of India, MoHFW; NIMHANS is nodal</w:t>
            </w:r>
          </w:p>
        </w:tc>
        <w:tc>
          <w:tcPr>
            <w:tcW w:type="dxa" w:w="2305"/>
          </w:tcPr>
          <w:p>
            <w:pPr>
              <w:spacing w:after="40" w:before="40" w:line="259" w:lineRule="auto"/>
            </w:pPr>
            <w:r/>
            <w:r>
              <w:rPr>
                <w:b w:val="0"/>
                <w:i w:val="0"/>
                <w:color w:val="1A1A1A"/>
                <w:sz w:val="17"/>
              </w:rPr>
              <w:t>24×7, toll-free — confirmed by her and by MoHFW/NIMHANS material</w:t>
            </w:r>
          </w:p>
        </w:tc>
        <w:tc>
          <w:tcPr>
            <w:tcW w:type="dxa" w:w="1938"/>
          </w:tcPr>
          <w:p>
            <w:pPr>
              <w:spacing w:after="40" w:before="40" w:line="259" w:lineRule="auto"/>
            </w:pPr>
            <w:r/>
            <w:r>
              <w:rPr>
                <w:b w:val="0"/>
                <w:i w:val="0"/>
                <w:color w:val="1A1A1A"/>
                <w:sz w:val="17"/>
              </w:rPr>
              <w:t>Live, first</w:t>
            </w:r>
          </w:p>
        </w:tc>
      </w:tr>
      <w:tr>
        <w:tc>
          <w:tcPr>
            <w:tcW w:type="dxa" w:w="524"/>
          </w:tcPr>
          <w:p>
            <w:pPr>
              <w:spacing w:after="40" w:before="40" w:line="259" w:lineRule="auto"/>
            </w:pPr>
            <w:r/>
            <w:r>
              <w:rPr>
                <w:b w:val="0"/>
                <w:i w:val="0"/>
                <w:color w:val="1A1A1A"/>
                <w:sz w:val="17"/>
              </w:rPr>
              <w:t>2</w:t>
            </w:r>
          </w:p>
        </w:tc>
        <w:tc>
          <w:tcPr>
            <w:tcW w:type="dxa" w:w="1519"/>
          </w:tcPr>
          <w:p>
            <w:pPr>
              <w:spacing w:after="40" w:before="40" w:line="259" w:lineRule="auto"/>
            </w:pPr>
            <w:r/>
            <w:r>
              <w:rPr>
                <w:b w:val="0"/>
                <w:i w:val="0"/>
                <w:color w:val="1A1A1A"/>
                <w:sz w:val="17"/>
              </w:rPr>
              <w:t>Vandrevala Foundation</w:t>
            </w:r>
          </w:p>
        </w:tc>
        <w:tc>
          <w:tcPr>
            <w:tcW w:type="dxa" w:w="1781"/>
          </w:tcPr>
          <w:p>
            <w:pPr>
              <w:spacing w:after="40" w:before="40" w:line="259" w:lineRule="auto"/>
            </w:pPr>
            <w:r/>
            <w:r>
              <w:rPr>
                <w:b w:val="0"/>
                <w:i w:val="0"/>
                <w:color w:val="1A1A1A"/>
                <w:sz w:val="17"/>
              </w:rPr>
              <w:t>+91 9999 666 555 (WhatsApp on the same number)</w:t>
            </w:r>
          </w:p>
        </w:tc>
        <w:tc>
          <w:tcPr>
            <w:tcW w:type="dxa" w:w="1571"/>
          </w:tcPr>
          <w:p>
            <w:pPr>
              <w:spacing w:after="40" w:before="40" w:line="259" w:lineRule="auto"/>
            </w:pPr>
            <w:r/>
            <w:r>
              <w:rPr>
                <w:b w:val="0"/>
                <w:i w:val="0"/>
                <w:color w:val="1A1A1A"/>
                <w:sz w:val="17"/>
              </w:rPr>
              <w:t>Vandrevala Foundation</w:t>
            </w:r>
          </w:p>
        </w:tc>
        <w:tc>
          <w:tcPr>
            <w:tcW w:type="dxa" w:w="2305"/>
          </w:tcPr>
          <w:p>
            <w:pPr>
              <w:spacing w:after="40" w:before="40" w:line="259" w:lineRule="auto"/>
            </w:pPr>
            <w:r/>
            <w:r>
              <w:rPr>
                <w:b w:val="0"/>
                <w:i w:val="0"/>
                <w:color w:val="1A1A1A"/>
                <w:sz w:val="17"/>
              </w:rPr>
              <w:t>24×7×365 on the operator's own site — the claim she authorised</w:t>
            </w:r>
          </w:p>
        </w:tc>
        <w:tc>
          <w:tcPr>
            <w:tcW w:type="dxa" w:w="1938"/>
          </w:tcPr>
          <w:p>
            <w:pPr>
              <w:spacing w:after="40" w:before="40" w:line="259" w:lineRule="auto"/>
            </w:pPr>
            <w:r/>
            <w:r>
              <w:rPr>
                <w:b w:val="0"/>
                <w:i w:val="0"/>
                <w:color w:val="1A1A1A"/>
                <w:sz w:val="17"/>
              </w:rPr>
              <w:t>Live; the 24×7×365 label is added by this revision</w:t>
            </w:r>
          </w:p>
        </w:tc>
      </w:tr>
      <w:tr>
        <w:tc>
          <w:tcPr>
            <w:tcW w:type="dxa" w:w="524"/>
          </w:tcPr>
          <w:p>
            <w:pPr>
              <w:spacing w:after="40" w:before="40" w:line="259" w:lineRule="auto"/>
            </w:pPr>
            <w:r/>
            <w:r>
              <w:rPr>
                <w:b w:val="0"/>
                <w:i w:val="0"/>
                <w:color w:val="1A1A1A"/>
                <w:sz w:val="17"/>
              </w:rPr>
              <w:t>3</w:t>
            </w:r>
          </w:p>
        </w:tc>
        <w:tc>
          <w:tcPr>
            <w:tcW w:type="dxa" w:w="1519"/>
          </w:tcPr>
          <w:p>
            <w:pPr>
              <w:spacing w:after="40" w:before="40" w:line="259" w:lineRule="auto"/>
            </w:pPr>
            <w:r/>
            <w:r>
              <w:rPr>
                <w:b w:val="0"/>
                <w:i w:val="0"/>
                <w:color w:val="1A1A1A"/>
                <w:sz w:val="17"/>
              </w:rPr>
              <w:t>Sneha, Chennai</w:t>
            </w:r>
          </w:p>
        </w:tc>
        <w:tc>
          <w:tcPr>
            <w:tcW w:type="dxa" w:w="1781"/>
          </w:tcPr>
          <w:p>
            <w:pPr>
              <w:spacing w:after="40" w:before="40" w:line="259" w:lineRule="auto"/>
            </w:pPr>
            <w:r/>
            <w:r>
              <w:rPr>
                <w:b w:val="0"/>
                <w:i w:val="0"/>
                <w:color w:val="1A1A1A"/>
                <w:sz w:val="17"/>
              </w:rPr>
              <w:t>044-24640050</w:t>
            </w:r>
          </w:p>
        </w:tc>
        <w:tc>
          <w:tcPr>
            <w:tcW w:type="dxa" w:w="1571"/>
          </w:tcPr>
          <w:p>
            <w:pPr>
              <w:spacing w:after="40" w:before="40" w:line="259" w:lineRule="auto"/>
            </w:pPr>
            <w:r/>
            <w:r>
              <w:rPr>
                <w:b w:val="0"/>
                <w:i w:val="0"/>
                <w:color w:val="1A1A1A"/>
                <w:sz w:val="17"/>
              </w:rPr>
              <w:t>Sneha Foundation Trust, R.A. Puram</w:t>
            </w:r>
          </w:p>
        </w:tc>
        <w:tc>
          <w:tcPr>
            <w:tcW w:type="dxa" w:w="2305"/>
          </w:tcPr>
          <w:p>
            <w:pPr>
              <w:spacing w:after="40" w:before="40" w:line="259" w:lineRule="auto"/>
            </w:pPr>
            <w:r/>
            <w:r>
              <w:rPr>
                <w:b w:val="0"/>
                <w:i w:val="0"/>
                <w:color w:val="1A1A1A"/>
                <w:sz w:val="17"/>
              </w:rPr>
              <w:t>10 am–10 pm, all days — confirmed by her, and what the Trust publishes</w:t>
            </w:r>
          </w:p>
        </w:tc>
        <w:tc>
          <w:tcPr>
            <w:tcW w:type="dxa" w:w="1938"/>
          </w:tcPr>
          <w:p>
            <w:pPr>
              <w:spacing w:after="40" w:before="40" w:line="259" w:lineRule="auto"/>
            </w:pPr>
            <w:r/>
            <w:r>
              <w:rPr>
                <w:b w:val="0"/>
                <w:i w:val="0"/>
                <w:color w:val="1A1A1A"/>
                <w:sz w:val="17"/>
              </w:rPr>
              <w:t>Live, spelled “Sneha” since b7aca89</w:t>
            </w:r>
          </w:p>
        </w:tc>
      </w:tr>
      <w:tr>
        <w:tc>
          <w:tcPr>
            <w:tcW w:type="dxa" w:w="524"/>
          </w:tcPr>
          <w:p>
            <w:pPr>
              <w:spacing w:after="40" w:before="40" w:line="259" w:lineRule="auto"/>
            </w:pPr>
            <w:r/>
            <w:r>
              <w:rPr>
                <w:b w:val="0"/>
                <w:i w:val="0"/>
                <w:color w:val="1A1A1A"/>
                <w:sz w:val="17"/>
              </w:rPr>
              <w:t>4</w:t>
            </w:r>
          </w:p>
        </w:tc>
        <w:tc>
          <w:tcPr>
            <w:tcW w:type="dxa" w:w="1519"/>
          </w:tcPr>
          <w:p>
            <w:pPr>
              <w:spacing w:after="40" w:before="40" w:line="259" w:lineRule="auto"/>
            </w:pPr>
            <w:r/>
            <w:r>
              <w:rPr>
                <w:b w:val="0"/>
                <w:i w:val="0"/>
                <w:color w:val="1A1A1A"/>
                <w:sz w:val="17"/>
              </w:rPr>
              <w:t>NIMHANS</w:t>
            </w:r>
          </w:p>
        </w:tc>
        <w:tc>
          <w:tcPr>
            <w:tcW w:type="dxa" w:w="1781"/>
          </w:tcPr>
          <w:p>
            <w:pPr>
              <w:spacing w:after="40" w:before="40" w:line="259" w:lineRule="auto"/>
            </w:pPr>
            <w:r/>
            <w:r>
              <w:rPr>
                <w:b w:val="0"/>
                <w:i w:val="0"/>
                <w:color w:val="1A1A1A"/>
                <w:sz w:val="17"/>
              </w:rPr>
              <w:t>080-46110007</w:t>
            </w:r>
          </w:p>
        </w:tc>
        <w:tc>
          <w:tcPr>
            <w:tcW w:type="dxa" w:w="1571"/>
          </w:tcPr>
          <w:p>
            <w:pPr>
              <w:spacing w:after="40" w:before="40" w:line="259" w:lineRule="auto"/>
            </w:pPr>
            <w:r/>
            <w:r>
              <w:rPr>
                <w:b w:val="0"/>
                <w:i w:val="0"/>
                <w:color w:val="1A1A1A"/>
                <w:sz w:val="17"/>
              </w:rPr>
              <w:t>NIMHANS, Bengaluru</w:t>
            </w:r>
          </w:p>
        </w:tc>
        <w:tc>
          <w:tcPr>
            <w:tcW w:type="dxa" w:w="2305"/>
          </w:tcPr>
          <w:p>
            <w:pPr>
              <w:spacing w:after="40" w:before="40" w:line="259" w:lineRule="auto"/>
            </w:pPr>
            <w:r/>
            <w:r>
              <w:rPr>
                <w:b w:val="0"/>
                <w:i w:val="0"/>
                <w:color w:val="1A1A1A"/>
                <w:sz w:val="17"/>
              </w:rPr>
              <w:t>24×7, toll-free, per the institute's own helpline page</w:t>
            </w:r>
          </w:p>
        </w:tc>
        <w:tc>
          <w:tcPr>
            <w:tcW w:type="dxa" w:w="1938"/>
          </w:tcPr>
          <w:p>
            <w:pPr>
              <w:spacing w:after="40" w:before="40" w:line="259" w:lineRule="auto"/>
            </w:pPr>
            <w:r/>
            <w:r>
              <w:rPr>
                <w:b w:val="0"/>
                <w:i w:val="0"/>
                <w:color w:val="1A1A1A"/>
                <w:sz w:val="17"/>
              </w:rPr>
              <w:t>Retired at b7aca89 — reinstated by this revision, fourth</w:t>
            </w:r>
          </w:p>
        </w:tc>
      </w:tr>
      <w:tr>
        <w:tc>
          <w:tcPr>
            <w:tcW w:type="dxa" w:w="524"/>
          </w:tcPr>
          <w:p>
            <w:pPr>
              <w:spacing w:after="40" w:before="40" w:line="259" w:lineRule="auto"/>
            </w:pPr>
            <w:r/>
            <w:r>
              <w:rPr>
                <w:b w:val="0"/>
                <w:i w:val="0"/>
                <w:color w:val="1A1A1A"/>
                <w:sz w:val="17"/>
              </w:rPr>
              <w:t>5</w:t>
            </w:r>
          </w:p>
        </w:tc>
        <w:tc>
          <w:tcPr>
            <w:tcW w:type="dxa" w:w="1519"/>
          </w:tcPr>
          <w:p>
            <w:pPr>
              <w:spacing w:after="40" w:before="40" w:line="259" w:lineRule="auto"/>
            </w:pPr>
            <w:r/>
            <w:r>
              <w:rPr>
                <w:b w:val="0"/>
                <w:i w:val="0"/>
                <w:color w:val="1A1A1A"/>
                <w:sz w:val="17"/>
              </w:rPr>
              <w:t>iCall</w:t>
            </w:r>
          </w:p>
        </w:tc>
        <w:tc>
          <w:tcPr>
            <w:tcW w:type="dxa" w:w="1781"/>
          </w:tcPr>
          <w:p>
            <w:pPr>
              <w:spacing w:after="40" w:before="40" w:line="259" w:lineRule="auto"/>
            </w:pPr>
            <w:r/>
            <w:r>
              <w:rPr>
                <w:b w:val="0"/>
                <w:i w:val="0"/>
                <w:color w:val="1A1A1A"/>
                <w:sz w:val="17"/>
              </w:rPr>
              <w:t>9152987821</w:t>
            </w:r>
          </w:p>
        </w:tc>
        <w:tc>
          <w:tcPr>
            <w:tcW w:type="dxa" w:w="1571"/>
          </w:tcPr>
          <w:p>
            <w:pPr>
              <w:spacing w:after="40" w:before="40" w:line="259" w:lineRule="auto"/>
            </w:pPr>
            <w:r/>
            <w:r>
              <w:rPr>
                <w:b w:val="0"/>
                <w:i w:val="0"/>
                <w:color w:val="1A1A1A"/>
                <w:sz w:val="17"/>
              </w:rPr>
              <w:t>TISS, School of Human Ecology, Mumbai</w:t>
            </w:r>
          </w:p>
        </w:tc>
        <w:tc>
          <w:tcPr>
            <w:tcW w:type="dxa" w:w="2305"/>
          </w:tcPr>
          <w:p>
            <w:pPr>
              <w:spacing w:after="40" w:before="40" w:line="259" w:lineRule="auto"/>
            </w:pPr>
            <w:r/>
            <w:r>
              <w:rPr>
                <w:b w:val="0"/>
                <w:i w:val="0"/>
                <w:color w:val="1A1A1A"/>
                <w:sz w:val="17"/>
              </w:rPr>
              <w:t>Mon–Sat, 10 am–8 pm (phone); email answered within 24 h — her figure, and TISS's</w:t>
            </w:r>
          </w:p>
        </w:tc>
        <w:tc>
          <w:tcPr>
            <w:tcW w:type="dxa" w:w="1938"/>
          </w:tcPr>
          <w:p>
            <w:pPr>
              <w:spacing w:after="40" w:before="40" w:line="259" w:lineRule="auto"/>
            </w:pPr>
            <w:r/>
            <w:r>
              <w:rPr>
                <w:b w:val="0"/>
                <w:i w:val="0"/>
                <w:color w:val="1A1A1A"/>
                <w:sz w:val="17"/>
              </w:rPr>
              <w:t>Live last; hours change 8 am–9 pm → 10 am–8 pm</w:t>
            </w:r>
          </w:p>
        </w:tc>
      </w:tr>
      <w:tr>
        <w:tc>
          <w:tcPr>
            <w:tcW w:type="dxa" w:w="524"/>
          </w:tcPr>
          <w:p>
            <w:pPr>
              <w:spacing w:after="40" w:before="40" w:line="259" w:lineRule="auto"/>
            </w:pPr>
            <w:r/>
            <w:r>
              <w:rPr>
                <w:b w:val="0"/>
                <w:i w:val="0"/>
                <w:color w:val="1A1A1A"/>
                <w:sz w:val="17"/>
              </w:rPr>
              <w:t>6</w:t>
            </w:r>
          </w:p>
        </w:tc>
        <w:tc>
          <w:tcPr>
            <w:tcW w:type="dxa" w:w="1519"/>
          </w:tcPr>
          <w:p>
            <w:pPr>
              <w:spacing w:after="40" w:before="40" w:line="259" w:lineRule="auto"/>
            </w:pPr>
            <w:r/>
            <w:r>
              <w:rPr>
                <w:b w:val="0"/>
                <w:i w:val="0"/>
                <w:color w:val="1A1A1A"/>
                <w:sz w:val="17"/>
              </w:rPr>
              <w:t>Emergency</w:t>
            </w:r>
          </w:p>
        </w:tc>
        <w:tc>
          <w:tcPr>
            <w:tcW w:type="dxa" w:w="1781"/>
          </w:tcPr>
          <w:p>
            <w:pPr>
              <w:spacing w:after="40" w:before="40" w:line="259" w:lineRule="auto"/>
            </w:pPr>
            <w:r/>
            <w:r>
              <w:rPr>
                <w:b w:val="0"/>
                <w:i w:val="0"/>
                <w:color w:val="1A1A1A"/>
                <w:sz w:val="17"/>
              </w:rPr>
              <w:t>112</w:t>
            </w:r>
          </w:p>
        </w:tc>
        <w:tc>
          <w:tcPr>
            <w:tcW w:type="dxa" w:w="1571"/>
          </w:tcPr>
          <w:p>
            <w:pPr>
              <w:spacing w:after="40" w:before="40" w:line="259" w:lineRule="auto"/>
            </w:pPr>
            <w:r/>
            <w:r>
              <w:rPr>
                <w:b w:val="0"/>
                <w:i w:val="0"/>
                <w:color w:val="1A1A1A"/>
                <w:sz w:val="17"/>
              </w:rPr>
              <w:t>Government of India</w:t>
            </w:r>
          </w:p>
        </w:tc>
        <w:tc>
          <w:tcPr>
            <w:tcW w:type="dxa" w:w="2305"/>
          </w:tcPr>
          <w:p>
            <w:pPr>
              <w:spacing w:after="40" w:before="40" w:line="259" w:lineRule="auto"/>
            </w:pPr>
            <w:r/>
            <w:r>
              <w:rPr>
                <w:b w:val="0"/>
                <w:i w:val="0"/>
                <w:color w:val="1A1A1A"/>
                <w:sz w:val="17"/>
              </w:rPr>
              <w:t>24×7</w:t>
            </w:r>
          </w:p>
        </w:tc>
        <w:tc>
          <w:tcPr>
            <w:tcW w:type="dxa" w:w="1938"/>
          </w:tcPr>
          <w:p>
            <w:pPr>
              <w:spacing w:after="40" w:before="40" w:line="259" w:lineRule="auto"/>
            </w:pPr>
            <w:r/>
            <w:r>
              <w:rPr>
                <w:b w:val="0"/>
                <w:i w:val="0"/>
                <w:color w:val="1A1A1A"/>
                <w:sz w:val="17"/>
              </w:rPr>
              <w:t>Live on the third-party card and 112-first medical cards; added to S3/S4 by revision 2</w:t>
            </w:r>
          </w:p>
        </w:tc>
      </w:tr>
    </w:tbl>
    <w:p>
      <w:pPr>
        <w:spacing w:after="40"/>
      </w:pPr>
    </w:p>
    <w:p>
      <w:pPr>
        <w:pStyle w:val="Heading2"/>
        <w:keepNext/>
        <w:spacing w:before="240" w:after="80"/>
      </w:pPr>
      <w:r>
        <w:rPr>
          <w:rFonts w:ascii="Calibri" w:hAnsi="Calibri"/>
          <w:b/>
          <w:color w:val="1A1A1A"/>
          <w:sz w:val="23"/>
        </w:rPr>
        <w:t>2.3 What I re-checked today, and the one thing that still does not line up</w:t>
      </w:r>
    </w:p>
    <w:p>
      <w:pPr>
        <w:spacing w:after="120" w:line="276" w:lineRule="auto"/>
      </w:pPr>
      <w:r>
        <w:rPr>
          <w:b w:val="0"/>
          <w:i w:val="0"/>
          <w:color w:val="1A1A1A"/>
          <w:sz w:val="21"/>
        </w:rPr>
        <w:t>Her instructions are clinical decisions and I have taken them as given. I re-checked the three facts they now rest on against the services' own pages on 31 October 2026.</w:t>
      </w:r>
    </w:p>
    <w:p>
      <w:pPr>
        <w:spacing w:after="80" w:line="276" w:lineRule="auto"/>
        <w:ind w:left="312" w:hanging="198"/>
      </w:pPr>
      <w:r>
        <w:rPr>
          <w:color w:val="555555"/>
          <w:sz w:val="21"/>
        </w:rPr>
        <w:t xml:space="preserve">— </w:t>
      </w:r>
      <w:r>
        <w:rPr>
          <w:b/>
          <w:sz w:val="21"/>
        </w:rPr>
        <w:t xml:space="preserve">iCall — her hours are now the official ones. </w:t>
      </w:r>
      <w:r>
        <w:rPr>
          <w:sz w:val="21"/>
        </w:rPr>
        <w:t>TISS's own iCall project page gives 9152987821 as “Monday to Saturday, 10 AM to 8 PM”, which is exactly what she wrote. iCall's separate helpline site still prints “8:00 am to 9:00 pm” in its header while its own text says 10 AM to 8 PM, and a third page gives a second landline (022-25521111, 8 am–10 pm). Where the service contradicts itself, her figure agrees with the institute that runs it, so it is the one to print. This is the opposite of revision 2, where her figure was the outlier.</w:t>
      </w:r>
    </w:p>
    <w:p>
      <w:pPr>
        <w:spacing w:after="80" w:line="276" w:lineRule="auto"/>
        <w:ind w:left="312" w:hanging="198"/>
      </w:pPr>
      <w:r>
        <w:rPr>
          <w:color w:val="555555"/>
          <w:sz w:val="21"/>
        </w:rPr>
        <w:t xml:space="preserve">— </w:t>
      </w:r>
      <w:r>
        <w:rPr>
          <w:b/>
          <w:sz w:val="21"/>
        </w:rPr>
        <w:t xml:space="preserve">Sneha — confirmed, and the Trust's own pages agree. </w:t>
      </w:r>
      <w:r>
        <w:rPr>
          <w:sz w:val="21"/>
        </w:rPr>
        <w:t>044-24640050 is published by Sneha Foundation Trust as 10 am to 10 pm. The 24-hour claim attaches to their alternate line 044-24640060. Her instruction settles the question: number and hours as printed, alternate line not shown. A person is told the line closes at 10 pm instead of discovering it.</w:t>
      </w:r>
    </w:p>
    <w:p>
      <w:pPr>
        <w:spacing w:after="80" w:line="276" w:lineRule="auto"/>
        <w:ind w:left="312" w:hanging="198"/>
      </w:pPr>
      <w:r>
        <w:rPr>
          <w:color w:val="555555"/>
          <w:sz w:val="21"/>
        </w:rPr>
        <w:t xml:space="preserve">— </w:t>
      </w:r>
      <w:r>
        <w:rPr>
          <w:b/>
          <w:sz w:val="21"/>
        </w:rPr>
        <w:t xml:space="preserve">Vandrevala — one number, with a claim that holds. </w:t>
      </w:r>
      <w:r>
        <w:rPr>
          <w:sz w:val="21"/>
        </w:rPr>
        <w:t>+91 9999 666 555 is the Foundation's published emergency helpline, “Available 24 X 7 X 365”, with WhatsApp on the same number. 1860-2662-345 appears nowhere on their current site, which is why instruction 8 dropping it is the cleaner outcome — every number on every card now has an operator's own page behind it.</w:t>
      </w:r>
    </w:p>
    <w:p>
      <w:pPr>
        <w:spacing w:after="160" w:line="276" w:lineRule="auto"/>
        <w:ind w:left="312" w:hanging="198"/>
      </w:pPr>
      <w:r>
        <w:rPr>
          <w:color w:val="555555"/>
          <w:sz w:val="21"/>
        </w:rPr>
        <w:t xml:space="preserve">— </w:t>
      </w:r>
      <w:r>
        <w:rPr>
          <w:b/>
          <w:sz w:val="21"/>
        </w:rPr>
        <w:t xml:space="preserve">The line that still does not line up — and it is now hers, not mine. </w:t>
      </w:r>
      <w:r>
        <w:rPr>
          <w:sz w:val="21"/>
        </w:rPr>
        <w:t>Her rule from the first round was that a 24×7 service leads, which is why iCall went last. NIMHANS is 24×7 and instruction 2 places it fourth, behind Sneha, which closes at 10 pm. The list is therefore ordered by her instruction rather than strictly by availability. I have not “corrected” it: instruction 2 is explicit, and consistency with what she signed matters more than consistency with the heuristic. It is recorded here so that nobody later mistakes the order for an error and quietly re-sorts it. If she wants the heuristic back, NIMHANS moves to third.</w:t>
      </w:r>
    </w:p>
    <w:p>
      <w:pPr>
        <w:pStyle w:val="Heading2"/>
        <w:keepNext/>
        <w:spacing w:before="240" w:after="80"/>
      </w:pPr>
      <w:r>
        <w:rPr>
          <w:rFonts w:ascii="Calibri" w:hAnsi="Calibri"/>
          <w:b/>
          <w:color w:val="1A1A1A"/>
          <w:sz w:val="23"/>
        </w:rPr>
        <w:t>2.4 What this costs the copy</w:t>
      </w:r>
    </w:p>
    <w:p>
      <w:pPr>
        <w:spacing w:after="160" w:line="276" w:lineRule="auto"/>
      </w:pPr>
      <w:r>
        <w:rPr>
          <w:b w:val="0"/>
          <w:i w:val="0"/>
          <w:color w:val="1A1A1A"/>
          <w:sz w:val="21"/>
        </w:rPr>
        <w:t>Six entries — five helplines and 112 — in one reply. The S3 reply was 149 characters before this review; with her numbers, hours and 112 it is 494. The block is identical across the four cards she has signed, and it is also embedded in six strings she has not reviewed — the degraded-turn messages and the medical-emergency cards. That inheritance is unavoidable with a shared constant, and it means the NIMHANS addition and the iCall hours change also appear on unsigned surfaces. Revision 2 flagged it; it is now a concrete consequence rather than a risk, and §10 note 4 states it.</w:t>
      </w:r>
    </w:p>
    <w:p>
      <w:pPr>
        <w:pStyle w:val="Heading1"/>
        <w:keepNext/>
        <w:pBdr>
          <w:bottom w:val="single" w:sz="6" w:space="2" w:color="D8CFC6"/>
        </w:pBdr>
        <w:spacing w:before="320" w:after="120"/>
      </w:pPr>
      <w:r>
        <w:rPr>
          <w:rFonts w:ascii="Calibri" w:hAnsi="Calibri"/>
          <w:b/>
          <w:color w:val="8C2F2F"/>
          <w:sz w:val="28"/>
        </w:rPr>
        <w:t>3. The S3 reply</w:t>
      </w:r>
    </w:p>
    <w:p>
      <w:pPr>
        <w:pStyle w:val="Heading2"/>
        <w:keepNext/>
        <w:spacing w:before="240" w:after="80"/>
      </w:pPr>
      <w:r>
        <w:rPr>
          <w:rFonts w:ascii="Calibri" w:hAnsi="Calibri"/>
          <w:b/>
          <w:color w:val="1A1A1A"/>
          <w:sz w:val="23"/>
        </w:rPr>
        <w:t>3.1 Her text, verbatim</w:t>
      </w:r>
    </w:p>
    <w:p>
      <w:pPr>
        <w:spacing w:after="120" w:line="276" w:lineRule="auto"/>
      </w:pPr>
      <w:r>
        <w:rPr>
          <w:b w:val="0"/>
          <w:i w:val="0"/>
          <w:color w:val="1A1A1A"/>
          <w:sz w:val="21"/>
        </w:rPr>
        <w:t>Approved in her first message of the day as row 1, with “I am not going anywhere” removed. Reproduced unaltered, including “anyoe”, which she authorised correcting.</w:t>
      </w:r>
    </w:p>
    <w:p>
      <w:pPr>
        <w:pBdr>
          <w:left w:val="single" w:sz="12" w:space="8" w:color="B08A7A"/>
        </w:pBdr>
        <w:shd w:val="clear" w:color="auto" w:fill="F7F7F5"/>
        <w:spacing w:before="40" w:after="160" w:line="288" w:lineRule="auto"/>
        <w:ind w:left="283"/>
      </w:pPr>
      <w:r>
        <w:rPr>
          <w:i/>
          <w:color w:val="1A1A1A"/>
          <w:sz w:val="21"/>
        </w:rPr>
        <w:t>I want to take this seriously with you, and I don’t want this app to be the only support you have with it.</w:t>
        <w:br/>
      </w:r>
      <w:r>
        <w:rPr>
          <w:i/>
          <w:color w:val="1A1A1A"/>
          <w:sz w:val="21"/>
        </w:rPr>
        <w:br/>
      </w:r>
      <w:r>
        <w:rPr>
          <w:i/>
          <w:color w:val="1A1A1A"/>
          <w:sz w:val="21"/>
        </w:rPr>
        <w:t>Please reach a person now rather than later (provide numbers here). While you call, try one slow breath in a longer breath out. Is there anyoe with you right now? You can keep writing here as well.</w:t>
      </w:r>
    </w:p>
    <w:p>
      <w:pPr>
        <w:pStyle w:val="Heading2"/>
        <w:keepNext/>
        <w:spacing w:before="240" w:after="80"/>
      </w:pPr>
      <w:r>
        <w:rPr>
          <w:rFonts w:ascii="Calibri" w:hAnsi="Calibri"/>
          <w:b/>
          <w:color w:val="1A1A1A"/>
          <w:sz w:val="23"/>
        </w:rPr>
        <w:t>3.2 What changed against the built copy (b7aca89)</w:t>
      </w:r>
    </w:p>
    <w:tbl>
      <w:tblPr>
        <w:tblStyle w:val="TableGrid"/>
        <w:tblW w:type="auto" w:w="0"/>
        <w:jc w:val="center"/>
        <w:tblLayout w:type="fixed"/>
        <w:tblLook w:firstColumn="1" w:firstRow="1" w:lastColumn="0" w:lastRow="0" w:noHBand="0" w:noVBand="1" w:val="04A0"/>
      </w:tblPr>
      <w:tblGrid>
        <w:gridCol w:w="1701"/>
        <w:gridCol w:w="1928"/>
        <w:gridCol w:w="2041"/>
        <w:gridCol w:w="3969"/>
      </w:tblGrid>
      <w:tr>
        <w:trPr>
          <w:tblHeader/>
        </w:trPr>
        <w:tc>
          <w:tcPr>
            <w:tcW w:type="dxa" w:w="1701"/>
            <w:shd w:val="clear" w:color="auto" w:fill="EDE7E1"/>
          </w:tcPr>
          <w:p>
            <w:pPr>
              <w:spacing w:after="40" w:before="40" w:line="259" w:lineRule="auto"/>
            </w:pPr>
            <w:r/>
            <w:r>
              <w:rPr>
                <w:b/>
                <w:i w:val="0"/>
                <w:color w:val="1A1A1A"/>
                <w:sz w:val="18"/>
              </w:rPr>
              <w:t>Element</w:t>
            </w:r>
          </w:p>
        </w:tc>
        <w:tc>
          <w:tcPr>
            <w:tcW w:type="dxa" w:w="1928"/>
            <w:shd w:val="clear" w:color="auto" w:fill="EDE7E1"/>
          </w:tcPr>
          <w:p>
            <w:pPr>
              <w:spacing w:after="40" w:before="40" w:line="259" w:lineRule="auto"/>
            </w:pPr>
            <w:r/>
            <w:r>
              <w:rPr>
                <w:b/>
                <w:i w:val="0"/>
                <w:color w:val="1A1A1A"/>
                <w:sz w:val="18"/>
              </w:rPr>
              <w:t>Built at b7aca89</w:t>
            </w:r>
          </w:p>
        </w:tc>
        <w:tc>
          <w:tcPr>
            <w:tcW w:type="dxa" w:w="2041"/>
            <w:shd w:val="clear" w:color="auto" w:fill="EDE7E1"/>
          </w:tcPr>
          <w:p>
            <w:pPr>
              <w:spacing w:after="40" w:before="40" w:line="259" w:lineRule="auto"/>
            </w:pPr>
            <w:r/>
            <w:r>
              <w:rPr>
                <w:b/>
                <w:i w:val="0"/>
                <w:color w:val="1A1A1A"/>
                <w:sz w:val="18"/>
              </w:rPr>
              <w:t>Now</w:t>
            </w:r>
          </w:p>
        </w:tc>
        <w:tc>
          <w:tcPr>
            <w:tcW w:type="dxa" w:w="3969"/>
            <w:shd w:val="clear" w:color="auto" w:fill="EDE7E1"/>
          </w:tcPr>
          <w:p>
            <w:pPr>
              <w:spacing w:after="40" w:before="40" w:line="259" w:lineRule="auto"/>
            </w:pPr>
            <w:r/>
            <w:r>
              <w:rPr>
                <w:b/>
                <w:i w:val="0"/>
                <w:color w:val="1A1A1A"/>
                <w:sz w:val="18"/>
              </w:rPr>
              <w:t>Why</w:t>
            </w:r>
          </w:p>
        </w:tc>
      </w:tr>
      <w:tr>
        <w:tc>
          <w:tcPr>
            <w:tcW w:type="dxa" w:w="1701"/>
          </w:tcPr>
          <w:p>
            <w:pPr>
              <w:spacing w:after="40" w:before="40" w:line="259" w:lineRule="auto"/>
            </w:pPr>
            <w:r/>
            <w:r>
              <w:rPr>
                <w:b w:val="0"/>
                <w:i w:val="0"/>
                <w:color w:val="1A1A1A"/>
                <w:sz w:val="18"/>
              </w:rPr>
              <w:t>NIMHANS</w:t>
            </w:r>
          </w:p>
        </w:tc>
        <w:tc>
          <w:tcPr>
            <w:tcW w:type="dxa" w:w="1928"/>
          </w:tcPr>
          <w:p>
            <w:pPr>
              <w:spacing w:after="40" w:before="40" w:line="259" w:lineRule="auto"/>
            </w:pPr>
            <w:r/>
            <w:r>
              <w:rPr>
                <w:b w:val="0"/>
                <w:i w:val="0"/>
                <w:color w:val="1A1A1A"/>
                <w:sz w:val="18"/>
              </w:rPr>
              <w:t>Absent — retired</w:t>
            </w:r>
          </w:p>
        </w:tc>
        <w:tc>
          <w:tcPr>
            <w:tcW w:type="dxa" w:w="2041"/>
          </w:tcPr>
          <w:p>
            <w:pPr>
              <w:spacing w:after="40" w:before="40" w:line="259" w:lineRule="auto"/>
            </w:pPr>
            <w:r/>
            <w:r>
              <w:rPr>
                <w:b w:val="0"/>
                <w:i w:val="0"/>
                <w:color w:val="1A1A1A"/>
                <w:sz w:val="18"/>
              </w:rPr>
              <w:t>Present, fourth</w:t>
            </w:r>
          </w:p>
        </w:tc>
        <w:tc>
          <w:tcPr>
            <w:tcW w:type="dxa" w:w="3969"/>
          </w:tcPr>
          <w:p>
            <w:pPr>
              <w:spacing w:after="40" w:before="40" w:line="259" w:lineRule="auto"/>
            </w:pPr>
            <w:r/>
            <w:r>
              <w:rPr>
                <w:b w:val="0"/>
                <w:i w:val="0"/>
                <w:color w:val="1A1A1A"/>
                <w:sz w:val="18"/>
              </w:rPr>
              <w:t>Instruction 1 of her first message, placed by instruction 2 of this one.</w:t>
            </w:r>
          </w:p>
        </w:tc>
      </w:tr>
      <w:tr>
        <w:tc>
          <w:tcPr>
            <w:tcW w:type="dxa" w:w="1701"/>
          </w:tcPr>
          <w:p>
            <w:pPr>
              <w:spacing w:after="40" w:before="40" w:line="259" w:lineRule="auto"/>
            </w:pPr>
            <w:r/>
            <w:r>
              <w:rPr>
                <w:b w:val="0"/>
                <w:i w:val="0"/>
                <w:color w:val="1A1A1A"/>
                <w:sz w:val="18"/>
              </w:rPr>
              <w:t>iCall hours</w:t>
            </w:r>
          </w:p>
        </w:tc>
        <w:tc>
          <w:tcPr>
            <w:tcW w:type="dxa" w:w="1928"/>
          </w:tcPr>
          <w:p>
            <w:pPr>
              <w:spacing w:after="40" w:before="40" w:line="259" w:lineRule="auto"/>
            </w:pPr>
            <w:r/>
            <w:r>
              <w:rPr>
                <w:b w:val="0"/>
                <w:i w:val="0"/>
                <w:color w:val="1A1A1A"/>
                <w:sz w:val="18"/>
              </w:rPr>
              <w:t>8 am–9 pm</w:t>
            </w:r>
          </w:p>
        </w:tc>
        <w:tc>
          <w:tcPr>
            <w:tcW w:type="dxa" w:w="2041"/>
          </w:tcPr>
          <w:p>
            <w:pPr>
              <w:spacing w:after="40" w:before="40" w:line="259" w:lineRule="auto"/>
            </w:pPr>
            <w:r/>
            <w:r>
              <w:rPr>
                <w:b w:val="0"/>
                <w:i w:val="0"/>
                <w:color w:val="1A1A1A"/>
                <w:sz w:val="18"/>
              </w:rPr>
              <w:t>10 am–8 pm</w:t>
            </w:r>
          </w:p>
        </w:tc>
        <w:tc>
          <w:tcPr>
            <w:tcW w:type="dxa" w:w="3969"/>
          </w:tcPr>
          <w:p>
            <w:pPr>
              <w:spacing w:after="40" w:before="40" w:line="259" w:lineRule="auto"/>
            </w:pPr>
            <w:r/>
            <w:r>
              <w:rPr>
                <w:b w:val="0"/>
                <w:i w:val="0"/>
                <w:color w:val="1A1A1A"/>
                <w:sz w:val="18"/>
              </w:rPr>
              <w:t>Instruction 9. iCall remains last, which the printed hours now justify more strongly than before: it is the only line on the card that closes in the evening.</w:t>
            </w:r>
          </w:p>
        </w:tc>
      </w:tr>
      <w:tr>
        <w:tc>
          <w:tcPr>
            <w:tcW w:type="dxa" w:w="1701"/>
          </w:tcPr>
          <w:p>
            <w:pPr>
              <w:spacing w:after="40" w:before="40" w:line="259" w:lineRule="auto"/>
            </w:pPr>
            <w:r/>
            <w:r>
              <w:rPr>
                <w:b w:val="0"/>
                <w:i w:val="0"/>
                <w:color w:val="1A1A1A"/>
                <w:sz w:val="18"/>
              </w:rPr>
              <w:t>Vandrevala</w:t>
            </w:r>
          </w:p>
        </w:tc>
        <w:tc>
          <w:tcPr>
            <w:tcW w:type="dxa" w:w="1928"/>
          </w:tcPr>
          <w:p>
            <w:pPr>
              <w:spacing w:after="40" w:before="40" w:line="259" w:lineRule="auto"/>
            </w:pPr>
            <w:r/>
            <w:r>
              <w:rPr>
                <w:b w:val="0"/>
                <w:i w:val="0"/>
                <w:color w:val="1A1A1A"/>
                <w:sz w:val="18"/>
              </w:rPr>
              <w:t>Number only</w:t>
            </w:r>
          </w:p>
        </w:tc>
        <w:tc>
          <w:tcPr>
            <w:tcW w:type="dxa" w:w="2041"/>
          </w:tcPr>
          <w:p>
            <w:pPr>
              <w:spacing w:after="40" w:before="40" w:line="259" w:lineRule="auto"/>
            </w:pPr>
            <w:r/>
            <w:r>
              <w:rPr>
                <w:b w:val="0"/>
                <w:i w:val="0"/>
                <w:color w:val="1A1A1A"/>
                <w:sz w:val="18"/>
              </w:rPr>
              <w:t>Number plus “24×7×365”</w:t>
            </w:r>
          </w:p>
        </w:tc>
        <w:tc>
          <w:tcPr>
            <w:tcW w:type="dxa" w:w="3969"/>
          </w:tcPr>
          <w:p>
            <w:pPr>
              <w:spacing w:after="40" w:before="40" w:line="259" w:lineRule="auto"/>
            </w:pPr>
            <w:r/>
            <w:r>
              <w:rPr>
                <w:b w:val="0"/>
                <w:i w:val="0"/>
                <w:color w:val="1A1A1A"/>
                <w:sz w:val="18"/>
              </w:rPr>
              <w:t>Instruction 8 authorises the operator's own claim. No other number may carry it.</w:t>
            </w:r>
          </w:p>
        </w:tc>
      </w:tr>
      <w:tr>
        <w:tc>
          <w:tcPr>
            <w:tcW w:type="dxa" w:w="1701"/>
          </w:tcPr>
          <w:p>
            <w:pPr>
              <w:spacing w:after="40" w:before="40" w:line="259" w:lineRule="auto"/>
            </w:pPr>
            <w:r/>
            <w:r>
              <w:rPr>
                <w:b w:val="0"/>
                <w:i w:val="0"/>
                <w:color w:val="1A1A1A"/>
                <w:sz w:val="18"/>
              </w:rPr>
              <w:t>Sneha</w:t>
            </w:r>
          </w:p>
        </w:tc>
        <w:tc>
          <w:tcPr>
            <w:tcW w:type="dxa" w:w="1928"/>
          </w:tcPr>
          <w:p>
            <w:pPr>
              <w:spacing w:after="40" w:before="40" w:line="259" w:lineRule="auto"/>
            </w:pPr>
            <w:r/>
            <w:r>
              <w:rPr>
                <w:b w:val="0"/>
                <w:i w:val="0"/>
                <w:color w:val="1A1A1A"/>
                <w:sz w:val="18"/>
              </w:rPr>
              <w:t>Number only</w:t>
            </w:r>
          </w:p>
        </w:tc>
        <w:tc>
          <w:tcPr>
            <w:tcW w:type="dxa" w:w="2041"/>
          </w:tcPr>
          <w:p>
            <w:pPr>
              <w:spacing w:after="40" w:before="40" w:line="259" w:lineRule="auto"/>
            </w:pPr>
            <w:r/>
            <w:r>
              <w:rPr>
                <w:b w:val="0"/>
                <w:i w:val="0"/>
                <w:color w:val="1A1A1A"/>
                <w:sz w:val="18"/>
              </w:rPr>
              <w:t>Number plus “10 am–10 pm”</w:t>
            </w:r>
          </w:p>
        </w:tc>
        <w:tc>
          <w:tcPr>
            <w:tcW w:type="dxa" w:w="3969"/>
          </w:tcPr>
          <w:p>
            <w:pPr>
              <w:spacing w:after="40" w:before="40" w:line="259" w:lineRule="auto"/>
            </w:pPr>
            <w:r/>
            <w:r>
              <w:rPr>
                <w:b w:val="0"/>
                <w:i w:val="0"/>
                <w:color w:val="1A1A1A"/>
                <w:sz w:val="18"/>
              </w:rPr>
              <w:t>Instruction 1.</w:t>
            </w:r>
          </w:p>
        </w:tc>
      </w:tr>
      <w:tr>
        <w:tc>
          <w:tcPr>
            <w:tcW w:type="dxa" w:w="1701"/>
          </w:tcPr>
          <w:p>
            <w:pPr>
              <w:spacing w:after="40" w:before="40" w:line="259" w:lineRule="auto"/>
            </w:pPr>
            <w:r/>
            <w:r>
              <w:rPr>
                <w:b w:val="0"/>
                <w:i w:val="0"/>
                <w:color w:val="1A1A1A"/>
                <w:sz w:val="18"/>
              </w:rPr>
              <w:t>112</w:t>
            </w:r>
          </w:p>
        </w:tc>
        <w:tc>
          <w:tcPr>
            <w:tcW w:type="dxa" w:w="1928"/>
          </w:tcPr>
          <w:p>
            <w:pPr>
              <w:spacing w:after="40" w:before="40" w:line="259" w:lineRule="auto"/>
            </w:pPr>
            <w:r/>
            <w:r>
              <w:rPr>
                <w:b w:val="0"/>
                <w:i w:val="0"/>
                <w:color w:val="1A1A1A"/>
                <w:sz w:val="18"/>
              </w:rPr>
              <w:t>Absent from this card</w:t>
            </w:r>
          </w:p>
        </w:tc>
        <w:tc>
          <w:tcPr>
            <w:tcW w:type="dxa" w:w="2041"/>
          </w:tcPr>
          <w:p>
            <w:pPr>
              <w:spacing w:after="40" w:before="40" w:line="259" w:lineRule="auto"/>
            </w:pPr>
            <w:r/>
            <w:r>
              <w:rPr>
                <w:b w:val="0"/>
                <w:i w:val="0"/>
                <w:color w:val="1A1A1A"/>
                <w:sz w:val="18"/>
              </w:rPr>
              <w:t>Last line of the block</w:t>
            </w:r>
          </w:p>
        </w:tc>
        <w:tc>
          <w:tcPr>
            <w:tcW w:type="dxa" w:w="3969"/>
          </w:tcPr>
          <w:p>
            <w:pPr>
              <w:spacing w:after="40" w:before="40" w:line="259" w:lineRule="auto"/>
            </w:pPr>
            <w:r/>
            <w:r>
              <w:rPr>
                <w:b w:val="0"/>
                <w:i w:val="0"/>
                <w:color w:val="1A1A1A"/>
                <w:sz w:val="18"/>
              </w:rPr>
              <w:t>Reinstated by her second message; the only route to an ambulance in a reply that otherwise hands the person to counselling lines.</w:t>
            </w:r>
          </w:p>
        </w:tc>
      </w:tr>
    </w:tbl>
    <w:p>
      <w:pPr>
        <w:spacing w:after="40"/>
      </w:pPr>
    </w:p>
    <w:p>
      <w:pPr>
        <w:pStyle w:val="Heading2"/>
        <w:keepNext/>
        <w:spacing w:before="240" w:after="80"/>
      </w:pPr>
      <w:r>
        <w:rPr>
          <w:rFonts w:ascii="Calibri" w:hAnsi="Calibri"/>
          <w:b/>
          <w:color w:val="1A1A1A"/>
          <w:sz w:val="23"/>
        </w:rPr>
        <w:t>3.3 Shipping text</w:t>
      </w:r>
    </w:p>
    <w:p>
      <w:pPr>
        <w:spacing w:after="120" w:line="276" w:lineRule="auto"/>
      </w:pPr>
      <w:r>
        <w:rPr>
          <w:b w:val="0"/>
          <w:i w:val="0"/>
          <w:color w:val="1A1A1A"/>
          <w:sz w:val="21"/>
        </w:rPr>
        <w:t>Her words, with the number block inserted in her order and nothing else changed except “anyoe” → “anyone”. Her sentence “Please reach a person now rather than later (provide numbers here)” is rendered as a colon and the block, which is what the placeholder asks for.</w:t>
      </w:r>
    </w:p>
    <w:p>
      <w:pPr>
        <w:pBdr>
          <w:left w:val="single" w:sz="12" w:space="8" w:color="B08A7A"/>
        </w:pBdr>
        <w:shd w:val="clear" w:color="auto" w:fill="FFFFFF"/>
        <w:spacing w:before="40" w:after="160" w:line="288" w:lineRule="auto"/>
        <w:ind w:left="283"/>
      </w:pPr>
      <w:r>
        <w:rPr>
          <w:i/>
          <w:color w:val="1A1A1A"/>
          <w:sz w:val="21"/>
        </w:rPr>
        <w:t>I want to take this seriously with you, and I don't want this app to be the only support you have with it.</w:t>
        <w:br/>
      </w:r>
      <w:r>
        <w:rPr>
          <w:i/>
          <w:color w:val="1A1A1A"/>
          <w:sz w:val="21"/>
        </w:rPr>
        <w:br/>
      </w:r>
      <w:r>
        <w:rPr>
          <w:i/>
          <w:color w:val="1A1A1A"/>
          <w:sz w:val="21"/>
        </w:rPr>
        <w:t>Please reach a person now rather than later:</w:t>
        <w:br/>
      </w:r>
      <w:r>
        <w:rPr>
          <w:i/>
          <w:color w:val="1A1A1A"/>
          <w:sz w:val="21"/>
        </w:rPr>
        <w:t>Tele-MANAS: 14416 (24×7)</w:t>
        <w:br/>
      </w:r>
      <w:r>
        <w:rPr>
          <w:i/>
          <w:color w:val="1A1A1A"/>
          <w:sz w:val="21"/>
        </w:rPr>
        <w:t>Vandrevala Foundation: +91 9999 666 555 (24×7×365)</w:t>
        <w:br/>
      </w:r>
      <w:r>
        <w:rPr>
          <w:i/>
          <w:color w:val="1A1A1A"/>
          <w:sz w:val="21"/>
        </w:rPr>
        <w:t>Sneha, Chennai: 044-24640050 (10 am–10 pm)</w:t>
        <w:br/>
      </w:r>
      <w:r>
        <w:rPr>
          <w:i/>
          <w:color w:val="1A1A1A"/>
          <w:sz w:val="21"/>
        </w:rPr>
        <w:t>NIMHANS: 080-46110007 (24×7)</w:t>
        <w:br/>
      </w:r>
      <w:r>
        <w:rPr>
          <w:i/>
          <w:color w:val="1A1A1A"/>
          <w:sz w:val="21"/>
        </w:rPr>
        <w:t>iCall (TISS): 9152987821 (Mon–Sat, 10 am–8 pm)</w:t>
        <w:br/>
      </w:r>
      <w:r>
        <w:rPr>
          <w:i/>
          <w:color w:val="1A1A1A"/>
          <w:sz w:val="21"/>
        </w:rPr>
        <w:t>Emergency: 112</w:t>
        <w:br/>
      </w:r>
      <w:r>
        <w:rPr>
          <w:i/>
          <w:color w:val="1A1A1A"/>
          <w:sz w:val="21"/>
        </w:rPr>
        <w:br/>
      </w:r>
      <w:r>
        <w:rPr>
          <w:i/>
          <w:color w:val="1A1A1A"/>
          <w:sz w:val="21"/>
        </w:rPr>
        <w:t>While you call, try one slow breath in a longer breath out. Is there anyone with you right now? You can keep writing here as well.</w:t>
      </w:r>
    </w:p>
    <w:tbl>
      <w:tblPr>
        <w:tblStyle w:val="TableGrid"/>
        <w:tblW w:type="auto" w:w="0"/>
        <w:jc w:val="center"/>
        <w:tblLayout w:type="fixed"/>
        <w:tblLook w:firstColumn="1" w:firstRow="1" w:lastColumn="0" w:lastRow="0" w:noHBand="0" w:noVBand="1" w:val="04A0"/>
      </w:tblPr>
      <w:tblGrid>
        <w:gridCol w:w="3969"/>
        <w:gridCol w:w="5669"/>
      </w:tblGrid>
      <w:tr>
        <w:trPr>
          <w:tblHeader/>
        </w:trPr>
        <w:tc>
          <w:tcPr>
            <w:tcW w:type="dxa" w:w="3969"/>
            <w:shd w:val="clear" w:color="auto" w:fill="EDE7E1"/>
          </w:tcPr>
          <w:p>
            <w:pPr>
              <w:spacing w:after="40" w:before="40" w:line="259" w:lineRule="auto"/>
            </w:pPr>
            <w:r/>
            <w:r>
              <w:rPr>
                <w:b/>
                <w:i w:val="0"/>
                <w:color w:val="1A1A1A"/>
                <w:sz w:val="19"/>
              </w:rPr>
              <w:t>Measure</w:t>
            </w:r>
          </w:p>
        </w:tc>
        <w:tc>
          <w:tcPr>
            <w:tcW w:type="dxa" w:w="5669"/>
            <w:shd w:val="clear" w:color="auto" w:fill="EDE7E1"/>
          </w:tcPr>
          <w:p>
            <w:pPr>
              <w:spacing w:after="40" w:before="40" w:line="259" w:lineRule="auto"/>
            </w:pPr>
            <w:r/>
            <w:r>
              <w:rPr>
                <w:b/>
                <w:i w:val="0"/>
                <w:color w:val="1A1A1A"/>
                <w:sz w:val="19"/>
              </w:rPr>
              <w:t>Value</w:t>
            </w:r>
          </w:p>
        </w:tc>
      </w:tr>
      <w:tr>
        <w:tc>
          <w:tcPr>
            <w:tcW w:type="dxa" w:w="3969"/>
          </w:tcPr>
          <w:p>
            <w:pPr>
              <w:spacing w:after="40" w:before="40" w:line="259" w:lineRule="auto"/>
            </w:pPr>
            <w:r/>
            <w:r>
              <w:rPr>
                <w:b w:val="0"/>
                <w:i w:val="0"/>
                <w:color w:val="1A1A1A"/>
                <w:sz w:val="19"/>
              </w:rPr>
              <w:t>Characters, including the number block</w:t>
            </w:r>
          </w:p>
        </w:tc>
        <w:tc>
          <w:tcPr>
            <w:tcW w:type="dxa" w:w="5669"/>
          </w:tcPr>
          <w:p>
            <w:pPr>
              <w:spacing w:after="40" w:before="40" w:line="259" w:lineRule="auto"/>
            </w:pPr>
            <w:r/>
            <w:r>
              <w:rPr>
                <w:b w:val="0"/>
                <w:i w:val="0"/>
                <w:color w:val="1A1A1A"/>
                <w:sz w:val="19"/>
              </w:rPr>
              <w:t>494</w:t>
            </w:r>
          </w:p>
        </w:tc>
      </w:tr>
      <w:tr>
        <w:tc>
          <w:tcPr>
            <w:tcW w:type="dxa" w:w="3969"/>
          </w:tcPr>
          <w:p>
            <w:pPr>
              <w:spacing w:after="40" w:before="40" w:line="259" w:lineRule="auto"/>
            </w:pPr>
            <w:r/>
            <w:r>
              <w:rPr>
                <w:b w:val="0"/>
                <w:i w:val="0"/>
                <w:color w:val="1A1A1A"/>
                <w:sz w:val="19"/>
              </w:rPr>
              <w:t>Characters, her text alone without numbers</w:t>
            </w:r>
          </w:p>
        </w:tc>
        <w:tc>
          <w:tcPr>
            <w:tcW w:type="dxa" w:w="5669"/>
          </w:tcPr>
          <w:p>
            <w:pPr>
              <w:spacing w:after="40" w:before="40" w:line="259" w:lineRule="auto"/>
            </w:pPr>
            <w:r/>
            <w:r>
              <w:rPr>
                <w:b w:val="0"/>
                <w:i w:val="0"/>
                <w:color w:val="1A1A1A"/>
                <w:sz w:val="19"/>
              </w:rPr>
              <w:t>305</w:t>
            </w:r>
          </w:p>
        </w:tc>
      </w:tr>
      <w:tr>
        <w:tc>
          <w:tcPr>
            <w:tcW w:type="dxa" w:w="3969"/>
          </w:tcPr>
          <w:p>
            <w:pPr>
              <w:spacing w:after="40" w:before="40" w:line="259" w:lineRule="auto"/>
            </w:pPr>
            <w:r/>
            <w:r>
              <w:rPr>
                <w:b w:val="0"/>
                <w:i w:val="0"/>
                <w:color w:val="1A1A1A"/>
                <w:sz w:val="19"/>
              </w:rPr>
              <w:t>Helplines named</w:t>
            </w:r>
          </w:p>
        </w:tc>
        <w:tc>
          <w:tcPr>
            <w:tcW w:type="dxa" w:w="5669"/>
          </w:tcPr>
          <w:p>
            <w:pPr>
              <w:spacing w:after="40" w:before="40" w:line="259" w:lineRule="auto"/>
            </w:pPr>
            <w:r/>
            <w:r>
              <w:rPr>
                <w:b w:val="0"/>
                <w:i w:val="0"/>
                <w:color w:val="1A1A1A"/>
                <w:sz w:val="19"/>
              </w:rPr>
              <w:t>5, plus 112</w:t>
            </w:r>
          </w:p>
        </w:tc>
      </w:tr>
      <w:tr>
        <w:tc>
          <w:tcPr>
            <w:tcW w:type="dxa" w:w="3969"/>
          </w:tcPr>
          <w:p>
            <w:pPr>
              <w:spacing w:after="40" w:before="40" w:line="259" w:lineRule="auto"/>
            </w:pPr>
            <w:r/>
            <w:r>
              <w:rPr>
                <w:b w:val="0"/>
                <w:i w:val="0"/>
                <w:color w:val="1A1A1A"/>
                <w:sz w:val="19"/>
              </w:rPr>
              <w:t>Services that answer 24×7</w:t>
            </w:r>
          </w:p>
        </w:tc>
        <w:tc>
          <w:tcPr>
            <w:tcW w:type="dxa" w:w="5669"/>
          </w:tcPr>
          <w:p>
            <w:pPr>
              <w:spacing w:after="40" w:before="40" w:line="259" w:lineRule="auto"/>
            </w:pPr>
            <w:r/>
            <w:r>
              <w:rPr>
                <w:b w:val="0"/>
                <w:i w:val="0"/>
                <w:color w:val="1A1A1A"/>
                <w:sz w:val="19"/>
              </w:rPr>
              <w:t>3 of 5 (Tele-MANAS, Vandrevala, NIMHANS) plus 112</w:t>
            </w:r>
          </w:p>
        </w:tc>
      </w:tr>
      <w:tr>
        <w:tc>
          <w:tcPr>
            <w:tcW w:type="dxa" w:w="3969"/>
          </w:tcPr>
          <w:p>
            <w:pPr>
              <w:spacing w:after="40" w:before="40" w:line="259" w:lineRule="auto"/>
            </w:pPr>
            <w:r/>
            <w:r>
              <w:rPr>
                <w:b w:val="0"/>
                <w:i w:val="0"/>
                <w:color w:val="1A1A1A"/>
                <w:sz w:val="19"/>
              </w:rPr>
              <w:t>Services that close in the evening</w:t>
            </w:r>
          </w:p>
        </w:tc>
        <w:tc>
          <w:tcPr>
            <w:tcW w:type="dxa" w:w="5669"/>
          </w:tcPr>
          <w:p>
            <w:pPr>
              <w:spacing w:after="40" w:before="40" w:line="259" w:lineRule="auto"/>
            </w:pPr>
            <w:r/>
            <w:r>
              <w:rPr>
                <w:b w:val="0"/>
                <w:i w:val="0"/>
                <w:color w:val="1A1A1A"/>
                <w:sz w:val="19"/>
              </w:rPr>
              <w:t>Sneha 10 pm; iCall 8 pm, and not on Sunday</w:t>
            </w:r>
          </w:p>
        </w:tc>
      </w:tr>
      <w:tr>
        <w:tc>
          <w:tcPr>
            <w:tcW w:type="dxa" w:w="3969"/>
          </w:tcPr>
          <w:p>
            <w:pPr>
              <w:spacing w:after="40" w:before="40" w:line="259" w:lineRule="auto"/>
            </w:pPr>
            <w:r/>
            <w:r>
              <w:rPr>
                <w:b w:val="0"/>
                <w:i w:val="0"/>
                <w:color w:val="1A1A1A"/>
                <w:sz w:val="19"/>
              </w:rPr>
              <w:t>Where it lives</w:t>
            </w:r>
          </w:p>
        </w:tc>
        <w:tc>
          <w:tcPr>
            <w:tcW w:type="dxa" w:w="5669"/>
          </w:tcPr>
          <w:p>
            <w:pPr>
              <w:spacing w:after="40" w:before="40" w:line="259" w:lineRule="auto"/>
            </w:pPr>
            <w:r/>
            <w:r>
              <w:rPr>
                <w:b w:val="0"/>
                <w:i w:val="0"/>
                <w:color w:val="1A1A1A"/>
                <w:sz w:val="19"/>
              </w:rPr>
              <w:t>apps/api/src/pipeline/fallbacks.ts — A8_S3_GROUNDING_RESPONSE</w:t>
            </w:r>
          </w:p>
        </w:tc>
      </w:tr>
    </w:tbl>
    <w:p>
      <w:pPr>
        <w:spacing w:after="40"/>
      </w:pPr>
    </w:p>
    <w:p>
      <w:pPr>
        <w:pStyle w:val="Heading1"/>
        <w:keepNext/>
        <w:pBdr>
          <w:bottom w:val="single" w:sz="6" w:space="2" w:color="D8CFC6"/>
        </w:pBdr>
        <w:spacing w:before="320" w:after="120"/>
      </w:pPr>
      <w:r>
        <w:rPr>
          <w:rFonts w:ascii="Calibri" w:hAnsi="Calibri"/>
          <w:b/>
          <w:color w:val="8C2F2F"/>
          <w:sz w:val="28"/>
        </w:rPr>
        <w:t>4. The reply for a friend at risk (csh-08)</w:t>
      </w:r>
    </w:p>
    <w:p>
      <w:pPr>
        <w:spacing w:after="160" w:line="276" w:lineRule="auto"/>
      </w:pPr>
      <w:r>
        <w:rPr>
          <w:b w:val="0"/>
          <w:i w:val="0"/>
          <w:color w:val="1A1A1A"/>
          <w:sz w:val="21"/>
        </w:rPr>
        <w:t>Approved in her second message by paraphrase. Instruction 4 of this message settles the one question that was still open inside it: the ask-about-intent passage is dropped.</w:t>
      </w:r>
    </w:p>
    <w:p>
      <w:pPr>
        <w:pStyle w:val="Heading2"/>
        <w:keepNext/>
        <w:spacing w:before="240" w:after="80"/>
      </w:pPr>
      <w:r>
        <w:rPr>
          <w:rFonts w:ascii="Calibri" w:hAnsi="Calibri"/>
          <w:b/>
          <w:color w:val="1A1A1A"/>
          <w:sz w:val="23"/>
        </w:rPr>
        <w:t>4.1 Her instruction and her example, verbatim</w:t>
      </w:r>
    </w:p>
    <w:p>
      <w:pPr>
        <w:pBdr>
          <w:left w:val="single" w:sz="12" w:space="8" w:color="B08A7A"/>
        </w:pBdr>
        <w:shd w:val="clear" w:color="auto" w:fill="F7F7F5"/>
        <w:spacing w:before="40" w:after="160" w:line="288" w:lineRule="auto"/>
        <w:ind w:left="283"/>
      </w:pPr>
      <w:r>
        <w:rPr>
          <w:i w:val="0"/>
          <w:color w:val="1A1A1A"/>
          <w:sz w:val="21"/>
        </w:rPr>
        <w:t>For a friend - suggest the same emergency numbers and paraphrase the same for the third person. Example - This must be too hard on them but this is a serious thing and I don’t want this app to be the only support (followed by the emergency contacts).</w:t>
      </w:r>
    </w:p>
    <w:p>
      <w:pPr>
        <w:pStyle w:val="Heading2"/>
        <w:keepNext/>
        <w:spacing w:before="240" w:after="80"/>
      </w:pPr>
      <w:r>
        <w:rPr>
          <w:rFonts w:ascii="Calibri" w:hAnsi="Calibri"/>
          <w:b/>
          <w:color w:val="1A1A1A"/>
          <w:sz w:val="23"/>
        </w:rPr>
        <w:t>4.2 Shipping text</w:t>
      </w:r>
    </w:p>
    <w:p>
      <w:pPr>
        <w:spacing w:after="120" w:line="276" w:lineRule="auto"/>
      </w:pPr>
      <w:r>
        <w:rPr>
          <w:b w:val="0"/>
          <w:i w:val="0"/>
          <w:color w:val="1A1A1A"/>
          <w:sz w:val="21"/>
        </w:rPr>
        <w:t>Her three moves in her order — name how hard it is, call it serious, refuse to be the only support — then the same numbers, in the same order, ending with 112. Where I changed a word it is in the table after it. There is no clinical instruction in this card now: it contains her wording and the number block, and nothing else.</w:t>
      </w:r>
    </w:p>
    <w:p>
      <w:pPr>
        <w:pBdr>
          <w:left w:val="single" w:sz="12" w:space="8" w:color="B08A7A"/>
        </w:pBdr>
        <w:shd w:val="clear" w:color="auto" w:fill="FFFFFF"/>
        <w:spacing w:before="40" w:after="160" w:line="288" w:lineRule="auto"/>
        <w:ind w:left="283"/>
      </w:pPr>
      <w:r>
        <w:rPr>
          <w:i/>
          <w:color w:val="1A1A1A"/>
          <w:sz w:val="21"/>
        </w:rPr>
        <w:t>I'm really glad you told me. This must be very hard on them — and on you — but it is a serious thing, and I don't want this app to be the only support they have with it.</w:t>
        <w:br/>
      </w:r>
      <w:r>
        <w:rPr>
          <w:i/>
          <w:color w:val="1A1A1A"/>
          <w:sz w:val="21"/>
        </w:rPr>
        <w:br/>
      </w:r>
      <w:r>
        <w:rPr>
          <w:i/>
          <w:color w:val="1A1A1A"/>
          <w:sz w:val="21"/>
        </w:rPr>
        <w:t>Please reach one of these now:</w:t>
        <w:br/>
      </w:r>
      <w:r>
        <w:rPr>
          <w:i/>
          <w:color w:val="1A1A1A"/>
          <w:sz w:val="21"/>
        </w:rPr>
        <w:t>Tele-MANAS: 14416 (24×7)</w:t>
        <w:br/>
      </w:r>
      <w:r>
        <w:rPr>
          <w:i/>
          <w:color w:val="1A1A1A"/>
          <w:sz w:val="21"/>
        </w:rPr>
        <w:t>Vandrevala Foundation: +91 9999 666 555 (24×7×365)</w:t>
        <w:br/>
      </w:r>
      <w:r>
        <w:rPr>
          <w:i/>
          <w:color w:val="1A1A1A"/>
          <w:sz w:val="21"/>
        </w:rPr>
        <w:t>Sneha, Chennai: 044-24640050 (10 am–10 pm)</w:t>
        <w:br/>
      </w:r>
      <w:r>
        <w:rPr>
          <w:i/>
          <w:color w:val="1A1A1A"/>
          <w:sz w:val="21"/>
        </w:rPr>
        <w:t>NIMHANS: 080-46110007 (24×7)</w:t>
        <w:br/>
      </w:r>
      <w:r>
        <w:rPr>
          <w:i/>
          <w:color w:val="1A1A1A"/>
          <w:sz w:val="21"/>
        </w:rPr>
        <w:t>iCall (TISS): 9152987821 (Mon–Sat, 10 am–8 pm)</w:t>
        <w:br/>
      </w:r>
      <w:r>
        <w:rPr>
          <w:i/>
          <w:color w:val="1A1A1A"/>
          <w:sz w:val="21"/>
        </w:rPr>
        <w:t>Emergency: 112</w:t>
        <w:br/>
      </w:r>
      <w:r>
        <w:rPr>
          <w:i/>
          <w:color w:val="1A1A1A"/>
          <w:sz w:val="21"/>
        </w:rPr>
        <w:br/>
      </w:r>
      <w:r>
        <w:rPr>
          <w:i/>
          <w:color w:val="1A1A1A"/>
          <w:sz w:val="21"/>
        </w:rPr>
        <w:t>Is there anyone who can be with them right now? You can keep writing here as well.</w:t>
      </w:r>
    </w:p>
    <w:tbl>
      <w:tblPr>
        <w:tblStyle w:val="TableGrid"/>
        <w:tblW w:type="auto" w:w="0"/>
        <w:jc w:val="center"/>
        <w:tblLayout w:type="fixed"/>
        <w:tblLook w:firstColumn="1" w:firstRow="1" w:lastColumn="0" w:lastRow="0" w:noHBand="0" w:noVBand="1" w:val="04A0"/>
      </w:tblPr>
      <w:tblGrid>
        <w:gridCol w:w="2381"/>
        <w:gridCol w:w="3061"/>
        <w:gridCol w:w="4195"/>
      </w:tblGrid>
      <w:tr>
        <w:trPr>
          <w:tblHeader/>
        </w:trPr>
        <w:tc>
          <w:tcPr>
            <w:tcW w:type="dxa" w:w="2381"/>
            <w:shd w:val="clear" w:color="auto" w:fill="EDE7E1"/>
          </w:tcPr>
          <w:p>
            <w:pPr>
              <w:spacing w:after="40" w:before="40" w:line="259" w:lineRule="auto"/>
            </w:pPr>
            <w:r/>
            <w:r>
              <w:rPr>
                <w:b/>
                <w:i w:val="0"/>
                <w:color w:val="1A1A1A"/>
                <w:sz w:val="18"/>
              </w:rPr>
              <w:t>Her words</w:t>
            </w:r>
          </w:p>
        </w:tc>
        <w:tc>
          <w:tcPr>
            <w:tcW w:type="dxa" w:w="3061"/>
            <w:shd w:val="clear" w:color="auto" w:fill="EDE7E1"/>
          </w:tcPr>
          <w:p>
            <w:pPr>
              <w:spacing w:after="40" w:before="40" w:line="259" w:lineRule="auto"/>
            </w:pPr>
            <w:r/>
            <w:r>
              <w:rPr>
                <w:b/>
                <w:i w:val="0"/>
                <w:color w:val="1A1A1A"/>
                <w:sz w:val="18"/>
              </w:rPr>
              <w:t>Shipping</w:t>
            </w:r>
          </w:p>
        </w:tc>
        <w:tc>
          <w:tcPr>
            <w:tcW w:type="dxa" w:w="4195"/>
            <w:shd w:val="clear" w:color="auto" w:fill="EDE7E1"/>
          </w:tcPr>
          <w:p>
            <w:pPr>
              <w:spacing w:after="40" w:before="40" w:line="259" w:lineRule="auto"/>
            </w:pPr>
            <w:r/>
            <w:r>
              <w:rPr>
                <w:b/>
                <w:i w:val="0"/>
                <w:color w:val="1A1A1A"/>
                <w:sz w:val="18"/>
              </w:rPr>
              <w:t>Why</w:t>
            </w:r>
          </w:p>
        </w:tc>
      </w:tr>
      <w:tr>
        <w:tc>
          <w:tcPr>
            <w:tcW w:type="dxa" w:w="2381"/>
          </w:tcPr>
          <w:p>
            <w:pPr>
              <w:spacing w:after="40" w:before="40" w:line="259" w:lineRule="auto"/>
            </w:pPr>
            <w:r/>
            <w:r>
              <w:rPr>
                <w:b w:val="0"/>
                <w:i w:val="0"/>
                <w:color w:val="1A1A1A"/>
                <w:sz w:val="18"/>
              </w:rPr>
              <w:t>“This must be too hard on them”</w:t>
            </w:r>
          </w:p>
        </w:tc>
        <w:tc>
          <w:tcPr>
            <w:tcW w:type="dxa" w:w="3061"/>
          </w:tcPr>
          <w:p>
            <w:pPr>
              <w:spacing w:after="40" w:before="40" w:line="259" w:lineRule="auto"/>
            </w:pPr>
            <w:r/>
            <w:r>
              <w:rPr>
                <w:b w:val="0"/>
                <w:i w:val="0"/>
                <w:color w:val="1A1A1A"/>
                <w:sz w:val="18"/>
              </w:rPr>
              <w:t>“This must be very hard on them — and on you — but it is a serious thing”</w:t>
            </w:r>
          </w:p>
        </w:tc>
        <w:tc>
          <w:tcPr>
            <w:tcW w:type="dxa" w:w="4195"/>
          </w:tcPr>
          <w:p>
            <w:pPr>
              <w:spacing w:after="40" w:before="40" w:line="259" w:lineRule="auto"/>
            </w:pPr>
            <w:r/>
            <w:r>
              <w:rPr>
                <w:b w:val="0"/>
                <w:i w:val="0"/>
                <w:color w:val="1A1A1A"/>
                <w:sz w:val="18"/>
              </w:rPr>
              <w:t>Her clause with the sender included. Whose difficulty it is was ambiguous in the example, and both are true: the friend is at risk and the sender is carrying it.</w:t>
            </w:r>
          </w:p>
        </w:tc>
      </w:tr>
      <w:tr>
        <w:tc>
          <w:tcPr>
            <w:tcW w:type="dxa" w:w="2381"/>
          </w:tcPr>
          <w:p>
            <w:pPr>
              <w:spacing w:after="40" w:before="40" w:line="259" w:lineRule="auto"/>
            </w:pPr>
            <w:r/>
            <w:r>
              <w:rPr>
                <w:b w:val="0"/>
                <w:i w:val="0"/>
                <w:color w:val="1A1A1A"/>
                <w:sz w:val="18"/>
              </w:rPr>
              <w:t>“I don't want this app to be the only support”</w:t>
            </w:r>
          </w:p>
        </w:tc>
        <w:tc>
          <w:tcPr>
            <w:tcW w:type="dxa" w:w="3061"/>
          </w:tcPr>
          <w:p>
            <w:pPr>
              <w:spacing w:after="40" w:before="40" w:line="259" w:lineRule="auto"/>
            </w:pPr>
            <w:r/>
            <w:r>
              <w:rPr>
                <w:b w:val="0"/>
                <w:i w:val="0"/>
                <w:color w:val="1A1A1A"/>
                <w:sz w:val="18"/>
              </w:rPr>
              <w:t>“…the only support they have with it”</w:t>
            </w:r>
          </w:p>
        </w:tc>
        <w:tc>
          <w:tcPr>
            <w:tcW w:type="dxa" w:w="4195"/>
          </w:tcPr>
          <w:p>
            <w:pPr>
              <w:spacing w:after="40" w:before="40" w:line="259" w:lineRule="auto"/>
            </w:pPr>
            <w:r/>
            <w:r>
              <w:rPr>
                <w:b w:val="0"/>
                <w:i w:val="0"/>
                <w:color w:val="1A1A1A"/>
                <w:sz w:val="18"/>
              </w:rPr>
              <w:t>Third person, as she instructed.</w:t>
            </w:r>
          </w:p>
        </w:tc>
      </w:tr>
      <w:tr>
        <w:tc>
          <w:tcPr>
            <w:tcW w:type="dxa" w:w="2381"/>
          </w:tcPr>
          <w:p>
            <w:pPr>
              <w:spacing w:after="40" w:before="40" w:line="259" w:lineRule="auto"/>
            </w:pPr>
            <w:r/>
            <w:r>
              <w:rPr>
                <w:b w:val="0"/>
                <w:i w:val="0"/>
                <w:color w:val="1A1A1A"/>
                <w:sz w:val="18"/>
              </w:rPr>
              <w:t>“(followed by the emergency contacts)”</w:t>
            </w:r>
          </w:p>
        </w:tc>
        <w:tc>
          <w:tcPr>
            <w:tcW w:type="dxa" w:w="3061"/>
          </w:tcPr>
          <w:p>
            <w:pPr>
              <w:spacing w:after="40" w:before="40" w:line="259" w:lineRule="auto"/>
            </w:pPr>
            <w:r/>
            <w:r>
              <w:rPr>
                <w:b w:val="0"/>
                <w:i w:val="0"/>
                <w:color w:val="1A1A1A"/>
                <w:sz w:val="18"/>
              </w:rPr>
              <w:t>The same six-entry block, 112 last</w:t>
            </w:r>
          </w:p>
        </w:tc>
        <w:tc>
          <w:tcPr>
            <w:tcW w:type="dxa" w:w="4195"/>
          </w:tcPr>
          <w:p>
            <w:pPr>
              <w:spacing w:after="40" w:before="40" w:line="259" w:lineRule="auto"/>
            </w:pPr>
            <w:r/>
            <w:r>
              <w:rPr>
                <w:b w:val="0"/>
                <w:i w:val="0"/>
                <w:color w:val="1A1A1A"/>
                <w:sz w:val="18"/>
              </w:rPr>
              <w:t>Her instruction: “suggest the same emergency numbers”.</w:t>
            </w:r>
          </w:p>
        </w:tc>
      </w:tr>
      <w:tr>
        <w:tc>
          <w:tcPr>
            <w:tcW w:type="dxa" w:w="2381"/>
          </w:tcPr>
          <w:p>
            <w:pPr>
              <w:spacing w:after="40" w:before="40" w:line="259" w:lineRule="auto"/>
            </w:pPr>
            <w:r/>
            <w:r>
              <w:rPr>
                <w:b w:val="0"/>
                <w:i w:val="0"/>
                <w:color w:val="1A1A1A"/>
                <w:sz w:val="18"/>
              </w:rPr>
              <w:t>—</w:t>
            </w:r>
          </w:p>
        </w:tc>
        <w:tc>
          <w:tcPr>
            <w:tcW w:type="dxa" w:w="3061"/>
          </w:tcPr>
          <w:p>
            <w:pPr>
              <w:spacing w:after="40" w:before="40" w:line="259" w:lineRule="auto"/>
            </w:pPr>
            <w:r/>
            <w:r>
              <w:rPr>
                <w:b w:val="0"/>
                <w:i w:val="0"/>
                <w:color w:val="1A1A1A"/>
                <w:sz w:val="18"/>
              </w:rPr>
              <w:t>“Is there anyone who can be with them right now?”</w:t>
            </w:r>
          </w:p>
        </w:tc>
        <w:tc>
          <w:tcPr>
            <w:tcW w:type="dxa" w:w="4195"/>
          </w:tcPr>
          <w:p>
            <w:pPr>
              <w:spacing w:after="40" w:before="40" w:line="259" w:lineRule="auto"/>
            </w:pPr>
            <w:r/>
            <w:r>
              <w:rPr>
                <w:b w:val="0"/>
                <w:i w:val="0"/>
                <w:color w:val="1A1A1A"/>
                <w:sz w:val="18"/>
              </w:rPr>
              <w:t>The one line that is not hers. It mirrors the S3 reply's closing question and it is removable on one word from her.</w:t>
            </w:r>
          </w:p>
        </w:tc>
      </w:tr>
    </w:tbl>
    <w:p>
      <w:pPr>
        <w:spacing w:after="40"/>
      </w:pPr>
    </w:p>
    <w:p>
      <w:pPr>
        <w:pStyle w:val="Heading2"/>
        <w:keepNext/>
        <w:spacing w:before="240" w:after="80"/>
      </w:pPr>
      <w:r>
        <w:rPr>
          <w:rFonts w:ascii="Calibri" w:hAnsi="Calibri"/>
          <w:b/>
          <w:color w:val="1A1A1A"/>
          <w:sz w:val="23"/>
        </w:rPr>
        <w:t>4.3 What instruction 4 removed</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BF0EF"/>
          </w:tcPr>
          <w:p>
            <w:pPr>
              <w:spacing w:after="60"/>
            </w:pPr>
            <w:r/>
            <w:r>
              <w:rPr>
                <w:b/>
                <w:sz w:val="19"/>
              </w:rPr>
              <w:t>An unreviewed clinical technique has left the product</w:t>
            </w:r>
          </w:p>
          <w:p>
            <w:pPr>
              <w:spacing w:after="60" w:line="269" w:lineRule="auto"/>
            </w:pPr>
            <w:r>
              <w:rPr>
                <w:sz w:val="19"/>
              </w:rPr>
              <w:t>The third-party card in the code carried a passage that is clinical technique, not wording: “talk to them directly and ask whether they are thinking about ending their life. Asking does not put the idea there, and it is usually what opens the conversation.” It had never been reviewed. Revision 2 recommended either putting that sentence to her as its own item or dropping it; instruction 4 answers “ok. drop it”. The card is now her words plus the number block. The wider card also loses its opening (“sounds serious enough to act on now, not to watch and wait”) and its closing reassurance, which were never signed either — so the shipped card is shorter than the one it replaces. That is the intended direction: signed copy only.</w:t>
            </w:r>
          </w:p>
        </w:tc>
      </w:tr>
    </w:tbl>
    <w:p>
      <w:pPr>
        <w:spacing w:after="40"/>
      </w:pPr>
    </w:p>
    <w:p>
      <w:pPr>
        <w:pStyle w:val="Heading1"/>
        <w:keepNext/>
        <w:pBdr>
          <w:bottom w:val="single" w:sz="6" w:space="2" w:color="D8CFC6"/>
        </w:pBdr>
        <w:spacing w:before="320" w:after="120"/>
      </w:pPr>
      <w:r>
        <w:rPr>
          <w:rFonts w:ascii="Calibri" w:hAnsi="Calibri"/>
          <w:b/>
          <w:color w:val="8C2F2F"/>
          <w:sz w:val="28"/>
        </w:rPr>
        <w:t>5. The literal-phrase list, its guards, and its precedence</w:t>
      </w:r>
    </w:p>
    <w:p>
      <w:pPr>
        <w:pStyle w:val="Heading2"/>
        <w:keepNext/>
        <w:spacing w:before="240" w:after="80"/>
      </w:pPr>
      <w:r>
        <w:rPr>
          <w:rFonts w:ascii="Calibri" w:hAnsi="Calibri"/>
          <w:b/>
          <w:color w:val="1A1A1A"/>
          <w:sz w:val="23"/>
        </w:rPr>
        <w:t>5.1 The approved list — eleven phrases</w:t>
      </w:r>
    </w:p>
    <w:p>
      <w:pPr>
        <w:spacing w:after="120" w:line="276" w:lineRule="auto"/>
      </w:pPr>
      <w:r>
        <w:rPr>
          <w:b w:val="0"/>
          <w:i w:val="0"/>
          <w:color w:val="1A1A1A"/>
          <w:sz w:val="21"/>
        </w:rPr>
        <w:t>Approved in revision 1 as “approved (plus additions)”: the five live phrases, the five additions proposed in §5.6 of the pack, and her own “jeena nahi chahti / jeena nahi chahta”. Unchanged by this revision.</w:t>
      </w:r>
    </w:p>
    <w:tbl>
      <w:tblPr>
        <w:tblStyle w:val="TableGrid"/>
        <w:tblW w:type="auto" w:w="0"/>
        <w:jc w:val="center"/>
        <w:tblLayout w:type="fixed"/>
        <w:tblLook w:firstColumn="1" w:firstRow="1" w:lastColumn="0" w:lastRow="0" w:noHBand="0" w:noVBand="1" w:val="04A0"/>
      </w:tblPr>
      <w:tblGrid>
        <w:gridCol w:w="454"/>
        <w:gridCol w:w="3175"/>
        <w:gridCol w:w="1928"/>
        <w:gridCol w:w="4082"/>
      </w:tblGrid>
      <w:tr>
        <w:trPr>
          <w:tblHeader/>
        </w:trPr>
        <w:tc>
          <w:tcPr>
            <w:tcW w:type="dxa" w:w="454"/>
            <w:shd w:val="clear" w:color="auto" w:fill="EDE7E1"/>
          </w:tcPr>
          <w:p>
            <w:pPr>
              <w:spacing w:after="40" w:before="40" w:line="259" w:lineRule="auto"/>
            </w:pPr>
            <w:r/>
            <w:r>
              <w:rPr>
                <w:b/>
                <w:i w:val="0"/>
                <w:color w:val="1A1A1A"/>
                <w:sz w:val="19"/>
              </w:rPr>
              <w:t>#</w:t>
            </w:r>
          </w:p>
        </w:tc>
        <w:tc>
          <w:tcPr>
            <w:tcW w:type="dxa" w:w="3175"/>
            <w:shd w:val="clear" w:color="auto" w:fill="EDE7E1"/>
          </w:tcPr>
          <w:p>
            <w:pPr>
              <w:spacing w:after="40" w:before="40" w:line="259" w:lineRule="auto"/>
            </w:pPr>
            <w:r/>
            <w:r>
              <w:rPr>
                <w:b/>
                <w:i w:val="0"/>
                <w:color w:val="1A1A1A"/>
                <w:sz w:val="19"/>
              </w:rPr>
              <w:t>Phrase</w:t>
            </w:r>
          </w:p>
        </w:tc>
        <w:tc>
          <w:tcPr>
            <w:tcW w:type="dxa" w:w="1928"/>
            <w:shd w:val="clear" w:color="auto" w:fill="EDE7E1"/>
          </w:tcPr>
          <w:p>
            <w:pPr>
              <w:spacing w:after="40" w:before="40" w:line="259" w:lineRule="auto"/>
            </w:pPr>
            <w:r/>
            <w:r>
              <w:rPr>
                <w:b/>
                <w:i w:val="0"/>
                <w:color w:val="1A1A1A"/>
                <w:sz w:val="19"/>
              </w:rPr>
              <w:t>Source</w:t>
            </w:r>
          </w:p>
        </w:tc>
        <w:tc>
          <w:tcPr>
            <w:tcW w:type="dxa" w:w="4082"/>
            <w:shd w:val="clear" w:color="auto" w:fill="EDE7E1"/>
          </w:tcPr>
          <w:p>
            <w:pPr>
              <w:spacing w:after="40" w:before="40" w:line="259" w:lineRule="auto"/>
            </w:pPr>
            <w:r/>
            <w:r>
              <w:rPr>
                <w:b/>
                <w:i w:val="0"/>
                <w:color w:val="1A1A1A"/>
                <w:sz w:val="19"/>
              </w:rPr>
              <w:t>What it catches</w:t>
            </w:r>
          </w:p>
        </w:tc>
      </w:tr>
      <w:tr>
        <w:tc>
          <w:tcPr>
            <w:tcW w:type="dxa" w:w="454"/>
          </w:tcPr>
          <w:p>
            <w:pPr>
              <w:spacing w:after="40" w:before="40" w:line="259" w:lineRule="auto"/>
            </w:pPr>
            <w:r/>
            <w:r>
              <w:rPr>
                <w:b w:val="0"/>
                <w:i w:val="0"/>
                <w:color w:val="1A1A1A"/>
                <w:sz w:val="19"/>
              </w:rPr>
              <w:t>1</w:t>
            </w:r>
          </w:p>
        </w:tc>
        <w:tc>
          <w:tcPr>
            <w:tcW w:type="dxa" w:w="3175"/>
          </w:tcPr>
          <w:p>
            <w:pPr>
              <w:spacing w:after="40" w:before="40" w:line="259" w:lineRule="auto"/>
            </w:pPr>
            <w:r/>
            <w:r>
              <w:rPr>
                <w:b w:val="0"/>
                <w:i w:val="0"/>
                <w:color w:val="1A1A1A"/>
                <w:sz w:val="19"/>
              </w:rPr>
              <w:t>kill myself</w:t>
            </w:r>
          </w:p>
        </w:tc>
        <w:tc>
          <w:tcPr>
            <w:tcW w:type="dxa" w:w="1928"/>
          </w:tcPr>
          <w:p>
            <w:pPr>
              <w:spacing w:after="40" w:before="40" w:line="259" w:lineRule="auto"/>
            </w:pPr>
            <w:r/>
            <w:r>
              <w:rPr>
                <w:b w:val="0"/>
                <w:i w:val="0"/>
                <w:color w:val="1A1A1A"/>
                <w:sz w:val="19"/>
              </w:rPr>
              <w:t>Live today</w:t>
            </w:r>
          </w:p>
        </w:tc>
        <w:tc>
          <w:tcPr>
            <w:tcW w:type="dxa" w:w="4082"/>
          </w:tcPr>
          <w:p>
            <w:pPr>
              <w:spacing w:after="40" w:before="40" w:line="259" w:lineRule="auto"/>
            </w:pPr>
            <w:r/>
            <w:r>
              <w:rPr>
                <w:b w:val="0"/>
                <w:i w:val="0"/>
                <w:color w:val="1A1A1A"/>
                <w:sz w:val="19"/>
              </w:rPr>
              <w:t>Explicit first-person intent</w:t>
            </w:r>
          </w:p>
        </w:tc>
      </w:tr>
      <w:tr>
        <w:tc>
          <w:tcPr>
            <w:tcW w:type="dxa" w:w="454"/>
          </w:tcPr>
          <w:p>
            <w:pPr>
              <w:spacing w:after="40" w:before="40" w:line="259" w:lineRule="auto"/>
            </w:pPr>
            <w:r/>
            <w:r>
              <w:rPr>
                <w:b w:val="0"/>
                <w:i w:val="0"/>
                <w:color w:val="1A1A1A"/>
                <w:sz w:val="19"/>
              </w:rPr>
              <w:t>2</w:t>
            </w:r>
          </w:p>
        </w:tc>
        <w:tc>
          <w:tcPr>
            <w:tcW w:type="dxa" w:w="3175"/>
          </w:tcPr>
          <w:p>
            <w:pPr>
              <w:spacing w:after="40" w:before="40" w:line="259" w:lineRule="auto"/>
            </w:pPr>
            <w:r/>
            <w:r>
              <w:rPr>
                <w:b w:val="0"/>
                <w:i w:val="0"/>
                <w:color w:val="1A1A1A"/>
                <w:sz w:val="19"/>
              </w:rPr>
              <w:t>suicide</w:t>
            </w:r>
          </w:p>
        </w:tc>
        <w:tc>
          <w:tcPr>
            <w:tcW w:type="dxa" w:w="1928"/>
          </w:tcPr>
          <w:p>
            <w:pPr>
              <w:spacing w:after="40" w:before="40" w:line="259" w:lineRule="auto"/>
            </w:pPr>
            <w:r/>
            <w:r>
              <w:rPr>
                <w:b w:val="0"/>
                <w:i w:val="0"/>
                <w:color w:val="1A1A1A"/>
                <w:sz w:val="19"/>
              </w:rPr>
              <w:t>Live today</w:t>
            </w:r>
          </w:p>
        </w:tc>
        <w:tc>
          <w:tcPr>
            <w:tcW w:type="dxa" w:w="4082"/>
          </w:tcPr>
          <w:p>
            <w:pPr>
              <w:spacing w:after="40" w:before="40" w:line="259" w:lineRule="auto"/>
            </w:pPr>
            <w:r/>
            <w:r>
              <w:rPr>
                <w:b w:val="0"/>
                <w:i w:val="0"/>
                <w:color w:val="1A1A1A"/>
                <w:sz w:val="19"/>
              </w:rPr>
              <w:t>The word itself, in any construction</w:t>
            </w:r>
          </w:p>
        </w:tc>
      </w:tr>
      <w:tr>
        <w:tc>
          <w:tcPr>
            <w:tcW w:type="dxa" w:w="454"/>
          </w:tcPr>
          <w:p>
            <w:pPr>
              <w:spacing w:after="40" w:before="40" w:line="259" w:lineRule="auto"/>
            </w:pPr>
            <w:r/>
            <w:r>
              <w:rPr>
                <w:b w:val="0"/>
                <w:i w:val="0"/>
                <w:color w:val="1A1A1A"/>
                <w:sz w:val="19"/>
              </w:rPr>
              <w:t>3</w:t>
            </w:r>
          </w:p>
        </w:tc>
        <w:tc>
          <w:tcPr>
            <w:tcW w:type="dxa" w:w="3175"/>
          </w:tcPr>
          <w:p>
            <w:pPr>
              <w:spacing w:after="40" w:before="40" w:line="259" w:lineRule="auto"/>
            </w:pPr>
            <w:r/>
            <w:r>
              <w:rPr>
                <w:b w:val="0"/>
                <w:i w:val="0"/>
                <w:color w:val="1A1A1A"/>
                <w:sz w:val="19"/>
              </w:rPr>
              <w:t>end my life</w:t>
            </w:r>
          </w:p>
        </w:tc>
        <w:tc>
          <w:tcPr>
            <w:tcW w:type="dxa" w:w="1928"/>
          </w:tcPr>
          <w:p>
            <w:pPr>
              <w:spacing w:after="40" w:before="40" w:line="259" w:lineRule="auto"/>
            </w:pPr>
            <w:r/>
            <w:r>
              <w:rPr>
                <w:b w:val="0"/>
                <w:i w:val="0"/>
                <w:color w:val="1A1A1A"/>
                <w:sz w:val="19"/>
              </w:rPr>
              <w:t>Live today</w:t>
            </w:r>
          </w:p>
        </w:tc>
        <w:tc>
          <w:tcPr>
            <w:tcW w:type="dxa" w:w="4082"/>
          </w:tcPr>
          <w:p>
            <w:pPr>
              <w:spacing w:after="40" w:before="40" w:line="259" w:lineRule="auto"/>
            </w:pPr>
            <w:r/>
            <w:r>
              <w:rPr>
                <w:b w:val="0"/>
                <w:i w:val="0"/>
                <w:color w:val="1A1A1A"/>
                <w:sz w:val="19"/>
              </w:rPr>
              <w:t>Explicit first-person intent</w:t>
            </w:r>
          </w:p>
        </w:tc>
      </w:tr>
      <w:tr>
        <w:tc>
          <w:tcPr>
            <w:tcW w:type="dxa" w:w="454"/>
          </w:tcPr>
          <w:p>
            <w:pPr>
              <w:spacing w:after="40" w:before="40" w:line="259" w:lineRule="auto"/>
            </w:pPr>
            <w:r/>
            <w:r>
              <w:rPr>
                <w:b w:val="0"/>
                <w:i w:val="0"/>
                <w:color w:val="1A1A1A"/>
                <w:sz w:val="19"/>
              </w:rPr>
              <w:t>4</w:t>
            </w:r>
          </w:p>
        </w:tc>
        <w:tc>
          <w:tcPr>
            <w:tcW w:type="dxa" w:w="3175"/>
          </w:tcPr>
          <w:p>
            <w:pPr>
              <w:spacing w:after="40" w:before="40" w:line="259" w:lineRule="auto"/>
            </w:pPr>
            <w:r/>
            <w:r>
              <w:rPr>
                <w:b w:val="0"/>
                <w:i w:val="0"/>
                <w:color w:val="1A1A1A"/>
                <w:sz w:val="19"/>
              </w:rPr>
              <w:t>want to die</w:t>
            </w:r>
          </w:p>
        </w:tc>
        <w:tc>
          <w:tcPr>
            <w:tcW w:type="dxa" w:w="1928"/>
          </w:tcPr>
          <w:p>
            <w:pPr>
              <w:spacing w:after="40" w:before="40" w:line="259" w:lineRule="auto"/>
            </w:pPr>
            <w:r/>
            <w:r>
              <w:rPr>
                <w:b w:val="0"/>
                <w:i w:val="0"/>
                <w:color w:val="1A1A1A"/>
                <w:sz w:val="19"/>
              </w:rPr>
              <w:t>Live today</w:t>
            </w:r>
          </w:p>
        </w:tc>
        <w:tc>
          <w:tcPr>
            <w:tcW w:type="dxa" w:w="4082"/>
          </w:tcPr>
          <w:p>
            <w:pPr>
              <w:spacing w:after="40" w:before="40" w:line="259" w:lineRule="auto"/>
            </w:pPr>
            <w:r/>
            <w:r>
              <w:rPr>
                <w:b w:val="0"/>
                <w:i w:val="0"/>
                <w:color w:val="1A1A1A"/>
                <w:sz w:val="19"/>
              </w:rPr>
              <w:t>The csh-10 wording</w:t>
            </w:r>
          </w:p>
        </w:tc>
      </w:tr>
      <w:tr>
        <w:tc>
          <w:tcPr>
            <w:tcW w:type="dxa" w:w="454"/>
          </w:tcPr>
          <w:p>
            <w:pPr>
              <w:spacing w:after="40" w:before="40" w:line="259" w:lineRule="auto"/>
            </w:pPr>
            <w:r/>
            <w:r>
              <w:rPr>
                <w:b w:val="0"/>
                <w:i w:val="0"/>
                <w:color w:val="1A1A1A"/>
                <w:sz w:val="19"/>
              </w:rPr>
              <w:t>5</w:t>
            </w:r>
          </w:p>
        </w:tc>
        <w:tc>
          <w:tcPr>
            <w:tcW w:type="dxa" w:w="3175"/>
          </w:tcPr>
          <w:p>
            <w:pPr>
              <w:spacing w:after="40" w:before="40" w:line="259" w:lineRule="auto"/>
            </w:pPr>
            <w:r/>
            <w:r>
              <w:rPr>
                <w:b w:val="0"/>
                <w:i w:val="0"/>
                <w:color w:val="1A1A1A"/>
                <w:sz w:val="19"/>
              </w:rPr>
              <w:t>end it all</w:t>
            </w:r>
          </w:p>
        </w:tc>
        <w:tc>
          <w:tcPr>
            <w:tcW w:type="dxa" w:w="1928"/>
          </w:tcPr>
          <w:p>
            <w:pPr>
              <w:spacing w:after="40" w:before="40" w:line="259" w:lineRule="auto"/>
            </w:pPr>
            <w:r/>
            <w:r>
              <w:rPr>
                <w:b w:val="0"/>
                <w:i w:val="0"/>
                <w:color w:val="1A1A1A"/>
                <w:sz w:val="19"/>
              </w:rPr>
              <w:t>Live today</w:t>
            </w:r>
          </w:p>
        </w:tc>
        <w:tc>
          <w:tcPr>
            <w:tcW w:type="dxa" w:w="4082"/>
          </w:tcPr>
          <w:p>
            <w:pPr>
              <w:spacing w:after="40" w:before="40" w:line="259" w:lineRule="auto"/>
            </w:pPr>
            <w:r/>
            <w:r>
              <w:rPr>
                <w:b w:val="0"/>
                <w:i w:val="0"/>
                <w:color w:val="1A1A1A"/>
                <w:sz w:val="19"/>
              </w:rPr>
              <w:t>Explicit first-person intent</w:t>
            </w:r>
          </w:p>
        </w:tc>
      </w:tr>
      <w:tr>
        <w:tc>
          <w:tcPr>
            <w:tcW w:type="dxa" w:w="454"/>
          </w:tcPr>
          <w:p>
            <w:pPr>
              <w:spacing w:after="40" w:before="40" w:line="259" w:lineRule="auto"/>
            </w:pPr>
            <w:r/>
            <w:r>
              <w:rPr>
                <w:b w:val="0"/>
                <w:i w:val="0"/>
                <w:color w:val="1A1A1A"/>
                <w:sz w:val="19"/>
              </w:rPr>
              <w:t>6</w:t>
            </w:r>
          </w:p>
        </w:tc>
        <w:tc>
          <w:tcPr>
            <w:tcW w:type="dxa" w:w="3175"/>
          </w:tcPr>
          <w:p>
            <w:pPr>
              <w:spacing w:after="40" w:before="40" w:line="259" w:lineRule="auto"/>
            </w:pPr>
            <w:r/>
            <w:r>
              <w:rPr>
                <w:b w:val="0"/>
                <w:i w:val="0"/>
                <w:color w:val="1A1A1A"/>
                <w:sz w:val="19"/>
              </w:rPr>
              <w:t>ending my life</w:t>
            </w:r>
          </w:p>
        </w:tc>
        <w:tc>
          <w:tcPr>
            <w:tcW w:type="dxa" w:w="1928"/>
          </w:tcPr>
          <w:p>
            <w:pPr>
              <w:spacing w:after="40" w:before="40" w:line="259" w:lineRule="auto"/>
            </w:pPr>
            <w:r/>
            <w:r>
              <w:rPr>
                <w:b w:val="0"/>
                <w:i w:val="0"/>
                <w:color w:val="1A1A1A"/>
                <w:sz w:val="19"/>
              </w:rPr>
              <w:t>§5.6 addition</w:t>
            </w:r>
          </w:p>
        </w:tc>
        <w:tc>
          <w:tcPr>
            <w:tcW w:type="dxa" w:w="4082"/>
          </w:tcPr>
          <w:p>
            <w:pPr>
              <w:spacing w:after="40" w:before="40" w:line="259" w:lineRule="auto"/>
            </w:pPr>
            <w:r/>
            <w:r>
              <w:rPr>
                <w:b w:val="0"/>
                <w:i w:val="0"/>
                <w:color w:val="1A1A1A"/>
                <w:sz w:val="19"/>
              </w:rPr>
              <w:t>The csh-01 wording</w:t>
            </w:r>
          </w:p>
        </w:tc>
      </w:tr>
      <w:tr>
        <w:tc>
          <w:tcPr>
            <w:tcW w:type="dxa" w:w="454"/>
          </w:tcPr>
          <w:p>
            <w:pPr>
              <w:spacing w:after="40" w:before="40" w:line="259" w:lineRule="auto"/>
            </w:pPr>
            <w:r/>
            <w:r>
              <w:rPr>
                <w:b w:val="0"/>
                <w:i w:val="0"/>
                <w:color w:val="1A1A1A"/>
                <w:sz w:val="19"/>
              </w:rPr>
              <w:t>7</w:t>
            </w:r>
          </w:p>
        </w:tc>
        <w:tc>
          <w:tcPr>
            <w:tcW w:type="dxa" w:w="3175"/>
          </w:tcPr>
          <w:p>
            <w:pPr>
              <w:spacing w:after="40" w:before="40" w:line="259" w:lineRule="auto"/>
            </w:pPr>
            <w:r/>
            <w:r>
              <w:rPr>
                <w:b w:val="0"/>
                <w:i w:val="0"/>
                <w:color w:val="1A1A1A"/>
                <w:sz w:val="19"/>
              </w:rPr>
              <w:t>ending it all</w:t>
            </w:r>
          </w:p>
        </w:tc>
        <w:tc>
          <w:tcPr>
            <w:tcW w:type="dxa" w:w="1928"/>
          </w:tcPr>
          <w:p>
            <w:pPr>
              <w:spacing w:after="40" w:before="40" w:line="259" w:lineRule="auto"/>
            </w:pPr>
            <w:r/>
            <w:r>
              <w:rPr>
                <w:b w:val="0"/>
                <w:i w:val="0"/>
                <w:color w:val="1A1A1A"/>
                <w:sz w:val="19"/>
              </w:rPr>
              <w:t>§5.6 addition</w:t>
            </w:r>
          </w:p>
        </w:tc>
        <w:tc>
          <w:tcPr>
            <w:tcW w:type="dxa" w:w="4082"/>
          </w:tcPr>
          <w:p>
            <w:pPr>
              <w:spacing w:after="40" w:before="40" w:line="259" w:lineRule="auto"/>
            </w:pPr>
            <w:r/>
            <w:r>
              <w:rPr>
                <w:b w:val="0"/>
                <w:i w:val="0"/>
                <w:color w:val="1A1A1A"/>
                <w:sz w:val="19"/>
              </w:rPr>
              <w:t>Same phrase, different tense</w:t>
            </w:r>
          </w:p>
        </w:tc>
      </w:tr>
      <w:tr>
        <w:tc>
          <w:tcPr>
            <w:tcW w:type="dxa" w:w="454"/>
          </w:tcPr>
          <w:p>
            <w:pPr>
              <w:spacing w:after="40" w:before="40" w:line="259" w:lineRule="auto"/>
            </w:pPr>
            <w:r/>
            <w:r>
              <w:rPr>
                <w:b w:val="0"/>
                <w:i w:val="0"/>
                <w:color w:val="1A1A1A"/>
                <w:sz w:val="19"/>
              </w:rPr>
              <w:t>8</w:t>
            </w:r>
          </w:p>
        </w:tc>
        <w:tc>
          <w:tcPr>
            <w:tcW w:type="dxa" w:w="3175"/>
          </w:tcPr>
          <w:p>
            <w:pPr>
              <w:spacing w:after="40" w:before="40" w:line="259" w:lineRule="auto"/>
            </w:pPr>
            <w:r/>
            <w:r>
              <w:rPr>
                <w:b w:val="0"/>
                <w:i w:val="0"/>
                <w:color w:val="1A1A1A"/>
                <w:sz w:val="19"/>
              </w:rPr>
              <w:t>killing myself</w:t>
            </w:r>
          </w:p>
        </w:tc>
        <w:tc>
          <w:tcPr>
            <w:tcW w:type="dxa" w:w="1928"/>
          </w:tcPr>
          <w:p>
            <w:pPr>
              <w:spacing w:after="40" w:before="40" w:line="259" w:lineRule="auto"/>
            </w:pPr>
            <w:r/>
            <w:r>
              <w:rPr>
                <w:b w:val="0"/>
                <w:i w:val="0"/>
                <w:color w:val="1A1A1A"/>
                <w:sz w:val="19"/>
              </w:rPr>
              <w:t>§5.6 addition</w:t>
            </w:r>
          </w:p>
        </w:tc>
        <w:tc>
          <w:tcPr>
            <w:tcW w:type="dxa" w:w="4082"/>
          </w:tcPr>
          <w:p>
            <w:pPr>
              <w:spacing w:after="40" w:before="40" w:line="259" w:lineRule="auto"/>
            </w:pPr>
            <w:r/>
            <w:r>
              <w:rPr>
                <w:b w:val="0"/>
                <w:i w:val="0"/>
                <w:color w:val="1A1A1A"/>
                <w:sz w:val="19"/>
              </w:rPr>
              <w:t>Same phrase, different tense</w:t>
            </w:r>
          </w:p>
        </w:tc>
      </w:tr>
      <w:tr>
        <w:tc>
          <w:tcPr>
            <w:tcW w:type="dxa" w:w="454"/>
          </w:tcPr>
          <w:p>
            <w:pPr>
              <w:spacing w:after="40" w:before="40" w:line="259" w:lineRule="auto"/>
            </w:pPr>
            <w:r/>
            <w:r>
              <w:rPr>
                <w:b w:val="0"/>
                <w:i w:val="0"/>
                <w:color w:val="1A1A1A"/>
                <w:sz w:val="19"/>
              </w:rPr>
              <w:t>9</w:t>
            </w:r>
          </w:p>
        </w:tc>
        <w:tc>
          <w:tcPr>
            <w:tcW w:type="dxa" w:w="3175"/>
          </w:tcPr>
          <w:p>
            <w:pPr>
              <w:spacing w:after="40" w:before="40" w:line="259" w:lineRule="auto"/>
            </w:pPr>
            <w:r/>
            <w:r>
              <w:rPr>
                <w:b w:val="0"/>
                <w:i w:val="0"/>
                <w:color w:val="1A1A1A"/>
                <w:sz w:val="19"/>
              </w:rPr>
              <w:t>marna chahta / marni chahti</w:t>
            </w:r>
          </w:p>
        </w:tc>
        <w:tc>
          <w:tcPr>
            <w:tcW w:type="dxa" w:w="1928"/>
          </w:tcPr>
          <w:p>
            <w:pPr>
              <w:spacing w:after="40" w:before="40" w:line="259" w:lineRule="auto"/>
            </w:pPr>
            <w:r/>
            <w:r>
              <w:rPr>
                <w:b w:val="0"/>
                <w:i w:val="0"/>
                <w:color w:val="1A1A1A"/>
                <w:sz w:val="19"/>
              </w:rPr>
              <w:t>§5.6 addition</w:t>
            </w:r>
          </w:p>
        </w:tc>
        <w:tc>
          <w:tcPr>
            <w:tcW w:type="dxa" w:w="4082"/>
          </w:tcPr>
          <w:p>
            <w:pPr>
              <w:spacing w:after="40" w:before="40" w:line="259" w:lineRule="auto"/>
            </w:pPr>
            <w:r/>
            <w:r>
              <w:rPr>
                <w:b w:val="0"/>
                <w:i w:val="0"/>
                <w:color w:val="1A1A1A"/>
                <w:sz w:val="19"/>
              </w:rPr>
              <w:t>Hindi: “I want to die” — csh-06</w:t>
            </w:r>
          </w:p>
        </w:tc>
      </w:tr>
      <w:tr>
        <w:tc>
          <w:tcPr>
            <w:tcW w:type="dxa" w:w="454"/>
          </w:tcPr>
          <w:p>
            <w:pPr>
              <w:spacing w:after="40" w:before="40" w:line="259" w:lineRule="auto"/>
            </w:pPr>
            <w:r/>
            <w:r>
              <w:rPr>
                <w:b w:val="0"/>
                <w:i w:val="0"/>
                <w:color w:val="1A1A1A"/>
                <w:sz w:val="19"/>
              </w:rPr>
              <w:t>10</w:t>
            </w:r>
          </w:p>
        </w:tc>
        <w:tc>
          <w:tcPr>
            <w:tcW w:type="dxa" w:w="3175"/>
          </w:tcPr>
          <w:p>
            <w:pPr>
              <w:spacing w:after="40" w:before="40" w:line="259" w:lineRule="auto"/>
            </w:pPr>
            <w:r/>
            <w:r>
              <w:rPr>
                <w:b w:val="0"/>
                <w:i w:val="0"/>
                <w:color w:val="1A1A1A"/>
                <w:sz w:val="19"/>
              </w:rPr>
              <w:t>khud ko khatam</w:t>
            </w:r>
          </w:p>
        </w:tc>
        <w:tc>
          <w:tcPr>
            <w:tcW w:type="dxa" w:w="1928"/>
          </w:tcPr>
          <w:p>
            <w:pPr>
              <w:spacing w:after="40" w:before="40" w:line="259" w:lineRule="auto"/>
            </w:pPr>
            <w:r/>
            <w:r>
              <w:rPr>
                <w:b w:val="0"/>
                <w:i w:val="0"/>
                <w:color w:val="1A1A1A"/>
                <w:sz w:val="19"/>
              </w:rPr>
              <w:t>§5.6 addition</w:t>
            </w:r>
          </w:p>
        </w:tc>
        <w:tc>
          <w:tcPr>
            <w:tcW w:type="dxa" w:w="4082"/>
          </w:tcPr>
          <w:p>
            <w:pPr>
              <w:spacing w:after="40" w:before="40" w:line="259" w:lineRule="auto"/>
            </w:pPr>
            <w:r/>
            <w:r>
              <w:rPr>
                <w:b w:val="0"/>
                <w:i w:val="0"/>
                <w:color w:val="1A1A1A"/>
                <w:sz w:val="19"/>
              </w:rPr>
              <w:t>Hinglish: “end myself”</w:t>
            </w:r>
          </w:p>
        </w:tc>
      </w:tr>
      <w:tr>
        <w:tc>
          <w:tcPr>
            <w:tcW w:type="dxa" w:w="454"/>
          </w:tcPr>
          <w:p>
            <w:pPr>
              <w:spacing w:after="40" w:before="40" w:line="259" w:lineRule="auto"/>
            </w:pPr>
            <w:r/>
            <w:r>
              <w:rPr>
                <w:b w:val="0"/>
                <w:i w:val="0"/>
                <w:color w:val="1A1A1A"/>
                <w:sz w:val="19"/>
              </w:rPr>
              <w:t>11</w:t>
            </w:r>
          </w:p>
        </w:tc>
        <w:tc>
          <w:tcPr>
            <w:tcW w:type="dxa" w:w="3175"/>
          </w:tcPr>
          <w:p>
            <w:pPr>
              <w:spacing w:after="40" w:before="40" w:line="259" w:lineRule="auto"/>
            </w:pPr>
            <w:r/>
            <w:r>
              <w:rPr>
                <w:b w:val="0"/>
                <w:i w:val="0"/>
                <w:color w:val="1A1A1A"/>
                <w:sz w:val="19"/>
              </w:rPr>
              <w:t>jeena nahi chahti / jeena nahi chahta</w:t>
            </w:r>
          </w:p>
        </w:tc>
        <w:tc>
          <w:tcPr>
            <w:tcW w:type="dxa" w:w="1928"/>
          </w:tcPr>
          <w:p>
            <w:pPr>
              <w:spacing w:after="40" w:before="40" w:line="259" w:lineRule="auto"/>
            </w:pPr>
            <w:r/>
            <w:r>
              <w:rPr>
                <w:b w:val="0"/>
                <w:i w:val="0"/>
                <w:color w:val="1A1A1A"/>
                <w:sz w:val="19"/>
              </w:rPr>
              <w:t>Her addition, 31 Oct</w:t>
            </w:r>
          </w:p>
        </w:tc>
        <w:tc>
          <w:tcPr>
            <w:tcW w:type="dxa" w:w="4082"/>
          </w:tcPr>
          <w:p>
            <w:pPr>
              <w:spacing w:after="40" w:before="40" w:line="259" w:lineRule="auto"/>
            </w:pPr>
            <w:r/>
            <w:r>
              <w:rPr>
                <w:b w:val="0"/>
                <w:i w:val="0"/>
                <w:color w:val="1A1A1A"/>
                <w:sz w:val="19"/>
              </w:rPr>
              <w:t>Hindi: “don't want to live”</w:t>
            </w:r>
          </w:p>
        </w:tc>
      </w:tr>
    </w:tbl>
    <w:p>
      <w:pPr>
        <w:spacing w:after="40"/>
      </w:pPr>
    </w:p>
    <w:p>
      <w:pPr>
        <w:pStyle w:val="Heading2"/>
        <w:keepNext/>
        <w:spacing w:before="240" w:after="80"/>
      </w:pPr>
      <w:r>
        <w:rPr>
          <w:rFonts w:ascii="Calibri" w:hAnsi="Calibri"/>
          <w:b/>
          <w:color w:val="1A1A1A"/>
          <w:sz w:val="23"/>
        </w:rPr>
        <w:t>5.2 Idiom guards — approved</w:t>
      </w:r>
    </w:p>
    <w:p>
      <w:pPr>
        <w:spacing w:after="120" w:line="276" w:lineRule="auto"/>
      </w:pPr>
      <w:r>
        <w:rPr>
          <w:b w:val="0"/>
          <w:i w:val="0"/>
          <w:color w:val="1A1A1A"/>
          <w:sz w:val="21"/>
        </w:rPr>
        <w:t>Both guards approved, with the three deliberate omissions: “kill myself laughing”, “die of embarrassment / boredom / laughing”, and no guard attempted on Hindi. Unchanged by this revision.</w:t>
      </w:r>
    </w:p>
    <w:p>
      <w:pPr>
        <w:pStyle w:val="Heading2"/>
        <w:keepNext/>
        <w:spacing w:before="240" w:after="80"/>
      </w:pPr>
      <w:r>
        <w:rPr>
          <w:rFonts w:ascii="Calibri" w:hAnsi="Calibri"/>
          <w:b/>
          <w:color w:val="1A1A1A"/>
          <w:sz w:val="23"/>
        </w:rPr>
        <w:t>5.3 Precedence — approved, and now doing more work</w:t>
      </w:r>
    </w:p>
    <w:p>
      <w:pPr>
        <w:spacing w:after="120" w:line="276" w:lineRule="auto"/>
      </w:pPr>
      <w:r>
        <w:rPr>
          <w:b w:val="0"/>
          <w:i w:val="0"/>
          <w:color w:val="1A1A1A"/>
          <w:sz w:val="21"/>
        </w:rPr>
        <w:t>A literal phrase match outranks the model's level on every message, and a match can raise the level to S4 and never lower it. Unchanged. Instruction 3 gives that rule a new consequence: self-injury mentions are now served by crisis copy rather than a softer reply, which is the tier question revision 2 left open. It is answered in §6.</w:t>
      </w:r>
    </w:p>
    <w:p>
      <w:pPr>
        <w:pStyle w:val="Heading2"/>
        <w:keepNext/>
        <w:spacing w:before="240" w:after="80"/>
      </w:pPr>
      <w:r>
        <w:rPr>
          <w:rFonts w:ascii="Calibri" w:hAnsi="Calibri"/>
          <w:b/>
          <w:color w:val="1A1A1A"/>
          <w:sz w:val="23"/>
        </w:rPr>
        <w:t>5.4 Language — instruction 7</w:t>
      </w:r>
    </w:p>
    <w:p>
      <w:pPr>
        <w:spacing w:after="160" w:line="276" w:lineRule="auto"/>
      </w:pPr>
      <w:r>
        <w:rPr>
          <w:b w:val="0"/>
          <w:i w:val="0"/>
          <w:color w:val="1A1A1A"/>
          <w:sz w:val="21"/>
        </w:rPr>
        <w:t>Three of the eleven phrases are Hindi or Hinglish, and the cards they reach are English. She has decided that this is acceptable for launch. Recorded as an accepted risk rather than a gap: a person writing “jeena nahi chahti” will be routed correctly to a crisis card and will read it in English. If a Hindi interface ships later, this decision should be revisited alongside it, because at that point the mismatch becomes a defect rather than a limitation. §10 note 2.</w:t>
      </w:r>
    </w:p>
    <w:p>
      <w:pPr>
        <w:pStyle w:val="Heading1"/>
        <w:keepNext/>
        <w:pBdr>
          <w:bottom w:val="single" w:sz="6" w:space="2" w:color="D8CFC6"/>
        </w:pBdr>
        <w:spacing w:before="320" w:after="120"/>
      </w:pPr>
      <w:r>
        <w:rPr>
          <w:rFonts w:ascii="Calibri" w:hAnsi="Calibri"/>
          <w:b/>
          <w:color w:val="8C2F2F"/>
          <w:sz w:val="28"/>
        </w:rPr>
        <w:t>6. The self-injury reply — routed to crisis</w:t>
      </w:r>
    </w:p>
    <w:p>
      <w:pPr>
        <w:spacing w:after="160" w:line="276" w:lineRule="auto"/>
      </w:pPr>
      <w:r>
        <w:rPr>
          <w:b w:val="0"/>
          <w:i w:val="0"/>
          <w:color w:val="1A1A1A"/>
          <w:sz w:val="21"/>
        </w:rPr>
        <w:t>Approved in revision 2, and moved to the crisis tier by instruction 3 of this message: “okay then send it to S4, if change is required we will change it later. As of now, if the app senses that the individual wants to cut or is cutting (in the sense of self harm), crisis card comes up.” That closes the only question revision 2 could not record as settled.</w:t>
      </w:r>
    </w:p>
    <w:p>
      <w:pPr>
        <w:pStyle w:val="Heading2"/>
        <w:keepNext/>
        <w:spacing w:before="240" w:after="80"/>
      </w:pPr>
      <w:r>
        <w:rPr>
          <w:rFonts w:ascii="Calibri" w:hAnsi="Calibri"/>
          <w:b/>
          <w:color w:val="1A1A1A"/>
          <w:sz w:val="23"/>
        </w:rPr>
        <w:t>6.1 Her text, verbatim</w:t>
      </w:r>
    </w:p>
    <w:p>
      <w:pPr>
        <w:pBdr>
          <w:left w:val="single" w:sz="12" w:space="8" w:color="B08A7A"/>
        </w:pBdr>
        <w:shd w:val="clear" w:color="auto" w:fill="F7F7F5"/>
        <w:spacing w:before="40" w:after="160" w:line="288" w:lineRule="auto"/>
        <w:ind w:left="283"/>
      </w:pPr>
      <w:r>
        <w:rPr>
          <w:i/>
          <w:color w:val="1A1A1A"/>
          <w:sz w:val="21"/>
        </w:rPr>
        <w:t>Cutting may seem temporarily relieving, but it can be very dangerous and fatal. It is a coping strategy but trust me, there are alternatives. Please let your therapist know and call any of the following numbers if you feel like cutting now.</w:t>
      </w:r>
    </w:p>
    <w:p>
      <w:pPr>
        <w:pStyle w:val="Heading2"/>
        <w:keepNext/>
        <w:spacing w:before="240" w:after="80"/>
      </w:pPr>
      <w:r>
        <w:rPr>
          <w:rFonts w:ascii="Calibri" w:hAnsi="Calibri"/>
          <w:b/>
          <w:color w:val="1A1A1A"/>
          <w:sz w:val="23"/>
        </w:rPr>
        <w:t>6.2 Shipping text, and the one edit</w:t>
      </w:r>
    </w:p>
    <w:p>
      <w:pPr>
        <w:spacing w:after="120" w:line="276" w:lineRule="auto"/>
      </w:pPr>
      <w:r>
        <w:rPr>
          <w:b w:val="0"/>
          <w:i w:val="0"/>
          <w:color w:val="1A1A1A"/>
          <w:sz w:val="21"/>
        </w:rPr>
        <w:t>“trust me” is removed on instruction 6. Nothing else in her sentence changes: “Please let your therapist know” stays exactly as she wrote it, on the strength of instruction 5.</w:t>
      </w:r>
    </w:p>
    <w:p>
      <w:pPr>
        <w:pBdr>
          <w:left w:val="single" w:sz="12" w:space="8" w:color="B08A7A"/>
        </w:pBdr>
        <w:shd w:val="clear" w:color="auto" w:fill="FFFFFF"/>
        <w:spacing w:before="40" w:after="160" w:line="288" w:lineRule="auto"/>
        <w:ind w:left="283"/>
      </w:pPr>
      <w:r>
        <w:rPr>
          <w:i/>
          <w:color w:val="1A1A1A"/>
          <w:sz w:val="21"/>
        </w:rPr>
        <w:t>Cutting may seem temporarily relieving, but it can be very dangerous and fatal. It is a coping strategy, but there are alternatives.</w:t>
        <w:br/>
      </w:r>
      <w:r>
        <w:rPr>
          <w:i/>
          <w:color w:val="1A1A1A"/>
          <w:sz w:val="21"/>
        </w:rPr>
        <w:br/>
      </w:r>
      <w:r>
        <w:rPr>
          <w:i/>
          <w:color w:val="1A1A1A"/>
          <w:sz w:val="21"/>
        </w:rPr>
        <w:t>Please let your therapist know, and call any of these numbers if you feel like cutting now:</w:t>
        <w:br/>
      </w:r>
      <w:r>
        <w:rPr>
          <w:i/>
          <w:color w:val="1A1A1A"/>
          <w:sz w:val="21"/>
        </w:rPr>
        <w:t>Tele-MANAS: 14416 (24×7)</w:t>
        <w:br/>
      </w:r>
      <w:r>
        <w:rPr>
          <w:i/>
          <w:color w:val="1A1A1A"/>
          <w:sz w:val="21"/>
        </w:rPr>
        <w:t>Vandrevala Foundation: +91 9999 666 555 (24×7×365)</w:t>
        <w:br/>
      </w:r>
      <w:r>
        <w:rPr>
          <w:i/>
          <w:color w:val="1A1A1A"/>
          <w:sz w:val="21"/>
        </w:rPr>
        <w:t>Sneha, Chennai: 044-24640050 (10 am–10 pm)</w:t>
        <w:br/>
      </w:r>
      <w:r>
        <w:rPr>
          <w:i/>
          <w:color w:val="1A1A1A"/>
          <w:sz w:val="21"/>
        </w:rPr>
        <w:t>NIMHANS: 080-46110007 (24×7)</w:t>
        <w:br/>
      </w:r>
      <w:r>
        <w:rPr>
          <w:i/>
          <w:color w:val="1A1A1A"/>
          <w:sz w:val="21"/>
        </w:rPr>
        <w:t>iCall (TISS): 9152987821 (Mon–Sat, 10 am–8 pm)</w:t>
        <w:br/>
      </w:r>
      <w:r>
        <w:rPr>
          <w:i/>
          <w:color w:val="1A1A1A"/>
          <w:sz w:val="21"/>
        </w:rPr>
        <w:t>Emergency: 112</w:t>
      </w:r>
    </w:p>
    <w:tbl>
      <w:tblPr>
        <w:tblStyle w:val="TableGrid"/>
        <w:tblW w:type="auto" w:w="0"/>
        <w:jc w:val="center"/>
        <w:tblLayout w:type="fixed"/>
        <w:tblLook w:firstColumn="1" w:firstRow="1" w:lastColumn="0" w:lastRow="0" w:noHBand="0" w:noVBand="1" w:val="04A0"/>
      </w:tblPr>
      <w:tblGrid>
        <w:gridCol w:w="2154"/>
        <w:gridCol w:w="2268"/>
        <w:gridCol w:w="5216"/>
      </w:tblGrid>
      <w:tr>
        <w:trPr>
          <w:tblHeader/>
        </w:trPr>
        <w:tc>
          <w:tcPr>
            <w:tcW w:type="dxa" w:w="2154"/>
            <w:shd w:val="clear" w:color="auto" w:fill="EDE7E1"/>
          </w:tcPr>
          <w:p>
            <w:pPr>
              <w:spacing w:after="40" w:before="40" w:line="259" w:lineRule="auto"/>
            </w:pPr>
            <w:r/>
            <w:r>
              <w:rPr>
                <w:b/>
                <w:i w:val="0"/>
                <w:color w:val="1A1A1A"/>
                <w:sz w:val="18"/>
              </w:rPr>
              <w:t>Her words</w:t>
            </w:r>
          </w:p>
        </w:tc>
        <w:tc>
          <w:tcPr>
            <w:tcW w:type="dxa" w:w="2268"/>
            <w:shd w:val="clear" w:color="auto" w:fill="EDE7E1"/>
          </w:tcPr>
          <w:p>
            <w:pPr>
              <w:spacing w:after="40" w:before="40" w:line="259" w:lineRule="auto"/>
            </w:pPr>
            <w:r/>
            <w:r>
              <w:rPr>
                <w:b/>
                <w:i w:val="0"/>
                <w:color w:val="1A1A1A"/>
                <w:sz w:val="18"/>
              </w:rPr>
              <w:t>Shipping</w:t>
            </w:r>
          </w:p>
        </w:tc>
        <w:tc>
          <w:tcPr>
            <w:tcW w:type="dxa" w:w="5216"/>
            <w:shd w:val="clear" w:color="auto" w:fill="EDE7E1"/>
          </w:tcPr>
          <w:p>
            <w:pPr>
              <w:spacing w:after="40" w:before="40" w:line="259" w:lineRule="auto"/>
            </w:pPr>
            <w:r/>
            <w:r>
              <w:rPr>
                <w:b/>
                <w:i w:val="0"/>
                <w:color w:val="1A1A1A"/>
                <w:sz w:val="18"/>
              </w:rPr>
              <w:t>Why</w:t>
            </w:r>
          </w:p>
        </w:tc>
      </w:tr>
      <w:tr>
        <w:tc>
          <w:tcPr>
            <w:tcW w:type="dxa" w:w="2154"/>
          </w:tcPr>
          <w:p>
            <w:pPr>
              <w:spacing w:after="40" w:before="40" w:line="259" w:lineRule="auto"/>
            </w:pPr>
            <w:r/>
            <w:r>
              <w:rPr>
                <w:b w:val="0"/>
                <w:i w:val="0"/>
                <w:color w:val="1A1A1A"/>
                <w:sz w:val="18"/>
              </w:rPr>
              <w:t>“It is a coping strategy but trust me, there are alternatives.”</w:t>
            </w:r>
          </w:p>
        </w:tc>
        <w:tc>
          <w:tcPr>
            <w:tcW w:type="dxa" w:w="2268"/>
          </w:tcPr>
          <w:p>
            <w:pPr>
              <w:spacing w:after="40" w:before="40" w:line="259" w:lineRule="auto"/>
            </w:pPr>
            <w:r/>
            <w:r>
              <w:rPr>
                <w:b w:val="0"/>
                <w:i w:val="0"/>
                <w:color w:val="1A1A1A"/>
                <w:sz w:val="18"/>
              </w:rPr>
              <w:t>“It is a coping strategy, but there are alternatives.”</w:t>
            </w:r>
          </w:p>
        </w:tc>
        <w:tc>
          <w:tcPr>
            <w:tcW w:type="dxa" w:w="5216"/>
          </w:tcPr>
          <w:p>
            <w:pPr>
              <w:spacing w:after="40" w:before="40" w:line="259" w:lineRule="auto"/>
            </w:pPr>
            <w:r/>
            <w:r>
              <w:rPr>
                <w:b w:val="0"/>
                <w:i w:val="0"/>
                <w:color w:val="1A1A1A"/>
                <w:sz w:val="18"/>
              </w:rPr>
              <w:t>Instruction 6. A first-person trust claim from software to a person in distress is a claim the product cannot back, and reassurance that has to ask to be believed reads as hollow.</w:t>
            </w:r>
          </w:p>
        </w:tc>
      </w:tr>
      <w:tr>
        <w:tc>
          <w:tcPr>
            <w:tcW w:type="dxa" w:w="2154"/>
          </w:tcPr>
          <w:p>
            <w:pPr>
              <w:spacing w:after="40" w:before="40" w:line="259" w:lineRule="auto"/>
            </w:pPr>
            <w:r/>
            <w:r>
              <w:rPr>
                <w:b w:val="0"/>
                <w:i w:val="0"/>
                <w:color w:val="1A1A1A"/>
                <w:sz w:val="18"/>
              </w:rPr>
              <w:t>“Please let your therapist know”</w:t>
            </w:r>
          </w:p>
        </w:tc>
        <w:tc>
          <w:tcPr>
            <w:tcW w:type="dxa" w:w="2268"/>
          </w:tcPr>
          <w:p>
            <w:pPr>
              <w:spacing w:after="40" w:before="40" w:line="259" w:lineRule="auto"/>
            </w:pPr>
            <w:r/>
            <w:r>
              <w:rPr>
                <w:b w:val="0"/>
                <w:i w:val="0"/>
                <w:color w:val="1A1A1A"/>
                <w:sz w:val="18"/>
              </w:rPr>
              <w:t>Unchanged</w:t>
            </w:r>
          </w:p>
        </w:tc>
        <w:tc>
          <w:tcPr>
            <w:tcW w:type="dxa" w:w="5216"/>
          </w:tcPr>
          <w:p>
            <w:pPr>
              <w:spacing w:after="40" w:before="40" w:line="259" w:lineRule="auto"/>
            </w:pPr>
            <w:r/>
            <w:r>
              <w:rPr>
                <w:b w:val="0"/>
                <w:i w:val="0"/>
                <w:color w:val="1A1A1A"/>
                <w:sz w:val="18"/>
              </w:rPr>
              <w:t>Instruction 5: the app is therapist-guided, so the referral stays. Revision 2 proposed adding “or someone you trust”; that proposal is withdrawn.</w:t>
            </w:r>
          </w:p>
        </w:tc>
      </w:tr>
      <w:tr>
        <w:tc>
          <w:tcPr>
            <w:tcW w:type="dxa" w:w="2154"/>
          </w:tcPr>
          <w:p>
            <w:pPr>
              <w:spacing w:after="40" w:before="40" w:line="259" w:lineRule="auto"/>
            </w:pPr>
            <w:r/>
            <w:r>
              <w:rPr>
                <w:b w:val="0"/>
                <w:i w:val="0"/>
                <w:color w:val="1A1A1A"/>
                <w:sz w:val="18"/>
              </w:rPr>
              <w:t>“call any of the following numbers”</w:t>
            </w:r>
          </w:p>
        </w:tc>
        <w:tc>
          <w:tcPr>
            <w:tcW w:type="dxa" w:w="2268"/>
          </w:tcPr>
          <w:p>
            <w:pPr>
              <w:spacing w:after="40" w:before="40" w:line="259" w:lineRule="auto"/>
            </w:pPr>
            <w:r/>
            <w:r>
              <w:rPr>
                <w:b w:val="0"/>
                <w:i w:val="0"/>
                <w:color w:val="1A1A1A"/>
                <w:sz w:val="18"/>
              </w:rPr>
              <w:t>“…any of these numbers”, then the block</w:t>
            </w:r>
          </w:p>
        </w:tc>
        <w:tc>
          <w:tcPr>
            <w:tcW w:type="dxa" w:w="5216"/>
          </w:tcPr>
          <w:p>
            <w:pPr>
              <w:spacing w:after="40" w:before="40" w:line="259" w:lineRule="auto"/>
            </w:pPr>
            <w:r/>
            <w:r>
              <w:rPr>
                <w:b w:val="0"/>
                <w:i w:val="0"/>
                <w:color w:val="1A1A1A"/>
                <w:sz w:val="18"/>
              </w:rPr>
              <w:t>Her phrase, rendered against the actual block. 112 is inside it, so a person who is cutting now has the ambulance number on the same screen as the counselling lines.</w:t>
            </w:r>
          </w:p>
        </w:tc>
      </w:tr>
    </w:tbl>
    <w:p>
      <w:pPr>
        <w:spacing w:after="40"/>
      </w:pPr>
    </w:p>
    <w:p>
      <w:pPr>
        <w:pStyle w:val="Heading2"/>
        <w:keepNext/>
        <w:spacing w:before="240" w:after="80"/>
      </w:pPr>
      <w:r>
        <w:rPr>
          <w:rFonts w:ascii="Calibri" w:hAnsi="Calibri"/>
          <w:b/>
          <w:color w:val="1A1A1A"/>
          <w:sz w:val="23"/>
        </w:rPr>
        <w:t>6.3 What routing this to S4 actually does — the one consequence to look at</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BF0EF"/>
          </w:tcPr>
          <w:p>
            <w:pPr>
              <w:spacing w:after="60"/>
            </w:pPr>
            <w:r/>
            <w:r>
              <w:rPr>
                <w:b/>
                <w:sz w:val="19"/>
              </w:rPr>
              <w:t>Precedence plus a literal match means every mention of cutting reaches this card</w:t>
            </w:r>
          </w:p>
          <w:p>
            <w:pPr>
              <w:spacing w:after="60" w:line="269" w:lineRule="auto"/>
            </w:pPr>
            <w:r>
              <w:rPr>
                <w:sz w:val="19"/>
              </w:rPr>
              <w:t>Instruction 3 sends a person who “wants to cut or is cutting” to the crisis card, and the approved precedence rule sends any literal match there on every message. The detector matches “cutting” and “cut myself”. Both rules are signed. Together they mean a message that merely mentions cutting also gets this card — “I used to cut myself, and I'm scared of going back to it”, or “my sister has been cutting”. The card is not harmful to that person, but it asks them to call a helpline “if you feel like cutting now”, which may not be their situation, and it replaces a reply they could otherwise have had. Three ways to handle it, none of them free: (a) accept it — a false crisis card on a self-harm mention is the safer error, and this is my recommendation for launch; (b) add a past-tense guard (“used to cut”, “stopped cutting”) — this is the kind of guard she refused for suicide, and it will miss phrasings; (c) split the card so that the last sentence is conditional on present-tense wording. I have built none of them: the signed behaviour is (a). It is recorded here because “if change is required we will change it later” should be a decision taken against the actual behaviour, not a hope.</w:t>
            </w:r>
          </w:p>
        </w:tc>
      </w:tr>
    </w:tbl>
    <w:p>
      <w:pPr>
        <w:spacing w:after="40"/>
      </w:pPr>
    </w:p>
    <w:p>
      <w:pPr>
        <w:pStyle w:val="Heading1"/>
        <w:keepNext/>
        <w:pBdr>
          <w:bottom w:val="single" w:sz="6" w:space="2" w:color="D8CFC6"/>
        </w:pBdr>
        <w:spacing w:before="320" w:after="120"/>
      </w:pPr>
      <w:r>
        <w:rPr>
          <w:rFonts w:ascii="Calibri" w:hAnsi="Calibri"/>
          <w:b/>
          <w:color w:val="8C2F2F"/>
          <w:sz w:val="28"/>
        </w:rPr>
        <w:t>7. The S4 crisis card</w:t>
      </w:r>
    </w:p>
    <w:p>
      <w:pPr>
        <w:pStyle w:val="Heading2"/>
        <w:keepNext/>
        <w:spacing w:before="240" w:after="80"/>
      </w:pPr>
      <w:r>
        <w:rPr>
          <w:rFonts w:ascii="Calibri" w:hAnsi="Calibri"/>
          <w:b/>
          <w:color w:val="1A1A1A"/>
          <w:sz w:val="23"/>
        </w:rPr>
        <w:t>7.1 Her text, verbatim</w:t>
      </w:r>
    </w:p>
    <w:p>
      <w:pPr>
        <w:pBdr>
          <w:left w:val="single" w:sz="12" w:space="8" w:color="B08A7A"/>
        </w:pBdr>
        <w:shd w:val="clear" w:color="auto" w:fill="F7F7F5"/>
        <w:spacing w:before="40" w:after="160" w:line="288" w:lineRule="auto"/>
        <w:ind w:left="283"/>
      </w:pPr>
      <w:r>
        <w:rPr>
          <w:i/>
          <w:color w:val="1A1A1A"/>
          <w:sz w:val="21"/>
        </w:rPr>
        <w:t>I’m really glad you told me. What you are carrying sound too much to hold alone. Please contact one of the these right now (put phone numbers here).</w:t>
        <w:br/>
      </w:r>
      <w:r>
        <w:rPr>
          <w:i/>
          <w:color w:val="1A1A1A"/>
          <w:sz w:val="21"/>
        </w:rPr>
        <w:br/>
      </w:r>
      <w:r>
        <w:rPr>
          <w:i/>
          <w:color w:val="1A1A1A"/>
          <w:sz w:val="21"/>
        </w:rPr>
        <w:t>I would suggest that you let you therapist or someone you trust know.</w:t>
      </w:r>
    </w:p>
    <w:p>
      <w:pPr>
        <w:pStyle w:val="Heading2"/>
        <w:keepNext/>
        <w:spacing w:before="240" w:after="80"/>
      </w:pPr>
      <w:r>
        <w:rPr>
          <w:rFonts w:ascii="Calibri" w:hAnsi="Calibri"/>
          <w:b/>
          <w:color w:val="1A1A1A"/>
          <w:sz w:val="23"/>
        </w:rPr>
        <w:t>7.2 The slips, corrected on her instruction</w:t>
      </w:r>
    </w:p>
    <w:p>
      <w:pPr>
        <w:spacing w:after="120" w:line="276" w:lineRule="auto"/>
      </w:pPr>
      <w:r>
        <w:rPr>
          <w:b w:val="0"/>
          <w:i w:val="0"/>
          <w:color w:val="1A1A1A"/>
          <w:sz w:val="21"/>
        </w:rPr>
        <w:t>Instruction 8 of her second message authorised correcting the typographical slips; those corrections were applied in revision 2 and stand. Instruction 5 of this message keeps the referral exactly as written.</w:t>
      </w:r>
    </w:p>
    <w:tbl>
      <w:tblPr>
        <w:tblStyle w:val="TableGrid"/>
        <w:tblW w:type="auto" w:w="0"/>
        <w:jc w:val="center"/>
        <w:tblLayout w:type="fixed"/>
        <w:tblLook w:firstColumn="1" w:firstRow="1" w:lastColumn="0" w:lastRow="0" w:noHBand="0" w:noVBand="1" w:val="04A0"/>
      </w:tblPr>
      <w:tblGrid>
        <w:gridCol w:w="3402"/>
        <w:gridCol w:w="3402"/>
        <w:gridCol w:w="2835"/>
      </w:tblGrid>
      <w:tr>
        <w:trPr>
          <w:tblHeader/>
        </w:trPr>
        <w:tc>
          <w:tcPr>
            <w:tcW w:type="dxa" w:w="3402"/>
            <w:shd w:val="clear" w:color="auto" w:fill="EDE7E1"/>
          </w:tcPr>
          <w:p>
            <w:pPr>
              <w:spacing w:after="40" w:before="40" w:line="259" w:lineRule="auto"/>
            </w:pPr>
            <w:r/>
            <w:r>
              <w:rPr>
                <w:b/>
                <w:i w:val="0"/>
                <w:color w:val="1A1A1A"/>
                <w:sz w:val="19"/>
              </w:rPr>
              <w:t>As she typed</w:t>
            </w:r>
          </w:p>
        </w:tc>
        <w:tc>
          <w:tcPr>
            <w:tcW w:type="dxa" w:w="3402"/>
            <w:shd w:val="clear" w:color="auto" w:fill="EDE7E1"/>
          </w:tcPr>
          <w:p>
            <w:pPr>
              <w:spacing w:after="40" w:before="40" w:line="259" w:lineRule="auto"/>
            </w:pPr>
            <w:r/>
            <w:r>
              <w:rPr>
                <w:b/>
                <w:i w:val="0"/>
                <w:color w:val="1A1A1A"/>
                <w:sz w:val="19"/>
              </w:rPr>
              <w:t>As it ships</w:t>
            </w:r>
          </w:p>
        </w:tc>
        <w:tc>
          <w:tcPr>
            <w:tcW w:type="dxa" w:w="2835"/>
            <w:shd w:val="clear" w:color="auto" w:fill="EDE7E1"/>
          </w:tcPr>
          <w:p>
            <w:pPr>
              <w:spacing w:after="40" w:before="40" w:line="259" w:lineRule="auto"/>
            </w:pPr>
            <w:r/>
            <w:r>
              <w:rPr>
                <w:b/>
                <w:i w:val="0"/>
                <w:color w:val="1A1A1A"/>
                <w:sz w:val="19"/>
              </w:rPr>
              <w:t>Kind</w:t>
            </w:r>
          </w:p>
        </w:tc>
      </w:tr>
      <w:tr>
        <w:tc>
          <w:tcPr>
            <w:tcW w:type="dxa" w:w="3402"/>
          </w:tcPr>
          <w:p>
            <w:pPr>
              <w:spacing w:after="40" w:before="40" w:line="259" w:lineRule="auto"/>
            </w:pPr>
            <w:r/>
            <w:r>
              <w:rPr>
                <w:b w:val="0"/>
                <w:i w:val="0"/>
                <w:color w:val="1A1A1A"/>
                <w:sz w:val="19"/>
              </w:rPr>
              <w:t>“What you are carrying sound too much”</w:t>
            </w:r>
          </w:p>
        </w:tc>
        <w:tc>
          <w:tcPr>
            <w:tcW w:type="dxa" w:w="3402"/>
          </w:tcPr>
          <w:p>
            <w:pPr>
              <w:spacing w:after="40" w:before="40" w:line="259" w:lineRule="auto"/>
            </w:pPr>
            <w:r/>
            <w:r>
              <w:rPr>
                <w:b w:val="0"/>
                <w:i w:val="0"/>
                <w:color w:val="1A1A1A"/>
                <w:sz w:val="19"/>
              </w:rPr>
              <w:t>“sounds like too much”</w:t>
            </w:r>
          </w:p>
        </w:tc>
        <w:tc>
          <w:tcPr>
            <w:tcW w:type="dxa" w:w="2835"/>
          </w:tcPr>
          <w:p>
            <w:pPr>
              <w:spacing w:after="40" w:before="40" w:line="259" w:lineRule="auto"/>
            </w:pPr>
            <w:r/>
            <w:r>
              <w:rPr>
                <w:b w:val="0"/>
                <w:i w:val="0"/>
                <w:color w:val="1A1A1A"/>
                <w:sz w:val="19"/>
              </w:rPr>
              <w:t>Grammar</w:t>
            </w:r>
          </w:p>
        </w:tc>
      </w:tr>
      <w:tr>
        <w:tc>
          <w:tcPr>
            <w:tcW w:type="dxa" w:w="3402"/>
          </w:tcPr>
          <w:p>
            <w:pPr>
              <w:spacing w:after="40" w:before="40" w:line="259" w:lineRule="auto"/>
            </w:pPr>
            <w:r/>
            <w:r>
              <w:rPr>
                <w:b w:val="0"/>
                <w:i w:val="0"/>
                <w:color w:val="1A1A1A"/>
                <w:sz w:val="19"/>
              </w:rPr>
              <w:t>“one of the these right now”</w:t>
            </w:r>
          </w:p>
        </w:tc>
        <w:tc>
          <w:tcPr>
            <w:tcW w:type="dxa" w:w="3402"/>
          </w:tcPr>
          <w:p>
            <w:pPr>
              <w:spacing w:after="40" w:before="40" w:line="259" w:lineRule="auto"/>
            </w:pPr>
            <w:r/>
            <w:r>
              <w:rPr>
                <w:b w:val="0"/>
                <w:i w:val="0"/>
                <w:color w:val="1A1A1A"/>
                <w:sz w:val="19"/>
              </w:rPr>
              <w:t>“one of these right now”</w:t>
            </w:r>
          </w:p>
        </w:tc>
        <w:tc>
          <w:tcPr>
            <w:tcW w:type="dxa" w:w="2835"/>
          </w:tcPr>
          <w:p>
            <w:pPr>
              <w:spacing w:after="40" w:before="40" w:line="259" w:lineRule="auto"/>
            </w:pPr>
            <w:r/>
            <w:r>
              <w:rPr>
                <w:b w:val="0"/>
                <w:i w:val="0"/>
                <w:color w:val="1A1A1A"/>
                <w:sz w:val="19"/>
              </w:rPr>
              <w:t>Typo</w:t>
            </w:r>
          </w:p>
        </w:tc>
      </w:tr>
      <w:tr>
        <w:tc>
          <w:tcPr>
            <w:tcW w:type="dxa" w:w="3402"/>
          </w:tcPr>
          <w:p>
            <w:pPr>
              <w:spacing w:after="40" w:before="40" w:line="259" w:lineRule="auto"/>
            </w:pPr>
            <w:r/>
            <w:r>
              <w:rPr>
                <w:b w:val="0"/>
                <w:i w:val="0"/>
                <w:color w:val="1A1A1A"/>
                <w:sz w:val="19"/>
              </w:rPr>
              <w:t>“that you let you therapist … know”</w:t>
            </w:r>
          </w:p>
        </w:tc>
        <w:tc>
          <w:tcPr>
            <w:tcW w:type="dxa" w:w="3402"/>
          </w:tcPr>
          <w:p>
            <w:pPr>
              <w:spacing w:after="40" w:before="40" w:line="259" w:lineRule="auto"/>
            </w:pPr>
            <w:r/>
            <w:r>
              <w:rPr>
                <w:b w:val="0"/>
                <w:i w:val="0"/>
                <w:color w:val="1A1A1A"/>
                <w:sz w:val="19"/>
              </w:rPr>
              <w:t>“that you let your therapist … know”</w:t>
            </w:r>
          </w:p>
        </w:tc>
        <w:tc>
          <w:tcPr>
            <w:tcW w:type="dxa" w:w="2835"/>
          </w:tcPr>
          <w:p>
            <w:pPr>
              <w:spacing w:after="40" w:before="40" w:line="259" w:lineRule="auto"/>
            </w:pPr>
            <w:r/>
            <w:r>
              <w:rPr>
                <w:b w:val="0"/>
                <w:i w:val="0"/>
                <w:color w:val="1A1A1A"/>
                <w:sz w:val="19"/>
              </w:rPr>
              <w:t>Typo</w:t>
            </w:r>
          </w:p>
        </w:tc>
      </w:tr>
      <w:tr>
        <w:tc>
          <w:tcPr>
            <w:tcW w:type="dxa" w:w="3402"/>
          </w:tcPr>
          <w:p>
            <w:pPr>
              <w:spacing w:after="40" w:before="40" w:line="259" w:lineRule="auto"/>
            </w:pPr>
            <w:r/>
            <w:r>
              <w:rPr>
                <w:b w:val="0"/>
                <w:i w:val="0"/>
                <w:color w:val="1A1A1A"/>
                <w:sz w:val="19"/>
              </w:rPr>
              <w:t>“(put phone numbers here)”</w:t>
            </w:r>
          </w:p>
        </w:tc>
        <w:tc>
          <w:tcPr>
            <w:tcW w:type="dxa" w:w="3402"/>
          </w:tcPr>
          <w:p>
            <w:pPr>
              <w:spacing w:after="40" w:before="40" w:line="259" w:lineRule="auto"/>
            </w:pPr>
            <w:r/>
            <w:r>
              <w:rPr>
                <w:b w:val="0"/>
                <w:i w:val="0"/>
                <w:color w:val="1A1A1A"/>
                <w:sz w:val="19"/>
              </w:rPr>
              <w:t>the block, in her order</w:t>
            </w:r>
          </w:p>
        </w:tc>
        <w:tc>
          <w:tcPr>
            <w:tcW w:type="dxa" w:w="2835"/>
          </w:tcPr>
          <w:p>
            <w:pPr>
              <w:spacing w:after="40" w:before="40" w:line="259" w:lineRule="auto"/>
            </w:pPr>
            <w:r/>
            <w:r>
              <w:rPr>
                <w:b w:val="0"/>
                <w:i w:val="0"/>
                <w:color w:val="1A1A1A"/>
                <w:sz w:val="19"/>
              </w:rPr>
              <w:t>Placeholder</w:t>
            </w:r>
          </w:p>
        </w:tc>
      </w:tr>
    </w:tbl>
    <w:p>
      <w:pPr>
        <w:spacing w:after="40"/>
      </w:pPr>
    </w:p>
    <w:p>
      <w:pPr>
        <w:pStyle w:val="Heading2"/>
        <w:keepNext/>
        <w:spacing w:before="240" w:after="80"/>
      </w:pPr>
      <w:r>
        <w:rPr>
          <w:rFonts w:ascii="Calibri" w:hAnsi="Calibri"/>
          <w:b/>
          <w:color w:val="1A1A1A"/>
          <w:sz w:val="23"/>
        </w:rPr>
        <w:t>7.3 Shipping text</w:t>
      </w:r>
    </w:p>
    <w:p>
      <w:pPr>
        <w:pBdr>
          <w:left w:val="single" w:sz="12" w:space="8" w:color="B08A7A"/>
        </w:pBdr>
        <w:shd w:val="clear" w:color="auto" w:fill="FFFFFF"/>
        <w:spacing w:before="40" w:after="160" w:line="288" w:lineRule="auto"/>
        <w:ind w:left="283"/>
      </w:pPr>
      <w:r>
        <w:rPr>
          <w:i/>
          <w:color w:val="1A1A1A"/>
          <w:sz w:val="21"/>
        </w:rPr>
        <w:t>I'm really glad you told me. What you are carrying sounds like too much to hold alone. Please contact one of these right now:</w:t>
        <w:br/>
      </w:r>
      <w:r>
        <w:rPr>
          <w:i/>
          <w:color w:val="1A1A1A"/>
          <w:sz w:val="21"/>
        </w:rPr>
        <w:t>Tele-MANAS: 14416 (24×7)</w:t>
        <w:br/>
      </w:r>
      <w:r>
        <w:rPr>
          <w:i/>
          <w:color w:val="1A1A1A"/>
          <w:sz w:val="21"/>
        </w:rPr>
        <w:t>Vandrevala Foundation: +91 9999 666 555 (24×7×365)</w:t>
        <w:br/>
      </w:r>
      <w:r>
        <w:rPr>
          <w:i/>
          <w:color w:val="1A1A1A"/>
          <w:sz w:val="21"/>
        </w:rPr>
        <w:t>Sneha, Chennai: 044-24640050 (10 am–10 pm)</w:t>
        <w:br/>
      </w:r>
      <w:r>
        <w:rPr>
          <w:i/>
          <w:color w:val="1A1A1A"/>
          <w:sz w:val="21"/>
        </w:rPr>
        <w:t>NIMHANS: 080-46110007 (24×7)</w:t>
        <w:br/>
      </w:r>
      <w:r>
        <w:rPr>
          <w:i/>
          <w:color w:val="1A1A1A"/>
          <w:sz w:val="21"/>
        </w:rPr>
        <w:t>iCall (TISS): 9152987821 (Mon–Sat, 10 am–8 pm)</w:t>
        <w:br/>
      </w:r>
      <w:r>
        <w:rPr>
          <w:i/>
          <w:color w:val="1A1A1A"/>
          <w:sz w:val="21"/>
        </w:rPr>
        <w:t>Emergency: 112</w:t>
        <w:br/>
      </w:r>
      <w:r>
        <w:rPr>
          <w:i/>
          <w:color w:val="1A1A1A"/>
          <w:sz w:val="21"/>
        </w:rPr>
        <w:br/>
      </w:r>
      <w:r>
        <w:rPr>
          <w:i/>
          <w:color w:val="1A1A1A"/>
          <w:sz w:val="21"/>
        </w:rPr>
        <w:t>I would suggest that you let your therapist or someone you trust know.</w:t>
      </w:r>
    </w:p>
    <w:p>
      <w:pPr>
        <w:spacing w:after="160" w:line="276" w:lineRule="auto"/>
      </w:pPr>
      <w:r>
        <w:rPr>
          <w:b w:val="0"/>
          <w:i w:val="0"/>
          <w:color w:val="1A1A1A"/>
          <w:sz w:val="21"/>
        </w:rPr>
        <w:t>The referral to the therapist or someone trusted is retained on instruction 5 — the app is therapist-guided, so the second person it names usually exists. This is the first clinical review this card has had since it went live.</w:t>
      </w:r>
    </w:p>
    <w:p>
      <w:pPr>
        <w:pStyle w:val="Heading1"/>
        <w:keepNext/>
        <w:pBdr>
          <w:bottom w:val="single" w:sz="6" w:space="2" w:color="D8CFC6"/>
        </w:pBdr>
        <w:spacing w:before="320" w:after="120"/>
      </w:pPr>
      <w:r>
        <w:rPr>
          <w:rFonts w:ascii="Calibri" w:hAnsi="Calibri"/>
          <w:b/>
          <w:color w:val="8C2F2F"/>
          <w:sz w:val="28"/>
        </w:rPr>
        <w:t>8. Copy rules that follow from these decisions</w:t>
      </w:r>
    </w:p>
    <w:p>
      <w:pPr>
        <w:spacing w:after="120" w:line="276" w:lineRule="auto"/>
      </w:pPr>
      <w:r>
        <w:rPr>
          <w:b w:val="0"/>
          <w:i w:val="0"/>
          <w:color w:val="1A1A1A"/>
          <w:sz w:val="21"/>
        </w:rPr>
        <w:t>Not new decisions — the rules her nine answers imply, written down so later copy is consistent with them without another round trip.</w:t>
      </w:r>
    </w:p>
    <w:p>
      <w:pPr>
        <w:spacing w:after="80" w:line="276" w:lineRule="auto"/>
        <w:ind w:left="312" w:hanging="198"/>
      </w:pPr>
      <w:r>
        <w:rPr>
          <w:color w:val="555555"/>
          <w:sz w:val="21"/>
        </w:rPr>
        <w:t xml:space="preserve">— </w:t>
      </w:r>
      <w:r>
        <w:rPr>
          <w:b/>
          <w:sz w:val="21"/>
        </w:rPr>
        <w:t xml:space="preserve">A 24×7 service leads; a service with limited hours prints them and goes last. </w:t>
      </w:r>
      <w:r>
        <w:rPr>
          <w:sz w:val="21"/>
        </w:rPr>
        <w:t>The rule she made by moving iCall, applied twice: iCall last with its hours, Sneha third with 10 am–10 pm. Printing the hours is part of the rule, not a courtesy.</w:t>
      </w:r>
    </w:p>
    <w:p>
      <w:pPr>
        <w:spacing w:after="80" w:line="276" w:lineRule="auto"/>
        <w:ind w:left="312" w:hanging="198"/>
      </w:pPr>
      <w:r>
        <w:rPr>
          <w:color w:val="555555"/>
          <w:sz w:val="21"/>
        </w:rPr>
        <w:t xml:space="preserve">— </w:t>
      </w:r>
      <w:r>
        <w:rPr>
          <w:b/>
          <w:sz w:val="21"/>
        </w:rPr>
        <w:t xml:space="preserve">Never name an operator that is not the operator. </w:t>
      </w:r>
      <w:r>
        <w:rPr>
          <w:sz w:val="21"/>
        </w:rPr>
        <w:t>iCall is TISS, not IIT Bombay — the error that started this review. Sneha is a Trust in Chennai, not “Snehi”. Tele-MANAS is hyphenated and capitalised.</w:t>
      </w:r>
    </w:p>
    <w:p>
      <w:pPr>
        <w:spacing w:after="80" w:line="276" w:lineRule="auto"/>
        <w:ind w:left="312" w:hanging="198"/>
      </w:pPr>
      <w:r>
        <w:rPr>
          <w:color w:val="555555"/>
          <w:sz w:val="21"/>
        </w:rPr>
        <w:t xml:space="preserve">— </w:t>
      </w:r>
      <w:r>
        <w:rPr>
          <w:b/>
          <w:sz w:val="21"/>
        </w:rPr>
        <w:t xml:space="preserve">A number carries only the availability claim its operator publishes. </w:t>
      </w:r>
      <w:r>
        <w:rPr>
          <w:sz w:val="21"/>
        </w:rPr>
        <w:t>24×7×365 belongs to +91 9999 666 555 because Vandrevala says so; it cannot be attached to NIMHANS-style assumptions or to a number found in a directory.</w:t>
      </w:r>
    </w:p>
    <w:p>
      <w:pPr>
        <w:spacing w:after="80" w:line="276" w:lineRule="auto"/>
        <w:ind w:left="312" w:hanging="198"/>
      </w:pPr>
      <w:r>
        <w:rPr>
          <w:color w:val="555555"/>
          <w:sz w:val="21"/>
        </w:rPr>
        <w:t xml:space="preserve">— </w:t>
      </w:r>
      <w:r>
        <w:rPr>
          <w:b/>
          <w:sz w:val="21"/>
        </w:rPr>
        <w:t xml:space="preserve">One number per service unless the operator publishes two. </w:t>
      </w:r>
      <w:r>
        <w:rPr>
          <w:sz w:val="21"/>
        </w:rPr>
        <w:t>1860-2662-345 was retired because Vandrevala does not publish it.</w:t>
      </w:r>
    </w:p>
    <w:p>
      <w:pPr>
        <w:spacing w:after="80" w:line="276" w:lineRule="auto"/>
        <w:ind w:left="312" w:hanging="198"/>
      </w:pPr>
      <w:r>
        <w:rPr>
          <w:color w:val="555555"/>
          <w:sz w:val="21"/>
        </w:rPr>
        <w:t xml:space="preserve">— </w:t>
      </w:r>
      <w:r>
        <w:rPr>
          <w:b/>
          <w:sz w:val="21"/>
        </w:rPr>
        <w:t xml:space="preserve">No first-person trust claims. </w:t>
      </w:r>
      <w:r>
        <w:rPr>
          <w:sz w:val="21"/>
        </w:rPr>
        <w:t>“trust me” is gone. Software does not ask to be believed.</w:t>
      </w:r>
    </w:p>
    <w:p>
      <w:pPr>
        <w:spacing w:after="80" w:line="276" w:lineRule="auto"/>
        <w:ind w:left="312" w:hanging="198"/>
      </w:pPr>
      <w:r>
        <w:rPr>
          <w:color w:val="555555"/>
          <w:sz w:val="21"/>
        </w:rPr>
        <w:t xml:space="preserve">— </w:t>
      </w:r>
      <w:r>
        <w:rPr>
          <w:b/>
          <w:sz w:val="21"/>
        </w:rPr>
        <w:t xml:space="preserve">The therapist referral stays, because the product is therapist-guided. </w:t>
      </w:r>
      <w:r>
        <w:rPr>
          <w:sz w:val="21"/>
        </w:rPr>
        <w:t>But see §10 note 3: the users who have no assigned therapist are the ones the line reaches wrongly.</w:t>
      </w:r>
    </w:p>
    <w:p>
      <w:pPr>
        <w:spacing w:after="80" w:line="276" w:lineRule="auto"/>
        <w:ind w:left="312" w:hanging="198"/>
      </w:pPr>
      <w:r>
        <w:rPr>
          <w:color w:val="555555"/>
          <w:sz w:val="21"/>
        </w:rPr>
        <w:t xml:space="preserve">— </w:t>
      </w:r>
      <w:r>
        <w:rPr>
          <w:b/>
          <w:sz w:val="21"/>
        </w:rPr>
        <w:t xml:space="preserve">Crisis copy for self-harm reaches the crisis tier. </w:t>
      </w:r>
      <w:r>
        <w:rPr>
          <w:sz w:val="21"/>
        </w:rPr>
        <w:t>A softer reply is not the safer default for a named method of self-harm.</w:t>
      </w:r>
    </w:p>
    <w:p>
      <w:pPr>
        <w:spacing w:after="160" w:line="276" w:lineRule="auto"/>
        <w:ind w:left="312" w:hanging="198"/>
      </w:pPr>
      <w:r>
        <w:rPr>
          <w:color w:val="555555"/>
          <w:sz w:val="21"/>
        </w:rPr>
        <w:t xml:space="preserve">— </w:t>
      </w:r>
      <w:r>
        <w:rPr>
          <w:b/>
          <w:sz w:val="21"/>
        </w:rPr>
        <w:t xml:space="preserve">Hindi is routed, not translated, at launch. </w:t>
      </w:r>
      <w:r>
        <w:rPr>
          <w:sz w:val="21"/>
        </w:rPr>
        <w:t>Accepted by her on 31 October; revisit if a Hindi interface ships.</w:t>
      </w:r>
    </w:p>
    <w:p>
      <w:pPr>
        <w:pStyle w:val="Heading1"/>
        <w:keepNext/>
        <w:pBdr>
          <w:bottom w:val="single" w:sz="6" w:space="2" w:color="D8CFC6"/>
        </w:pBdr>
        <w:spacing w:before="320" w:after="120"/>
      </w:pPr>
      <w:r>
        <w:rPr>
          <w:rFonts w:ascii="Calibri" w:hAnsi="Calibri"/>
          <w:b/>
          <w:color w:val="8C2F2F"/>
          <w:sz w:val="28"/>
        </w:rPr>
        <w:t>9. Engineering: exactly what this revision moves</w:t>
      </w:r>
    </w:p>
    <w:p>
      <w:pPr>
        <w:spacing w:after="160" w:line="276" w:lineRule="auto"/>
      </w:pPr>
      <w:r>
        <w:rPr>
          <w:b w:val="0"/>
          <w:i w:val="0"/>
          <w:color w:val="1A1A1A"/>
          <w:sz w:val="21"/>
        </w:rPr>
        <w:t>The signed texts of 31 October are built on branch feat/e17-s7-approved-copy (b7aca89, evidence file evidence/E17-S7.md), at HEAD 144d738. That branch is not merged and not deployed, so the live service still serves pre-signature copy. This revision changes what the branch must say. Nothing below is done yet.</w:t>
      </w:r>
    </w:p>
    <w:tbl>
      <w:tblPr>
        <w:tblStyle w:val="TableGrid"/>
        <w:tblW w:type="auto" w:w="0"/>
        <w:jc w:val="center"/>
        <w:tblLayout w:type="fixed"/>
        <w:tblLook w:firstColumn="1" w:firstRow="1" w:lastColumn="0" w:lastRow="0" w:noHBand="0" w:noVBand="1" w:val="04A0"/>
      </w:tblPr>
      <w:tblGrid>
        <w:gridCol w:w="454"/>
        <w:gridCol w:w="2494"/>
        <w:gridCol w:w="3061"/>
        <w:gridCol w:w="3628"/>
      </w:tblGrid>
      <w:tr>
        <w:trPr>
          <w:tblHeader/>
        </w:trPr>
        <w:tc>
          <w:tcPr>
            <w:tcW w:type="dxa" w:w="454"/>
            <w:shd w:val="clear" w:color="auto" w:fill="EDE7E1"/>
          </w:tcPr>
          <w:p>
            <w:pPr>
              <w:spacing w:after="40" w:before="40" w:line="259" w:lineRule="auto"/>
            </w:pPr>
            <w:r/>
            <w:r>
              <w:rPr>
                <w:b/>
                <w:i w:val="0"/>
                <w:color w:val="1A1A1A"/>
                <w:sz w:val="17"/>
              </w:rPr>
              <w:t>#</w:t>
            </w:r>
          </w:p>
        </w:tc>
        <w:tc>
          <w:tcPr>
            <w:tcW w:type="dxa" w:w="2494"/>
            <w:shd w:val="clear" w:color="auto" w:fill="EDE7E1"/>
          </w:tcPr>
          <w:p>
            <w:pPr>
              <w:spacing w:after="40" w:before="40" w:line="259" w:lineRule="auto"/>
            </w:pPr>
            <w:r/>
            <w:r>
              <w:rPr>
                <w:b/>
                <w:i w:val="0"/>
                <w:color w:val="1A1A1A"/>
                <w:sz w:val="17"/>
              </w:rPr>
              <w:t>Change</w:t>
            </w:r>
          </w:p>
        </w:tc>
        <w:tc>
          <w:tcPr>
            <w:tcW w:type="dxa" w:w="3061"/>
            <w:shd w:val="clear" w:color="auto" w:fill="EDE7E1"/>
          </w:tcPr>
          <w:p>
            <w:pPr>
              <w:spacing w:after="40" w:before="40" w:line="259" w:lineRule="auto"/>
            </w:pPr>
            <w:r/>
            <w:r>
              <w:rPr>
                <w:b/>
                <w:i w:val="0"/>
                <w:color w:val="1A1A1A"/>
                <w:sz w:val="17"/>
              </w:rPr>
              <w:t>Where</w:t>
            </w:r>
          </w:p>
        </w:tc>
        <w:tc>
          <w:tcPr>
            <w:tcW w:type="dxa" w:w="3628"/>
            <w:shd w:val="clear" w:color="auto" w:fill="EDE7E1"/>
          </w:tcPr>
          <w:p>
            <w:pPr>
              <w:spacing w:after="40" w:before="40" w:line="259" w:lineRule="auto"/>
            </w:pPr>
            <w:r/>
            <w:r>
              <w:rPr>
                <w:b/>
                <w:i w:val="0"/>
                <w:color w:val="1A1A1A"/>
                <w:sz w:val="17"/>
              </w:rPr>
              <w:t>Why it is not a one-line edit</w:t>
            </w:r>
          </w:p>
        </w:tc>
      </w:tr>
      <w:tr>
        <w:tc>
          <w:tcPr>
            <w:tcW w:type="dxa" w:w="454"/>
          </w:tcPr>
          <w:p>
            <w:pPr>
              <w:spacing w:after="40" w:before="40" w:line="259" w:lineRule="auto"/>
            </w:pPr>
            <w:r/>
            <w:r>
              <w:rPr>
                <w:b w:val="0"/>
                <w:i w:val="0"/>
                <w:color w:val="1A1A1A"/>
                <w:sz w:val="17"/>
              </w:rPr>
              <w:t>1</w:t>
            </w:r>
          </w:p>
        </w:tc>
        <w:tc>
          <w:tcPr>
            <w:tcW w:type="dxa" w:w="2494"/>
          </w:tcPr>
          <w:p>
            <w:pPr>
              <w:spacing w:after="40" w:before="40" w:line="259" w:lineRule="auto"/>
            </w:pPr>
            <w:r/>
            <w:r>
              <w:rPr>
                <w:b w:val="0"/>
                <w:i w:val="0"/>
                <w:color w:val="1A1A1A"/>
                <w:sz w:val="17"/>
              </w:rPr>
              <w:t>Insert NIMHANS fourth; set iCall hours to 10 am–8 pm; label Vandrevala 24×7×365</w:t>
            </w:r>
          </w:p>
        </w:tc>
        <w:tc>
          <w:tcPr>
            <w:tcW w:type="dxa" w:w="3061"/>
          </w:tcPr>
          <w:p>
            <w:pPr>
              <w:spacing w:after="40" w:before="40" w:line="259" w:lineRule="auto"/>
            </w:pPr>
            <w:r/>
            <w:r>
              <w:rPr>
                <w:b w:val="0"/>
                <w:i w:val="0"/>
                <w:color w:val="1A1A1A"/>
                <w:sz w:val="17"/>
              </w:rPr>
              <w:t>apps/api/src/pipeline/fallbacks.ts — HELPLINE_INLINE (l.47) and the S4 block (l.278–282)</w:t>
            </w:r>
          </w:p>
        </w:tc>
        <w:tc>
          <w:tcPr>
            <w:tcW w:type="dxa" w:w="3628"/>
          </w:tcPr>
          <w:p>
            <w:pPr>
              <w:spacing w:after="40" w:before="40" w:line="259" w:lineRule="auto"/>
            </w:pPr>
            <w:r/>
            <w:r>
              <w:rPr>
                <w:b w:val="0"/>
                <w:i w:val="0"/>
                <w:color w:val="1A1A1A"/>
                <w:sz w:val="17"/>
              </w:rPr>
              <w:t>One shared constant, so the edit lands on every card at once — including the unsigned medical and degraded-turn strings.</w:t>
            </w:r>
          </w:p>
        </w:tc>
      </w:tr>
      <w:tr>
        <w:tc>
          <w:tcPr>
            <w:tcW w:type="dxa" w:w="454"/>
          </w:tcPr>
          <w:p>
            <w:pPr>
              <w:spacing w:after="40" w:before="40" w:line="259" w:lineRule="auto"/>
            </w:pPr>
            <w:r/>
            <w:r>
              <w:rPr>
                <w:b w:val="0"/>
                <w:i w:val="0"/>
                <w:color w:val="1A1A1A"/>
                <w:sz w:val="17"/>
              </w:rPr>
              <w:t>2</w:t>
            </w:r>
          </w:p>
        </w:tc>
        <w:tc>
          <w:tcPr>
            <w:tcW w:type="dxa" w:w="2494"/>
          </w:tcPr>
          <w:p>
            <w:pPr>
              <w:spacing w:after="40" w:before="40" w:line="259" w:lineRule="auto"/>
            </w:pPr>
            <w:r/>
            <w:r>
              <w:rPr>
                <w:b w:val="0"/>
                <w:i w:val="0"/>
                <w:color w:val="1A1A1A"/>
                <w:sz w:val="17"/>
              </w:rPr>
              <w:t>Rebuild the third-party card from her text; delete the ask-about-intent sentence</w:t>
            </w:r>
          </w:p>
        </w:tc>
        <w:tc>
          <w:tcPr>
            <w:tcW w:type="dxa" w:w="3061"/>
          </w:tcPr>
          <w:p>
            <w:pPr>
              <w:spacing w:after="40" w:before="40" w:line="259" w:lineRule="auto"/>
            </w:pPr>
            <w:r/>
            <w:r>
              <w:rPr>
                <w:b w:val="0"/>
                <w:i w:val="0"/>
                <w:color w:val="1A1A1A"/>
                <w:sz w:val="17"/>
              </w:rPr>
              <w:t>apps/api/src/pipeline/fallbacks.ts — CRISIS_THIRD_PARTY_RESPONSE (l.276–283)</w:t>
            </w:r>
          </w:p>
        </w:tc>
        <w:tc>
          <w:tcPr>
            <w:tcW w:type="dxa" w:w="3628"/>
          </w:tcPr>
          <w:p>
            <w:pPr>
              <w:spacing w:after="40" w:before="40" w:line="259" w:lineRule="auto"/>
            </w:pPr>
            <w:r/>
            <w:r>
              <w:rPr>
                <w:b w:val="0"/>
                <w:i w:val="0"/>
                <w:color w:val="1A1A1A"/>
                <w:sz w:val="17"/>
              </w:rPr>
              <w:t>The existing string is longer than her copy in four other places too; it is a rewrite, not a deletion.</w:t>
            </w:r>
          </w:p>
        </w:tc>
      </w:tr>
      <w:tr>
        <w:tc>
          <w:tcPr>
            <w:tcW w:type="dxa" w:w="454"/>
          </w:tcPr>
          <w:p>
            <w:pPr>
              <w:spacing w:after="40" w:before="40" w:line="259" w:lineRule="auto"/>
            </w:pPr>
            <w:r/>
            <w:r>
              <w:rPr>
                <w:b w:val="0"/>
                <w:i w:val="0"/>
                <w:color w:val="1A1A1A"/>
                <w:sz w:val="17"/>
              </w:rPr>
              <w:t>3</w:t>
            </w:r>
          </w:p>
        </w:tc>
        <w:tc>
          <w:tcPr>
            <w:tcW w:type="dxa" w:w="2494"/>
          </w:tcPr>
          <w:p>
            <w:pPr>
              <w:spacing w:after="40" w:before="40" w:line="259" w:lineRule="auto"/>
            </w:pPr>
            <w:r/>
            <w:r>
              <w:rPr>
                <w:b w:val="0"/>
                <w:i w:val="0"/>
                <w:color w:val="1A1A1A"/>
                <w:sz w:val="17"/>
              </w:rPr>
              <w:t>New S4 self-injury string, served when the named method is cutting</w:t>
            </w:r>
          </w:p>
        </w:tc>
        <w:tc>
          <w:tcPr>
            <w:tcW w:type="dxa" w:w="3061"/>
          </w:tcPr>
          <w:p>
            <w:pPr>
              <w:spacing w:after="40" w:before="40" w:line="259" w:lineRule="auto"/>
            </w:pPr>
            <w:r/>
            <w:r>
              <w:rPr>
                <w:b w:val="0"/>
                <w:i w:val="0"/>
                <w:color w:val="1A1A1A"/>
                <w:sz w:val="17"/>
              </w:rPr>
              <w:t>apps/api/src/pipeline/fallbacks.ts + the router that picks S3 vs S4</w:t>
            </w:r>
          </w:p>
        </w:tc>
        <w:tc>
          <w:tcPr>
            <w:tcW w:type="dxa" w:w="3628"/>
          </w:tcPr>
          <w:p>
            <w:pPr>
              <w:spacing w:after="40" w:before="40" w:line="259" w:lineRule="auto"/>
            </w:pPr>
            <w:r/>
            <w:r>
              <w:rPr>
                <w:b w:val="0"/>
                <w:i w:val="0"/>
                <w:color w:val="1A1A1A"/>
                <w:sz w:val="17"/>
              </w:rPr>
              <w:t>A new constant plus a routing branch; the detector already matches the phrases.</w:t>
            </w:r>
          </w:p>
        </w:tc>
      </w:tr>
      <w:tr>
        <w:tc>
          <w:tcPr>
            <w:tcW w:type="dxa" w:w="454"/>
          </w:tcPr>
          <w:p>
            <w:pPr>
              <w:spacing w:after="40" w:before="40" w:line="259" w:lineRule="auto"/>
            </w:pPr>
            <w:r/>
            <w:r>
              <w:rPr>
                <w:b w:val="0"/>
                <w:i w:val="0"/>
                <w:color w:val="1A1A1A"/>
                <w:sz w:val="17"/>
              </w:rPr>
              <w:t>4</w:t>
            </w:r>
          </w:p>
        </w:tc>
        <w:tc>
          <w:tcPr>
            <w:tcW w:type="dxa" w:w="2494"/>
          </w:tcPr>
          <w:p>
            <w:pPr>
              <w:spacing w:after="40" w:before="40" w:line="259" w:lineRule="auto"/>
            </w:pPr>
            <w:r/>
            <w:r>
              <w:rPr>
                <w:b w:val="0"/>
                <w:i w:val="0"/>
                <w:color w:val="1A1A1A"/>
                <w:sz w:val="17"/>
              </w:rPr>
              <w:t>NIMHANS resource card, and iCall hours 8 am–9 pm → 10 am–8 pm</w:t>
            </w:r>
          </w:p>
        </w:tc>
        <w:tc>
          <w:tcPr>
            <w:tcW w:type="dxa" w:w="3061"/>
          </w:tcPr>
          <w:p>
            <w:pPr>
              <w:spacing w:after="40" w:before="40" w:line="259" w:lineRule="auto"/>
            </w:pPr>
            <w:r/>
            <w:r>
              <w:rPr>
                <w:b w:val="0"/>
                <w:i w:val="0"/>
                <w:color w:val="1A1A1A"/>
                <w:sz w:val="17"/>
              </w:rPr>
              <w:t>apps/mobile/lib/src/features/crisis/crisis_overlay.dart (l.51–81) and age_blocked_screen.dart (l.86)</w:t>
            </w:r>
          </w:p>
        </w:tc>
        <w:tc>
          <w:tcPr>
            <w:tcW w:type="dxa" w:w="3628"/>
          </w:tcPr>
          <w:p>
            <w:pPr>
              <w:spacing w:after="40" w:before="40" w:line="259" w:lineRule="auto"/>
            </w:pPr>
            <w:r/>
            <w:r>
              <w:rPr>
                <w:b w:val="0"/>
                <w:i w:val="0"/>
                <w:color w:val="1A1A1A"/>
                <w:sz w:val="17"/>
              </w:rPr>
              <w:t>Two hand-maintained copies of the list that must stay identical to the API strings.</w:t>
            </w:r>
          </w:p>
        </w:tc>
      </w:tr>
      <w:tr>
        <w:tc>
          <w:tcPr>
            <w:tcW w:type="dxa" w:w="454"/>
          </w:tcPr>
          <w:p>
            <w:pPr>
              <w:spacing w:after="40" w:before="40" w:line="259" w:lineRule="auto"/>
            </w:pPr>
            <w:r/>
            <w:r>
              <w:rPr>
                <w:b w:val="0"/>
                <w:i w:val="0"/>
                <w:color w:val="1A1A1A"/>
                <w:sz w:val="17"/>
              </w:rPr>
              <w:t>5</w:t>
            </w:r>
          </w:p>
        </w:tc>
        <w:tc>
          <w:tcPr>
            <w:tcW w:type="dxa" w:w="2494"/>
          </w:tcPr>
          <w:p>
            <w:pPr>
              <w:spacing w:after="40" w:before="40" w:line="259" w:lineRule="auto"/>
            </w:pPr>
            <w:r/>
            <w:r>
              <w:rPr>
                <w:b w:val="0"/>
                <w:i w:val="0"/>
                <w:color w:val="1A1A1A"/>
                <w:sz w:val="17"/>
              </w:rPr>
              <w:t>Retire 1860-2662-345 from the RETIRED list's meaning; drop 080-46110007 from it</w:t>
            </w:r>
          </w:p>
        </w:tc>
        <w:tc>
          <w:tcPr>
            <w:tcW w:type="dxa" w:w="3061"/>
          </w:tcPr>
          <w:p>
            <w:pPr>
              <w:spacing w:after="40" w:before="40" w:line="259" w:lineRule="auto"/>
            </w:pPr>
            <w:r/>
            <w:r>
              <w:rPr>
                <w:b w:val="0"/>
                <w:i w:val="0"/>
                <w:color w:val="1A1A1A"/>
                <w:sz w:val="17"/>
              </w:rPr>
              <w:t>apps/api/src/__tests__/approved-copy.test.ts (l.54, l.97, l.115)</w:t>
            </w:r>
          </w:p>
        </w:tc>
        <w:tc>
          <w:tcPr>
            <w:tcW w:type="dxa" w:w="3628"/>
          </w:tcPr>
          <w:p>
            <w:pPr>
              <w:spacing w:after="40" w:before="40" w:line="259" w:lineRule="auto"/>
            </w:pPr>
            <w:r/>
            <w:r>
              <w:rPr>
                <w:b w:val="0"/>
                <w:i w:val="0"/>
                <w:color w:val="1A1A1A"/>
                <w:sz w:val="17"/>
              </w:rPr>
              <w:t>These tests currently assert NIMHANS is absent — they will fail, correctly, and must be inverted for one number and kept for the other.</w:t>
            </w:r>
          </w:p>
        </w:tc>
      </w:tr>
      <w:tr>
        <w:tc>
          <w:tcPr>
            <w:tcW w:type="dxa" w:w="454"/>
          </w:tcPr>
          <w:p>
            <w:pPr>
              <w:spacing w:after="40" w:before="40" w:line="259" w:lineRule="auto"/>
            </w:pPr>
            <w:r/>
            <w:r>
              <w:rPr>
                <w:b w:val="0"/>
                <w:i w:val="0"/>
                <w:color w:val="1A1A1A"/>
                <w:sz w:val="17"/>
              </w:rPr>
              <w:t>6</w:t>
            </w:r>
          </w:p>
        </w:tc>
        <w:tc>
          <w:tcPr>
            <w:tcW w:type="dxa" w:w="2494"/>
          </w:tcPr>
          <w:p>
            <w:pPr>
              <w:spacing w:after="40" w:before="40" w:line="259" w:lineRule="auto"/>
            </w:pPr>
            <w:r/>
            <w:r>
              <w:rPr>
                <w:b w:val="0"/>
                <w:i w:val="0"/>
                <w:color w:val="1A1A1A"/>
                <w:sz w:val="17"/>
              </w:rPr>
              <w:t>Order assertions: NIMHANS at index 3, iCall last</w:t>
            </w:r>
          </w:p>
        </w:tc>
        <w:tc>
          <w:tcPr>
            <w:tcW w:type="dxa" w:w="3061"/>
          </w:tcPr>
          <w:p>
            <w:pPr>
              <w:spacing w:after="40" w:before="40" w:line="259" w:lineRule="auto"/>
            </w:pPr>
            <w:r/>
            <w:r>
              <w:rPr>
                <w:b w:val="0"/>
                <w:i w:val="0"/>
                <w:color w:val="1A1A1A"/>
                <w:sz w:val="17"/>
              </w:rPr>
              <w:t>apps/api/src/__tests__/crisis-routing.test.ts (l.244–261), orchestrator.test.ts (l.760+)</w:t>
            </w:r>
          </w:p>
        </w:tc>
        <w:tc>
          <w:tcPr>
            <w:tcW w:type="dxa" w:w="3628"/>
          </w:tcPr>
          <w:p>
            <w:pPr>
              <w:spacing w:after="40" w:before="40" w:line="259" w:lineRule="auto"/>
            </w:pPr>
            <w:r/>
            <w:r>
              <w:rPr>
                <w:b w:val="0"/>
                <w:i w:val="0"/>
                <w:color w:val="1A1A1A"/>
                <w:sz w:val="17"/>
              </w:rPr>
              <w:t>Seven tests assert the five-number order or the absence of NIMHANS.</w:t>
            </w:r>
          </w:p>
        </w:tc>
      </w:tr>
      <w:tr>
        <w:tc>
          <w:tcPr>
            <w:tcW w:type="dxa" w:w="454"/>
          </w:tcPr>
          <w:p>
            <w:pPr>
              <w:spacing w:after="40" w:before="40" w:line="259" w:lineRule="auto"/>
            </w:pPr>
            <w:r/>
            <w:r>
              <w:rPr>
                <w:b w:val="0"/>
                <w:i w:val="0"/>
                <w:color w:val="1A1A1A"/>
                <w:sz w:val="17"/>
              </w:rPr>
              <w:t>7</w:t>
            </w:r>
          </w:p>
        </w:tc>
        <w:tc>
          <w:tcPr>
            <w:tcW w:type="dxa" w:w="2494"/>
          </w:tcPr>
          <w:p>
            <w:pPr>
              <w:spacing w:after="40" w:before="40" w:line="259" w:lineRule="auto"/>
            </w:pPr>
            <w:r/>
            <w:r>
              <w:rPr>
                <w:b w:val="0"/>
                <w:i w:val="0"/>
                <w:color w:val="1A1A1A"/>
                <w:sz w:val="17"/>
              </w:rPr>
              <w:t>Rubric phrases accept 080-46110007 again</w:t>
            </w:r>
          </w:p>
        </w:tc>
        <w:tc>
          <w:tcPr>
            <w:tcW w:type="dxa" w:w="3061"/>
          </w:tcPr>
          <w:p>
            <w:pPr>
              <w:spacing w:after="40" w:before="40" w:line="259" w:lineRule="auto"/>
            </w:pPr>
            <w:r/>
            <w:r>
              <w:rPr>
                <w:b w:val="0"/>
                <w:i w:val="0"/>
                <w:color w:val="1A1A1A"/>
                <w:sz w:val="17"/>
              </w:rPr>
              <w:t>apps/api/eval/v2/gold-set.v2.json (revision note + name guard)</w:t>
            </w:r>
          </w:p>
        </w:tc>
        <w:tc>
          <w:tcPr>
            <w:tcW w:type="dxa" w:w="3628"/>
          </w:tcPr>
          <w:p>
            <w:pPr>
              <w:spacing w:after="40" w:before="40" w:line="259" w:lineRule="auto"/>
            </w:pPr>
            <w:r/>
            <w:r>
              <w:rPr>
                <w:b w:val="0"/>
                <w:i w:val="0"/>
                <w:color w:val="1A1A1A"/>
                <w:sz w:val="17"/>
              </w:rPr>
              <w:t>The 31 Oct revision replaced nimhans → tele-manas in the rubric; that substitution is now wrong and needs reversing with a dated note.</w:t>
            </w:r>
          </w:p>
        </w:tc>
      </w:tr>
      <w:tr>
        <w:tc>
          <w:tcPr>
            <w:tcW w:type="dxa" w:w="454"/>
          </w:tcPr>
          <w:p>
            <w:pPr>
              <w:spacing w:after="40" w:before="40" w:line="259" w:lineRule="auto"/>
            </w:pPr>
            <w:r/>
            <w:r>
              <w:rPr>
                <w:b w:val="0"/>
                <w:i w:val="0"/>
                <w:color w:val="1A1A1A"/>
                <w:sz w:val="17"/>
              </w:rPr>
              <w:t>8</w:t>
            </w:r>
          </w:p>
        </w:tc>
        <w:tc>
          <w:tcPr>
            <w:tcW w:type="dxa" w:w="2494"/>
          </w:tcPr>
          <w:p>
            <w:pPr>
              <w:spacing w:after="40" w:before="40" w:line="259" w:lineRule="auto"/>
            </w:pPr>
            <w:r/>
            <w:r>
              <w:rPr>
                <w:b w:val="0"/>
                <w:i w:val="0"/>
                <w:color w:val="1A1A1A"/>
                <w:sz w:val="17"/>
              </w:rPr>
              <w:t>Mobile fixtures carry the new block</w:t>
            </w:r>
          </w:p>
        </w:tc>
        <w:tc>
          <w:tcPr>
            <w:tcW w:type="dxa" w:w="3061"/>
          </w:tcPr>
          <w:p>
            <w:pPr>
              <w:spacing w:after="40" w:before="40" w:line="259" w:lineRule="auto"/>
            </w:pPr>
            <w:r/>
            <w:r>
              <w:rPr>
                <w:b w:val="0"/>
                <w:i w:val="0"/>
                <w:color w:val="1A1A1A"/>
                <w:sz w:val="17"/>
              </w:rPr>
              <w:t>apps/mobile/test/support/safety_copy.dart, crisis_overlay_test.dart</w:t>
            </w:r>
          </w:p>
        </w:tc>
        <w:tc>
          <w:tcPr>
            <w:tcW w:type="dxa" w:w="3628"/>
          </w:tcPr>
          <w:p>
            <w:pPr>
              <w:spacing w:after="40" w:before="40" w:line="259" w:lineRule="auto"/>
            </w:pPr>
            <w:r/>
            <w:r>
              <w:rPr>
                <w:b w:val="0"/>
                <w:i w:val="0"/>
                <w:color w:val="1A1A1A"/>
                <w:sz w:val="17"/>
              </w:rPr>
              <w:t>Five copied strings plus the 'IIT Bombay' negative assertion, which stays.</w:t>
            </w:r>
          </w:p>
        </w:tc>
      </w:tr>
    </w:tbl>
    <w:p>
      <w:pPr>
        <w:spacing w:after="40"/>
      </w:pPr>
    </w:p>
    <w:tbl>
      <w:tblPr>
        <w:tblStyle w:val="TableGrid"/>
        <w:tblW w:type="auto" w:w="0"/>
        <w:tblLayout w:type="fixed"/>
        <w:tblLook w:firstColumn="1" w:firstRow="1" w:lastColumn="0" w:lastRow="0" w:noHBand="0" w:noVBand="1" w:val="04A0"/>
      </w:tblPr>
      <w:tblGrid>
        <w:gridCol w:w="9638"/>
      </w:tblGrid>
      <w:tr>
        <w:tc>
          <w:tcPr>
            <w:tcW w:type="dxa" w:w="9638"/>
            <w:shd w:val="clear" w:color="auto" w:fill="FBF0EF"/>
          </w:tcPr>
          <w:p>
            <w:pPr>
              <w:spacing w:after="60"/>
            </w:pPr>
            <w:r/>
            <w:r>
              <w:rPr>
                <w:b/>
                <w:sz w:val="19"/>
              </w:rPr>
              <w:t>Status, plainly</w:t>
            </w:r>
          </w:p>
          <w:p>
            <w:pPr>
              <w:spacing w:after="60" w:line="269" w:lineRule="auto"/>
            </w:pPr>
            <w:r>
              <w:rPr>
                <w:sz w:val="19"/>
              </w:rPr>
              <w:t>Copy: signed. Build: not done. Nothing in this revision is in the product, the branch is unmerged, and the live service still serves the old copy. Do not describe any of these cards as clinically reviewed on a public surface — that is D-G, and she has placed it last.</w:t>
            </w:r>
          </w:p>
        </w:tc>
      </w:tr>
    </w:tbl>
    <w:p>
      <w:pPr>
        <w:spacing w:after="40"/>
      </w:pPr>
    </w:p>
    <w:p>
      <w:pPr>
        <w:pStyle w:val="Heading1"/>
        <w:keepNext/>
        <w:pBdr>
          <w:bottom w:val="single" w:sz="6" w:space="2" w:color="D8CFC6"/>
        </w:pBdr>
        <w:spacing w:before="320" w:after="120"/>
      </w:pPr>
      <w:r>
        <w:rPr>
          <w:rFonts w:ascii="Calibri" w:hAnsi="Calibri"/>
          <w:b/>
          <w:color w:val="8C2F2F"/>
          <w:sz w:val="28"/>
        </w:rPr>
        <w:t>10. What she has not decided, and what her answers imply</w:t>
      </w:r>
    </w:p>
    <w:p>
      <w:pPr>
        <w:spacing w:after="160" w:line="276" w:lineRule="auto"/>
      </w:pPr>
      <w:r>
        <w:rPr>
          <w:b w:val="0"/>
          <w:i w:val="0"/>
          <w:color w:val="1A1A1A"/>
          <w:sz w:val="21"/>
        </w:rPr>
        <w:t>Her instruction was to say if anything was missed. Four things are still open, and four more are consequences of her own answers that she may want to see before they ship.</w:t>
      </w:r>
    </w:p>
    <w:p>
      <w:pPr>
        <w:pStyle w:val="Heading2"/>
        <w:keepNext/>
        <w:spacing w:before="240" w:after="80"/>
      </w:pPr>
      <w:r>
        <w:rPr>
          <w:rFonts w:ascii="Calibri" w:hAnsi="Calibri"/>
          <w:b/>
          <w:color w:val="1A1A1A"/>
          <w:sz w:val="23"/>
        </w:rPr>
        <w:t>Still hers to decide</w:t>
      </w:r>
    </w:p>
    <w:tbl>
      <w:tblPr>
        <w:tblStyle w:val="TableGrid"/>
        <w:tblW w:type="auto" w:w="0"/>
        <w:jc w:val="center"/>
        <w:tblLayout w:type="fixed"/>
        <w:tblLook w:firstColumn="1" w:firstRow="1" w:lastColumn="0" w:lastRow="0" w:noHBand="0" w:noVBand="1" w:val="04A0"/>
      </w:tblPr>
      <w:tblGrid>
        <w:gridCol w:w="454"/>
        <w:gridCol w:w="2608"/>
        <w:gridCol w:w="6576"/>
      </w:tblGrid>
      <w:tr>
        <w:trPr>
          <w:tblHeader/>
        </w:trPr>
        <w:tc>
          <w:tcPr>
            <w:tcW w:type="dxa" w:w="454"/>
            <w:shd w:val="clear" w:color="auto" w:fill="EDE7E1"/>
          </w:tcPr>
          <w:p>
            <w:pPr>
              <w:spacing w:after="40" w:before="40" w:line="259" w:lineRule="auto"/>
            </w:pPr>
            <w:r/>
            <w:r>
              <w:rPr>
                <w:b/>
                <w:i w:val="0"/>
                <w:color w:val="1A1A1A"/>
                <w:sz w:val="18"/>
              </w:rPr>
              <w:t>#</w:t>
            </w:r>
          </w:p>
        </w:tc>
        <w:tc>
          <w:tcPr>
            <w:tcW w:type="dxa" w:w="2608"/>
            <w:shd w:val="clear" w:color="auto" w:fill="EDE7E1"/>
          </w:tcPr>
          <w:p>
            <w:pPr>
              <w:spacing w:after="40" w:before="40" w:line="259" w:lineRule="auto"/>
            </w:pPr>
            <w:r/>
            <w:r>
              <w:rPr>
                <w:b/>
                <w:i w:val="0"/>
                <w:color w:val="1A1A1A"/>
                <w:sz w:val="18"/>
              </w:rPr>
              <w:t>Item</w:t>
            </w:r>
          </w:p>
        </w:tc>
        <w:tc>
          <w:tcPr>
            <w:tcW w:type="dxa" w:w="6576"/>
            <w:shd w:val="clear" w:color="auto" w:fill="EDE7E1"/>
          </w:tcPr>
          <w:p>
            <w:pPr>
              <w:spacing w:after="40" w:before="40" w:line="259" w:lineRule="auto"/>
            </w:pPr>
            <w:r/>
            <w:r>
              <w:rPr>
                <w:b/>
                <w:i w:val="0"/>
                <w:color w:val="1A1A1A"/>
                <w:sz w:val="18"/>
              </w:rPr>
              <w:t>Why it is still open</w:t>
            </w:r>
          </w:p>
        </w:tc>
      </w:tr>
      <w:tr>
        <w:tc>
          <w:tcPr>
            <w:tcW w:type="dxa" w:w="454"/>
          </w:tcPr>
          <w:p>
            <w:pPr>
              <w:spacing w:after="40" w:before="40" w:line="259" w:lineRule="auto"/>
            </w:pPr>
            <w:r/>
            <w:r>
              <w:rPr>
                <w:b w:val="0"/>
                <w:i w:val="0"/>
                <w:color w:val="1A1A1A"/>
                <w:sz w:val="18"/>
              </w:rPr>
              <w:t>1</w:t>
            </w:r>
          </w:p>
        </w:tc>
        <w:tc>
          <w:tcPr>
            <w:tcW w:type="dxa" w:w="2608"/>
          </w:tcPr>
          <w:p>
            <w:pPr>
              <w:spacing w:after="40" w:before="40" w:line="259" w:lineRule="auto"/>
            </w:pPr>
            <w:r/>
            <w:r>
              <w:rPr>
                <w:b w:val="0"/>
                <w:i w:val="0"/>
                <w:color w:val="1A1A1A"/>
                <w:sz w:val="18"/>
              </w:rPr>
              <w:t>Medical-emergency cards</w:t>
            </w:r>
          </w:p>
        </w:tc>
        <w:tc>
          <w:tcPr>
            <w:tcW w:type="dxa" w:w="6576"/>
          </w:tcPr>
          <w:p>
            <w:pPr>
              <w:spacing w:after="40" w:before="40" w:line="259" w:lineRule="auto"/>
            </w:pPr>
            <w:r/>
            <w:r>
              <w:rPr>
                <w:b w:val="0"/>
                <w:i w:val="0"/>
                <w:color w:val="1A1A1A"/>
                <w:sz w:val="18"/>
              </w:rPr>
              <w:t>Unsigned. They now inherit the five-service block, the NIMHANS line and the corrected iCall hours, because they share the constant — so unsigned copy changes as a side effect of signed copy (§10 note 4).</w:t>
            </w:r>
          </w:p>
        </w:tc>
      </w:tr>
      <w:tr>
        <w:tc>
          <w:tcPr>
            <w:tcW w:type="dxa" w:w="454"/>
          </w:tcPr>
          <w:p>
            <w:pPr>
              <w:spacing w:after="40" w:before="40" w:line="259" w:lineRule="auto"/>
            </w:pPr>
            <w:r/>
            <w:r>
              <w:rPr>
                <w:b w:val="0"/>
                <w:i w:val="0"/>
                <w:color w:val="1A1A1A"/>
                <w:sz w:val="18"/>
              </w:rPr>
              <w:t>2</w:t>
            </w:r>
          </w:p>
        </w:tc>
        <w:tc>
          <w:tcPr>
            <w:tcW w:type="dxa" w:w="2608"/>
          </w:tcPr>
          <w:p>
            <w:pPr>
              <w:spacing w:after="40" w:before="40" w:line="259" w:lineRule="auto"/>
            </w:pPr>
            <w:r/>
            <w:r>
              <w:rPr>
                <w:b w:val="0"/>
                <w:i w:val="0"/>
                <w:color w:val="1A1A1A"/>
                <w:sz w:val="18"/>
              </w:rPr>
              <w:t>Harm-intrusion routing (E17-S15)</w:t>
            </w:r>
          </w:p>
        </w:tc>
        <w:tc>
          <w:tcPr>
            <w:tcW w:type="dxa" w:w="6576"/>
          </w:tcPr>
          <w:p>
            <w:pPr>
              <w:spacing w:after="40" w:before="40" w:line="259" w:lineRule="auto"/>
            </w:pPr>
            <w:r/>
            <w:r>
              <w:rPr>
                <w:b w:val="0"/>
                <w:i w:val="0"/>
                <w:color w:val="1A1A1A"/>
                <w:sz w:val="18"/>
              </w:rPr>
              <w:t>Unchanged since 30 October: approved in principle on three conditions, and she still wants the exact current and proposed reply before it ships.</w:t>
            </w:r>
          </w:p>
        </w:tc>
      </w:tr>
      <w:tr>
        <w:tc>
          <w:tcPr>
            <w:tcW w:type="dxa" w:w="454"/>
          </w:tcPr>
          <w:p>
            <w:pPr>
              <w:spacing w:after="40" w:before="40" w:line="259" w:lineRule="auto"/>
            </w:pPr>
            <w:r/>
            <w:r>
              <w:rPr>
                <w:b w:val="0"/>
                <w:i w:val="0"/>
                <w:color w:val="1A1A1A"/>
                <w:sz w:val="18"/>
              </w:rPr>
              <w:t>3</w:t>
            </w:r>
          </w:p>
        </w:tc>
        <w:tc>
          <w:tcPr>
            <w:tcW w:type="dxa" w:w="2608"/>
          </w:tcPr>
          <w:p>
            <w:pPr>
              <w:spacing w:after="40" w:before="40" w:line="259" w:lineRule="auto"/>
            </w:pPr>
            <w:r/>
            <w:r>
              <w:rPr>
                <w:b w:val="0"/>
                <w:i w:val="0"/>
                <w:color w:val="1A1A1A"/>
                <w:sz w:val="18"/>
              </w:rPr>
              <w:t>Retention, escalation route, launch claims</w:t>
            </w:r>
          </w:p>
        </w:tc>
        <w:tc>
          <w:tcPr>
            <w:tcW w:type="dxa" w:w="6576"/>
          </w:tcPr>
          <w:p>
            <w:pPr>
              <w:spacing w:after="40" w:before="40" w:line="259" w:lineRule="auto"/>
            </w:pPr>
            <w:r/>
            <w:r>
              <w:rPr>
                <w:b w:val="0"/>
                <w:i w:val="0"/>
                <w:color w:val="1A1A1A"/>
                <w:sz w:val="18"/>
              </w:rPr>
              <w:t>D-E, D-F and D-G. Retention is deferred to legal; the escalation route waits on build evidence; launch claims come last by her own sequencing.</w:t>
            </w:r>
          </w:p>
        </w:tc>
      </w:tr>
      <w:tr>
        <w:tc>
          <w:tcPr>
            <w:tcW w:type="dxa" w:w="454"/>
          </w:tcPr>
          <w:p>
            <w:pPr>
              <w:spacing w:after="40" w:before="40" w:line="259" w:lineRule="auto"/>
            </w:pPr>
            <w:r/>
            <w:r>
              <w:rPr>
                <w:b w:val="0"/>
                <w:i w:val="0"/>
                <w:color w:val="1A1A1A"/>
                <w:sz w:val="18"/>
              </w:rPr>
              <w:t>4</w:t>
            </w:r>
          </w:p>
        </w:tc>
        <w:tc>
          <w:tcPr>
            <w:tcW w:type="dxa" w:w="2608"/>
          </w:tcPr>
          <w:p>
            <w:pPr>
              <w:spacing w:after="40" w:before="40" w:line="259" w:lineRule="auto"/>
            </w:pPr>
            <w:r/>
            <w:r>
              <w:rPr>
                <w:b w:val="0"/>
                <w:i w:val="0"/>
                <w:color w:val="1A1A1A"/>
                <w:sz w:val="18"/>
              </w:rPr>
              <w:t>The waitlist case for “your therapist”</w:t>
            </w:r>
          </w:p>
        </w:tc>
        <w:tc>
          <w:tcPr>
            <w:tcW w:type="dxa" w:w="6576"/>
          </w:tcPr>
          <w:p>
            <w:pPr>
              <w:spacing w:after="40" w:before="40" w:line="259" w:lineRule="auto"/>
            </w:pPr>
            <w:r/>
            <w:r>
              <w:rPr>
                <w:b w:val="0"/>
                <w:i w:val="0"/>
                <w:color w:val="1A1A1A"/>
                <w:sz w:val="18"/>
              </w:rPr>
              <w:t>Instruction 5 is right for a user with a therapist. A user between therapists, on the waitlist, or lapsed reads a referral to something they do not have. One word from her: keep it, or keep it and add the fallback.</w:t>
            </w:r>
          </w:p>
        </w:tc>
      </w:tr>
    </w:tbl>
    <w:p>
      <w:pPr>
        <w:spacing w:after="40"/>
      </w:pPr>
    </w:p>
    <w:p>
      <w:pPr>
        <w:pStyle w:val="Heading2"/>
        <w:keepNext/>
        <w:spacing w:before="240" w:after="80"/>
      </w:pPr>
      <w:r>
        <w:rPr>
          <w:rFonts w:ascii="Calibri" w:hAnsi="Calibri"/>
          <w:b/>
          <w:color w:val="1A1A1A"/>
          <w:sz w:val="23"/>
        </w:rPr>
        <w:t>Consequences of what she approved — recorded, not asked</w:t>
      </w:r>
    </w:p>
    <w:p>
      <w:pPr>
        <w:spacing w:after="80" w:line="276" w:lineRule="auto"/>
        <w:ind w:left="312" w:hanging="198"/>
      </w:pPr>
      <w:r>
        <w:rPr>
          <w:color w:val="555555"/>
          <w:sz w:val="21"/>
        </w:rPr>
        <w:t xml:space="preserve">— </w:t>
      </w:r>
      <w:r>
        <w:rPr>
          <w:b/>
          <w:sz w:val="21"/>
        </w:rPr>
        <w:t xml:space="preserve">The ordering heuristic now bends. </w:t>
      </w:r>
      <w:r>
        <w:rPr>
          <w:sz w:val="21"/>
        </w:rPr>
        <w:t>NIMHANS is 24×7 and sits fourth, behind Sneha which closes at 10 pm. That follows instruction 2 exactly. Recorded so nobody later “fixes” it (§2.3).</w:t>
      </w:r>
    </w:p>
    <w:p>
      <w:pPr>
        <w:spacing w:after="80" w:line="276" w:lineRule="auto"/>
        <w:ind w:left="312" w:hanging="198"/>
      </w:pPr>
      <w:r>
        <w:rPr>
          <w:color w:val="555555"/>
          <w:sz w:val="21"/>
        </w:rPr>
        <w:t xml:space="preserve">— </w:t>
      </w:r>
      <w:r>
        <w:rPr>
          <w:b/>
          <w:sz w:val="21"/>
        </w:rPr>
        <w:t xml:space="preserve">The last option on every card is often closed. </w:t>
      </w:r>
      <w:r>
        <w:rPr>
          <w:sz w:val="21"/>
        </w:rPr>
        <w:t>iCall, Mon–Sat 10 am–8 pm, is fifth of five. On a Sunday evening the fifth line does not answer. The first four do, so the card still works; but the hours are now printed, which is what makes the limit honest rather than hidden.</w:t>
      </w:r>
    </w:p>
    <w:p>
      <w:pPr>
        <w:spacing w:after="80" w:line="276" w:lineRule="auto"/>
        <w:ind w:left="312" w:hanging="198"/>
      </w:pPr>
      <w:r>
        <w:rPr>
          <w:color w:val="555555"/>
          <w:sz w:val="21"/>
        </w:rPr>
        <w:t xml:space="preserve">— </w:t>
      </w:r>
      <w:r>
        <w:rPr>
          <w:b/>
          <w:sz w:val="21"/>
        </w:rPr>
        <w:t xml:space="preserve">Past self-harm lands on the crisis card. </w:t>
      </w:r>
      <w:r>
        <w:rPr>
          <w:sz w:val="21"/>
        </w:rPr>
        <w:t>“I used to cut myself” matches the detector and, under signed precedence, reaches the S4 card. She said changes could come later; §6.3 sets out the three options so “later” is a real decision.</w:t>
      </w:r>
    </w:p>
    <w:p>
      <w:pPr>
        <w:spacing w:after="160" w:line="276" w:lineRule="auto"/>
        <w:ind w:left="312" w:hanging="198"/>
      </w:pPr>
      <w:r>
        <w:rPr>
          <w:color w:val="555555"/>
          <w:sz w:val="21"/>
        </w:rPr>
        <w:t xml:space="preserve">— </w:t>
      </w:r>
      <w:r>
        <w:rPr>
          <w:b/>
          <w:sz w:val="21"/>
        </w:rPr>
        <w:t xml:space="preserve">Unsigned surfaces inherit the new block. </w:t>
      </w:r>
      <w:r>
        <w:rPr>
          <w:sz w:val="21"/>
        </w:rPr>
        <w:t>The shared constant also feeds the medical-emergency cards and six degraded-turn messages. Those strings will now name NIMHANS and print 10 am–8 pm for iCall without having been reviewed. It is not a safety problem — the numbers are more accurate, not less — but it is a sign-off gap, and the fix is either to sign those strings or to give them their own constant.</w:t>
      </w:r>
    </w:p>
    <w:p>
      <w:pPr>
        <w:pStyle w:val="Heading1"/>
        <w:keepNext/>
        <w:pBdr>
          <w:bottom w:val="single" w:sz="6" w:space="2" w:color="D8CFC6"/>
        </w:pBdr>
        <w:spacing w:before="320" w:after="120"/>
      </w:pPr>
      <w:r>
        <w:rPr>
          <w:rFonts w:ascii="Calibri" w:hAnsi="Calibri"/>
          <w:b/>
          <w:color w:val="8C2F2F"/>
          <w:sz w:val="28"/>
        </w:rPr>
        <w:t>11. Signature</w:t>
      </w:r>
    </w:p>
    <w:p>
      <w:pPr>
        <w:spacing w:after="200" w:line="276" w:lineRule="auto"/>
      </w:pPr>
      <w:r>
        <w:rPr>
          <w:b w:val="0"/>
          <w:i w:val="0"/>
          <w:color w:val="1A1A1A"/>
          <w:sz w:val="21"/>
        </w:rPr>
        <w:t>Her nine numbered answers of 31 October 2026 constitute clinical sign-off of the items in §1: the helpline set and its final order, the S3 reply with the full block, the third-party reply with the ask-about-intent passage removed, the self-injury reply and its routing to the crisis tier, the S4 crisis card, and — unchanged from revision 1 and re-affirmed here — the eleven-phrase literal list, both idiom guards and the precedence rule. Where an edit to her own wording was made, it is named in a table above with the number of the instruction that authorised it.</w:t>
      </w:r>
    </w:p>
    <w:tbl>
      <w:tblPr>
        <w:tblStyle w:val="TableGrid"/>
        <w:tblW w:type="auto" w:w="0"/>
        <w:jc w:val="center"/>
        <w:tblLayout w:type="fixed"/>
        <w:tblLook w:firstColumn="1" w:firstRow="1" w:lastColumn="0" w:lastRow="0" w:noHBand="0" w:noVBand="1" w:val="04A0"/>
      </w:tblPr>
      <w:tblGrid>
        <w:gridCol w:w="2608"/>
        <w:gridCol w:w="7030"/>
      </w:tblGrid>
      <w:tr>
        <w:trPr>
          <w:tblHeader/>
        </w:trPr>
        <w:tc>
          <w:tcPr>
            <w:tcW w:type="dxa" w:w="2608"/>
            <w:shd w:val="clear" w:color="auto" w:fill="EDE7E1"/>
          </w:tcPr>
          <w:p>
            <w:pPr>
              <w:spacing w:after="40" w:before="40" w:line="259" w:lineRule="auto"/>
            </w:pPr>
            <w:r/>
            <w:r>
              <w:rPr>
                <w:b/>
                <w:i w:val="0"/>
                <w:color w:val="1A1A1A"/>
                <w:sz w:val="19"/>
              </w:rPr>
              <w:t>Field</w:t>
            </w:r>
          </w:p>
        </w:tc>
        <w:tc>
          <w:tcPr>
            <w:tcW w:type="dxa" w:w="7030"/>
            <w:shd w:val="clear" w:color="auto" w:fill="EDE7E1"/>
          </w:tcPr>
          <w:p>
            <w:pPr>
              <w:spacing w:after="40" w:before="40" w:line="259" w:lineRule="auto"/>
            </w:pPr>
            <w:r/>
            <w:r>
              <w:rPr>
                <w:b/>
                <w:i w:val="0"/>
                <w:color w:val="1A1A1A"/>
                <w:sz w:val="19"/>
              </w:rPr>
              <w:t>Value</w:t>
            </w:r>
          </w:p>
        </w:tc>
      </w:tr>
      <w:tr>
        <w:tc>
          <w:tcPr>
            <w:tcW w:type="dxa" w:w="2608"/>
          </w:tcPr>
          <w:p>
            <w:pPr>
              <w:spacing w:after="40" w:before="40" w:line="259" w:lineRule="auto"/>
            </w:pPr>
            <w:r/>
            <w:r>
              <w:rPr>
                <w:b w:val="0"/>
                <w:i w:val="0"/>
                <w:color w:val="1A1A1A"/>
                <w:sz w:val="19"/>
              </w:rPr>
              <w:t>Clinical lead</w:t>
            </w:r>
          </w:p>
        </w:tc>
        <w:tc>
          <w:tcPr>
            <w:tcW w:type="dxa" w:w="7030"/>
          </w:tcPr>
          <w:p>
            <w:pPr>
              <w:spacing w:after="40" w:before="40" w:line="259" w:lineRule="auto"/>
            </w:pPr>
            <w:r/>
            <w:r>
              <w:rPr>
                <w:b w:val="0"/>
                <w:i w:val="0"/>
                <w:color w:val="1A1A1A"/>
                <w:sz w:val="19"/>
              </w:rPr>
              <w:t>Dr Shubhangi Goswami, Clinical Psychologist</w:t>
            </w:r>
          </w:p>
        </w:tc>
      </w:tr>
      <w:tr>
        <w:tc>
          <w:tcPr>
            <w:tcW w:type="dxa" w:w="2608"/>
          </w:tcPr>
          <w:p>
            <w:pPr>
              <w:spacing w:after="40" w:before="40" w:line="259" w:lineRule="auto"/>
            </w:pPr>
            <w:r/>
            <w:r>
              <w:rPr>
                <w:b w:val="0"/>
                <w:i w:val="0"/>
                <w:color w:val="1A1A1A"/>
                <w:sz w:val="19"/>
              </w:rPr>
              <w:t>Scope signed</w:t>
            </w:r>
          </w:p>
        </w:tc>
        <w:tc>
          <w:tcPr>
            <w:tcW w:type="dxa" w:w="7030"/>
          </w:tcPr>
          <w:p>
            <w:pPr>
              <w:spacing w:after="40" w:before="40" w:line="259" w:lineRule="auto"/>
            </w:pPr>
            <w:r/>
            <w:r>
              <w:rPr>
                <w:b w:val="0"/>
                <w:i w:val="0"/>
                <w:color w:val="1A1A1A"/>
                <w:sz w:val="19"/>
              </w:rPr>
              <w:t>S3 reply; third-party reply; self-injury reply (S4); S4 crisis card; helpline set and order; eleven literal phrases; two idiom guards; precedence rule</w:t>
            </w:r>
          </w:p>
        </w:tc>
      </w:tr>
      <w:tr>
        <w:tc>
          <w:tcPr>
            <w:tcW w:type="dxa" w:w="2608"/>
          </w:tcPr>
          <w:p>
            <w:pPr>
              <w:spacing w:after="40" w:before="40" w:line="259" w:lineRule="auto"/>
            </w:pPr>
            <w:r/>
            <w:r>
              <w:rPr>
                <w:b w:val="0"/>
                <w:i w:val="0"/>
                <w:color w:val="1A1A1A"/>
                <w:sz w:val="19"/>
              </w:rPr>
              <w:t>Date of decision</w:t>
            </w:r>
          </w:p>
        </w:tc>
        <w:tc>
          <w:tcPr>
            <w:tcW w:type="dxa" w:w="7030"/>
          </w:tcPr>
          <w:p>
            <w:pPr>
              <w:spacing w:after="40" w:before="40" w:line="259" w:lineRule="auto"/>
            </w:pPr>
            <w:r/>
            <w:r>
              <w:rPr>
                <w:b w:val="0"/>
                <w:i w:val="0"/>
                <w:color w:val="1A1A1A"/>
                <w:sz w:val="19"/>
              </w:rPr>
              <w:t>31 October 2026 (third message of the day)</w:t>
            </w:r>
          </w:p>
        </w:tc>
      </w:tr>
      <w:tr>
        <w:tc>
          <w:tcPr>
            <w:tcW w:type="dxa" w:w="2608"/>
          </w:tcPr>
          <w:p>
            <w:pPr>
              <w:spacing w:after="40" w:before="40" w:line="259" w:lineRule="auto"/>
            </w:pPr>
            <w:r/>
            <w:r>
              <w:rPr>
                <w:b w:val="0"/>
                <w:i w:val="0"/>
                <w:color w:val="1A1A1A"/>
                <w:sz w:val="19"/>
              </w:rPr>
              <w:t>Initials</w:t>
            </w:r>
          </w:p>
        </w:tc>
        <w:tc>
          <w:tcPr>
            <w:tcW w:type="dxa" w:w="7030"/>
          </w:tcPr>
          <w:p>
            <w:pPr>
              <w:spacing w:after="40" w:before="40" w:line="259" w:lineRule="auto"/>
            </w:pPr>
            <w:r/>
            <w:r>
              <w:rPr>
                <w:b w:val="0"/>
                <w:i w:val="0"/>
                <w:color w:val="1A1A1A"/>
                <w:sz w:val="19"/>
              </w:rPr>
              <w:t>SG</w:t>
            </w:r>
          </w:p>
        </w:tc>
      </w:tr>
      <w:tr>
        <w:tc>
          <w:tcPr>
            <w:tcW w:type="dxa" w:w="2608"/>
          </w:tcPr>
          <w:p>
            <w:pPr>
              <w:spacing w:after="40" w:before="40" w:line="259" w:lineRule="auto"/>
            </w:pPr>
            <w:r/>
            <w:r>
              <w:rPr>
                <w:b w:val="0"/>
                <w:i w:val="0"/>
                <w:color w:val="1A1A1A"/>
                <w:sz w:val="19"/>
              </w:rPr>
              <w:t>Commit approved against</w:t>
            </w:r>
          </w:p>
        </w:tc>
        <w:tc>
          <w:tcPr>
            <w:tcW w:type="dxa" w:w="7030"/>
          </w:tcPr>
          <w:p>
            <w:pPr>
              <w:spacing w:after="40" w:before="40" w:line="259" w:lineRule="auto"/>
            </w:pPr>
            <w:r/>
            <w:r>
              <w:rPr>
                <w:b w:val="0"/>
                <w:i w:val="0"/>
                <w:color w:val="1A1A1A"/>
                <w:sz w:val="19"/>
              </w:rPr>
              <w:t>____________________</w:t>
            </w:r>
          </w:p>
        </w:tc>
      </w:tr>
      <w:tr>
        <w:tc>
          <w:tcPr>
            <w:tcW w:type="dxa" w:w="2608"/>
          </w:tcPr>
          <w:p>
            <w:pPr>
              <w:spacing w:after="40" w:before="40" w:line="259" w:lineRule="auto"/>
            </w:pPr>
            <w:r/>
            <w:r>
              <w:rPr>
                <w:b w:val="0"/>
                <w:i w:val="0"/>
                <w:color w:val="1A1A1A"/>
                <w:sz w:val="19"/>
              </w:rPr>
              <w:t>Open at signature</w:t>
            </w:r>
          </w:p>
        </w:tc>
        <w:tc>
          <w:tcPr>
            <w:tcW w:type="dxa" w:w="7030"/>
          </w:tcPr>
          <w:p>
            <w:pPr>
              <w:spacing w:after="40" w:before="40" w:line="259" w:lineRule="auto"/>
            </w:pPr>
            <w:r/>
            <w:r>
              <w:rPr>
                <w:b w:val="0"/>
                <w:i w:val="0"/>
                <w:color w:val="1A1A1A"/>
                <w:sz w:val="19"/>
              </w:rPr>
              <w:t>§10 — four items still hers, four consequences recorded</w:t>
            </w:r>
          </w:p>
        </w:tc>
      </w:tr>
    </w:tbl>
    <w:p>
      <w:pPr>
        <w:spacing w:after="40"/>
      </w:pPr>
    </w:p>
    <w:p>
      <w:pPr>
        <w:spacing w:after="80" w:line="276" w:lineRule="auto"/>
      </w:pPr>
      <w:r>
        <w:rPr>
          <w:b w:val="0"/>
          <w:i/>
          <w:color w:val="555555"/>
          <w:sz w:val="18"/>
        </w:rPr>
        <w:t>Provenance. Her three messages of 31 October 2026 are held in the mailbox of admin@okuvu.in and are quoted in §2.1, §3.1, §4.1, §6.1 and §7.1 without alteration. The instructions are quoted as she typed them, including their numbering, which is hers and not continuous.</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555555"/>
        <w:sz w:val="16"/>
      </w:rPr>
      <w:t xml:space="preserve">Page </w:t>
    </w:r>
    <w:r>
      <w:rPr>
        <w:color w:val="555555"/>
        <w:sz w:val="16"/>
      </w:rPr>
      <w:fldChar w:fldCharType="begin"/>
      <w:instrText xml:space="preserve"> PAGE </w:instrText>
      <w:fldChar w:fldCharType="end"/>
    </w:r>
    <w:r>
      <w:rPr>
        <w:color w:val="555555"/>
        <w:sz w:val="16"/>
      </w:rPr>
      <w:t xml:space="preserve"> of </w:t>
    </w:r>
    <w:r>
      <w:rPr>
        <w:color w:val="555555"/>
        <w:sz w:val="16"/>
      </w:rPr>
      <w:fldChar w:fldCharType="begin"/>
      <w:instrText xml:space="preserve"> NUMPAGES </w:instrText>
      <w:fldChar w:fldCharType="end"/>
    </w:r>
    <w:r>
      <w:rPr>
        <w:color w:val="555555"/>
        <w:sz w:val="16"/>
      </w:rPr>
      <w:t xml:space="preserve">   ·   Okuvu clinical sign-off record, revision 3   ·   31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