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sz w:val="18"/>
        </w:rPr>
        <w:t>OKUVU — E17-S7</w:t>
      </w:r>
    </w:p>
    <w:p>
      <w:pPr>
        <w:spacing w:after="80"/>
      </w:pPr>
      <w:r>
        <w:rPr>
          <w:rFonts w:ascii="Calibri" w:hAnsi="Calibri"/>
          <w:b/>
          <w:sz w:val="40"/>
        </w:rPr>
        <w:t>Clinical review sheet: the unreviewed client-facing copy</w:t>
      </w:r>
    </w:p>
    <w:p>
      <w:pPr>
        <w:spacing w:after="200"/>
      </w:pPr>
      <w:r>
        <w:rPr>
          <w:b w:val="0"/>
          <w:i/>
          <w:sz w:val="20"/>
        </w:rPr>
        <w:t>Thirteen items were listed as unreviewed in the rev-4 sign-off record. Twelve are reproduced here verbatim. The thirteenth does not need your review — it was already passed by you, and I got it wrong.</w:t>
      </w:r>
    </w:p>
    <w:tbl>
      <w:tblPr>
        <w:tblStyle w:val="TableGrid"/>
        <w:tblW w:type="auto" w:w="0"/>
        <w:jc w:val="center"/>
        <w:tblLayout w:type="fixed"/>
        <w:tblLook w:firstColumn="1" w:firstRow="1" w:lastColumn="0" w:lastRow="0" w:noHBand="0" w:noVBand="1" w:val="04A0"/>
      </w:tblPr>
      <w:tblGrid>
        <w:gridCol w:w="4706"/>
        <w:gridCol w:w="4706"/>
      </w:tblGrid>
      <w:tr>
        <w:tc>
          <w:tcPr>
            <w:tcW w:type="dxa" w:w="2041"/>
          </w:tcPr>
          <w:p>
            <w:pPr>
              <w:spacing w:after="40"/>
            </w:pPr>
            <w:r>
              <w:rPr>
                <w:sz w:val="18"/>
              </w:rPr>
              <w:t>Prepared for</w:t>
            </w:r>
          </w:p>
        </w:tc>
        <w:tc>
          <w:tcPr>
            <w:tcW w:type="dxa" w:w="7370"/>
          </w:tcPr>
          <w:p>
            <w:pPr>
              <w:spacing w:after="40"/>
            </w:pPr>
            <w:r>
              <w:rPr>
                <w:sz w:val="18"/>
              </w:rPr>
              <w:t>Dr Shubhangi Goswami, Clinical Psychologist — clinical authority for OKUVU</w:t>
            </w:r>
          </w:p>
        </w:tc>
      </w:tr>
      <w:tr>
        <w:tc>
          <w:tcPr>
            <w:tcW w:type="dxa" w:w="2041"/>
          </w:tcPr>
          <w:p>
            <w:pPr>
              <w:spacing w:after="40"/>
            </w:pPr>
            <w:r>
              <w:rPr>
                <w:sz w:val="18"/>
              </w:rPr>
              <w:t>Prepared</w:t>
            </w:r>
          </w:p>
        </w:tc>
        <w:tc>
          <w:tcPr>
            <w:tcW w:type="dxa" w:w="7370"/>
          </w:tcPr>
          <w:p>
            <w:pPr>
              <w:spacing w:after="40"/>
            </w:pPr>
            <w:r>
              <w:rPr>
                <w:sz w:val="18"/>
              </w:rPr>
              <w:t>31 October 2026, 15:16 UTC</w:t>
            </w:r>
          </w:p>
        </w:tc>
      </w:tr>
      <w:tr>
        <w:tc>
          <w:tcPr>
            <w:tcW w:type="dxa" w:w="2041"/>
          </w:tcPr>
          <w:p>
            <w:pPr>
              <w:spacing w:after="40"/>
            </w:pPr>
            <w:r>
              <w:rPr>
                <w:sz w:val="18"/>
              </w:rPr>
              <w:t>Source of record</w:t>
            </w:r>
          </w:p>
        </w:tc>
        <w:tc>
          <w:tcPr>
            <w:tcW w:type="dxa" w:w="7370"/>
          </w:tcPr>
          <w:p>
            <w:pPr>
              <w:spacing w:after="40"/>
            </w:pPr>
            <w:r>
              <w:rPr>
                <w:sz w:val="18"/>
              </w:rPr>
              <w:t>apps/api/src/pipeline/fallbacks.ts; apps/api/src/lib/canned-response.ts; apps/mobile/lib/src/features/crisis/crisis_overlay.dart; apps/mobile/lib/src/features/onboarding_welcome/age_blocked_screen.dart</w:t>
            </w:r>
          </w:p>
        </w:tc>
      </w:tr>
      <w:tr>
        <w:tc>
          <w:tcPr>
            <w:tcW w:type="dxa" w:w="2041"/>
          </w:tcPr>
          <w:p>
            <w:pPr>
              <w:spacing w:after="40"/>
            </w:pPr>
            <w:r>
              <w:rPr>
                <w:sz w:val="18"/>
              </w:rPr>
              <w:t>Branch</w:t>
            </w:r>
          </w:p>
        </w:tc>
        <w:tc>
          <w:tcPr>
            <w:tcW w:type="dxa" w:w="7370"/>
          </w:tcPr>
          <w:p>
            <w:pPr>
              <w:spacing w:after="40"/>
            </w:pPr>
            <w:r>
              <w:rPr>
                <w:sz w:val="18"/>
              </w:rPr>
              <w:t>feat/e17-s7-approved-copy</w:t>
            </w:r>
          </w:p>
        </w:tc>
      </w:tr>
      <w:tr>
        <w:tc>
          <w:tcPr>
            <w:tcW w:type="dxa" w:w="2041"/>
          </w:tcPr>
          <w:p>
            <w:pPr>
              <w:spacing w:after="40"/>
            </w:pPr>
            <w:r>
              <w:rPr>
                <w:sz w:val="18"/>
              </w:rPr>
              <w:t>Item count</w:t>
            </w:r>
          </w:p>
        </w:tc>
        <w:tc>
          <w:tcPr>
            <w:tcW w:type="dxa" w:w="7370"/>
          </w:tcPr>
          <w:p>
            <w:pPr>
              <w:spacing w:after="40"/>
            </w:pPr>
            <w:r>
              <w:rPr>
                <w:sz w:val="18"/>
              </w:rPr>
              <w:t>12 to review (CD-2 × 2, CD-6 × 8, CD-7 × 2) + 1 withdrawn (CD-8)</w:t>
            </w:r>
          </w:p>
        </w:tc>
      </w:tr>
      <w:tr>
        <w:tc>
          <w:tcPr>
            <w:tcW w:type="dxa" w:w="2041"/>
          </w:tcPr>
          <w:p>
            <w:pPr>
              <w:spacing w:after="40"/>
            </w:pPr>
            <w:r>
              <w:rPr>
                <w:sz w:val="18"/>
              </w:rPr>
              <w:t>Text in this sheet</w:t>
            </w:r>
          </w:p>
        </w:tc>
        <w:tc>
          <w:tcPr>
            <w:tcW w:type="dxa" w:w="7370"/>
          </w:tcPr>
          <w:p>
            <w:pPr>
              <w:spacing w:after="40"/>
            </w:pPr>
            <w:r>
              <w:rPr>
                <w:sz w:val="18"/>
              </w:rPr>
              <w:t>Extracted from source by script, never retyped. The extraction script and the file hashes are recorded in §8.</w:t>
            </w:r>
          </w:p>
        </w:tc>
      </w:tr>
    </w:tbl>
    <w:p>
      <w:pPr>
        <w:pStyle w:val="Heading1"/>
      </w:pPr>
      <w:r>
        <w:rPr>
          <w:rFonts w:ascii="Calibri" w:hAnsi="Calibri"/>
          <w:color w:val="1A1A1A"/>
        </w:rPr>
        <w:t>1. A correction to the list I gave you: CD-8 is withdrawn</w:t>
      </w:r>
    </w:p>
    <w:p>
      <w:pPr>
        <w:spacing w:after="120"/>
      </w:pPr>
      <w:r>
        <w:rPr>
          <w:b w:val="0"/>
          <w:i w:val="0"/>
        </w:rPr>
        <w:t>The rev-4 record listed the A1 severity definitions — the S1–S4 thresholds that decide which card a person receives — as unreviewed (CD-8). That was wrong.</w:t>
      </w:r>
    </w:p>
    <w:p>
      <w:pPr>
        <w:spacing w:after="120"/>
      </w:pPr>
      <w:r>
        <w:rPr>
          <w:b w:val="0"/>
          <w:i w:val="0"/>
        </w:rPr>
        <w:t>You passed the A1 classifier prompt on 07 September 2026. The status line of the source document records it: “Status: v2.0 — PASSED by Shubhangi (07 Sep 2026)”, and the S3 crisis review pack itself states that the classifier prompt is “already passed 07 September 2026; unchanged by this pack. Nothing here re-opens it.”</w:t>
      </w:r>
    </w:p>
    <w:p>
      <w:pPr>
        <w:spacing w:after="120"/>
      </w:pPr>
      <w:r>
        <w:rPr>
          <w:b w:val="0"/>
          <w:i w:val="0"/>
        </w:rPr>
        <w:t>I checked that what ships is what you passed, rather than assume it. All nine never-rules, the five-level scale, the supremacy rule, the ambiguity ladder and the fail-closed clause are present in the shipped prompt; two lines differ only in punctuation (the skull emoji is written out as “emoji”, §10 as “section 10”). The shipped rubric and the text you passed are the same text.</w:t>
      </w:r>
    </w:p>
    <w:p>
      <w:pPr>
        <w:spacing w:after="120"/>
      </w:pPr>
      <w:r>
        <w:rPr>
          <w:b w:val="0"/>
          <w:i w:val="0"/>
        </w:rPr>
        <w:t>So there is nothing for you to review in CD-8, and I am sorry it appeared on your list. Two things do follow, and neither is a clinical ask:</w:t>
      </w:r>
    </w:p>
    <w:p>
      <w:pPr>
        <w:pStyle w:val="ListBullet"/>
      </w:pPr>
      <w:r>
        <w:rPr>
          <w:sz w:val="20"/>
        </w:rPr>
        <w:t>The source document's own footer still says “Draft for discussion — Shubhangi's clinical review pending”, which contradicts its header. That footer belongs to the worked-example appendix, not the rubric, but anyone reading only the footer will conclude the opposite of the header. Fixing it is documentation, not clinical.</w:t>
      </w:r>
    </w:p>
    <w:p>
      <w:pPr>
        <w:pStyle w:val="ListBullet"/>
      </w:pPr>
      <w:r>
        <w:rPr>
          <w:sz w:val="20"/>
        </w:rPr>
        <w:t>If you would rather the appendix of worked examples (14 scenarios, S0–S4) were reviewed now that the thresholds are being read against real replies, say so and I will lay it out the same way as this sheet. That is a new item, and I am not adding it to your list silently.</w:t>
      </w:r>
    </w:p>
    <w:p>
      <w:pPr>
        <w:pBdr>
          <w:bottom w:val="single" w:sz="6" w:space="1" w:color="999999"/>
        </w:pBdr>
        <w:spacing w:before="40" w:after="120"/>
      </w:pPr>
    </w:p>
    <w:p>
      <w:pPr>
        <w:pStyle w:val="Heading1"/>
      </w:pPr>
      <w:r>
        <w:rPr>
          <w:rFonts w:ascii="Calibri" w:hAnsi="Calibri"/>
          <w:color w:val="1A1A1A"/>
        </w:rPr>
        <w:t>2. What is being asked of you</w:t>
      </w:r>
    </w:p>
    <w:p>
      <w:pPr>
        <w:spacing w:after="120"/>
      </w:pPr>
      <w:r>
        <w:rPr>
          <w:b w:val="0"/>
          <w:i w:val="0"/>
        </w:rPr>
        <w:t>Each item below is one fixed string that reaches a user when the app cannot answer with generated prose, or is the crisis screen itself. None of these has ever been read by a clinician. They are live: the medical-emergency cards and both app screens are already being served.</w:t>
      </w:r>
    </w:p>
    <w:p>
      <w:pPr>
        <w:spacing w:after="120"/>
      </w:pPr>
      <w:r>
        <w:rPr>
          <w:b w:val="0"/>
          <w:i w:val="0"/>
        </w:rPr>
        <w:t>For each, mark one of three things: approve as written; approve with the change I recommend; or reject and I return with a redraft. Where the item is a clinical judgement rather than a wording one, I have said so and given a recommendation rather than a menu.</w:t>
      </w:r>
    </w:p>
    <w:p>
      <w:pPr>
        <w:spacing w:after="120"/>
      </w:pPr>
      <w:r>
        <w:rPr>
          <w:b w:val="0"/>
          <w:i/>
          <w:sz w:val="19"/>
        </w:rPr>
        <w:t>The recommendation line is mine, not a clinical opinion. Where I have proposed deleting a sentence, deleting it is a decision you can take in one word; leaving it is equally available.</w:t>
      </w:r>
    </w:p>
    <w:p>
      <w:pPr>
        <w:pBdr>
          <w:bottom w:val="single" w:sz="6" w:space="1" w:color="999999"/>
        </w:pBdr>
        <w:spacing w:before="40" w:after="120"/>
      </w:pPr>
    </w:p>
    <w:p>
      <w:pPr>
        <w:pStyle w:val="Heading1"/>
      </w:pPr>
      <w:r>
        <w:rPr>
          <w:rFonts w:ascii="Calibri" w:hAnsi="Calibri"/>
          <w:color w:val="1A1A1A"/>
        </w:rPr>
        <w:t>3. The ten fixed replies</w:t>
      </w:r>
    </w:p>
    <w:p>
      <w:pPr>
        <w:pStyle w:val="Heading2"/>
      </w:pPr>
      <w:r>
        <w:rPr>
          <w:rFonts w:ascii="Calibri" w:hAnsi="Calibri"/>
          <w:color w:val="1A1A1A"/>
        </w:rPr>
        <w:t>3.1  MEDICAL_EMERGENCY_RESPONSE</w:t>
      </w:r>
    </w:p>
    <w:p>
      <w:pPr>
        <w:spacing w:after="160"/>
      </w:pPr>
      <w:r>
        <w:rPr>
          <w:b w:val="0"/>
          <w:i/>
          <w:sz w:val="19"/>
        </w:rPr>
        <w:t>Served when a message describes a physical/medical emergency and A1 did not also return crisis. A2 and A9-post write none of this reply — it is fixed text.</w:t>
      </w:r>
    </w:p>
    <w:p>
      <w:pPr>
        <w:spacing w:before="80" w:after="160"/>
        <w:ind w:left="397"/>
      </w:pPr>
      <w:r>
        <w:rPr>
          <w:rFonts w:ascii="Cambria" w:hAnsi="Cambria"/>
          <w:color w:val="111111"/>
          <w:sz w:val="22"/>
        </w:rPr>
        <w:t>Please call 112 for emergency medical help right now — that is the ambulance and emergency number in India, and they can send help to you. What you've described is a medical emergency, so please don't wait for me on this one: make the call first, and put it on speaker if you can. I'm here, and I'll stay with you while you do.</w:t>
      </w:r>
    </w:p>
    <w:p>
      <w:pPr>
        <w:spacing w:after="60"/>
      </w:pPr>
      <w:r>
        <w:rPr>
          <w:b/>
          <w:i w:val="0"/>
          <w:sz w:val="19"/>
        </w:rPr>
        <w:t>Read against the clinical question</w:t>
      </w:r>
    </w:p>
    <w:p>
      <w:pPr>
        <w:pStyle w:val="ListBullet"/>
        <w:spacing w:after="40"/>
      </w:pPr>
      <w:r>
        <w:rPr>
          <w:sz w:val="19"/>
        </w:rPr>
        <w:t>Leads with 112, which is right, and names what 112 is, which is the strongest sentence in the set.</w:t>
      </w:r>
    </w:p>
    <w:p>
      <w:pPr>
        <w:pStyle w:val="ListBullet"/>
        <w:spacing w:after="40"/>
      </w:pPr>
      <w:r>
        <w:rPr>
          <w:sz w:val="19"/>
        </w:rPr>
        <w:t>“put it on speaker if you can” assumes they can hold a phone and are alone. Someone with a hand injury, or in a house with others, reads past it.</w:t>
      </w:r>
    </w:p>
    <w:p>
      <w:pPr>
        <w:pStyle w:val="ListBullet"/>
        <w:spacing w:after="40"/>
      </w:pPr>
      <w:r>
        <w:rPr>
          <w:sz w:val="19"/>
        </w:rPr>
        <w:t>No first aid, no dosing, no diagnosis — correctly withheld. But nothing tells them to unlock the door or how to be found, which is what a responder needs.</w:t>
      </w:r>
    </w:p>
    <w:p>
      <w:pPr>
        <w:pStyle w:val="ListBullet"/>
        <w:spacing w:after="40"/>
      </w:pPr>
      <w:r>
        <w:rPr>
          <w:sz w:val="19"/>
        </w:rPr>
        <w:t>“I'll stay with you while you do” is a commitment the app cannot keep if the call succeeds and they leave the screen.</w:t>
      </w:r>
    </w:p>
    <w:p>
      <w:pPr>
        <w:spacing w:after="40"/>
      </w:pPr>
      <w:r>
        <w:rPr>
          <w:b/>
          <w:i w:val="0"/>
          <w:sz w:val="19"/>
        </w:rPr>
        <w:t>Recommendation</w:t>
      </w:r>
    </w:p>
    <w:p>
      <w:pPr>
        <w:spacing w:after="200"/>
      </w:pPr>
      <w:r>
        <w:rPr>
          <w:sz w:val="19"/>
        </w:rPr>
        <w:t>Approve as written, with one addition: tell them to stay where they can be reached and to unlock the door if they can. Both are non-clinical, non-diagnostic, and they change whether an ambulance can reach the person.</w:t>
      </w:r>
    </w:p>
    <w:p>
      <w:pPr>
        <w:pBdr>
          <w:bottom w:val="single" w:sz="6" w:space="1" w:color="999999"/>
        </w:pBdr>
        <w:spacing w:before="40" w:after="120"/>
      </w:pPr>
    </w:p>
    <w:p>
      <w:pPr>
        <w:pStyle w:val="Heading2"/>
      </w:pPr>
      <w:r>
        <w:rPr>
          <w:rFonts w:ascii="Calibri" w:hAnsi="Calibri"/>
          <w:color w:val="1A1A1A"/>
        </w:rPr>
        <w:t>3.2  MEDICAL_EMERGENCY_CRISIS_RESPONSE</w:t>
      </w:r>
    </w:p>
    <w:p>
      <w:pPr>
        <w:spacing w:after="160"/>
      </w:pPr>
      <w:r>
        <w:rPr>
          <w:b w:val="0"/>
          <w:i/>
          <w:sz w:val="19"/>
        </w:rPr>
        <w:t>Served when a message is both a physical emergency and A1 returned S4 / crisis language. 112 leads; helplines follow.</w:t>
      </w:r>
    </w:p>
    <w:p>
      <w:pPr>
        <w:spacing w:before="80" w:after="160"/>
        <w:ind w:left="397"/>
      </w:pPr>
      <w:r>
        <w:rPr>
          <w:rFonts w:ascii="Cambria" w:hAnsi="Cambria"/>
          <w:color w:val="111111"/>
          <w:sz w:val="22"/>
        </w:rPr>
        <w:t>Please call 112 for emergency medical help right now — that is the ambulance and emergency number in India, and they can send help to you. I can also hear that there is more than the physical side to this, and I don't want you to carry that alone: once you've called, please reach one of these: Tele-MANAS: 14416 (24×7) Vandrevala Foundation: +91 9999666555 Sneha, Chennai: 044-24640050 iCall (TISS): 9152987821 — Mon–Sat, 8 am–9 pm. I'm here, and I'll stay with you.</w:t>
      </w:r>
    </w:p>
    <w:p>
      <w:pPr>
        <w:spacing w:after="60"/>
      </w:pPr>
      <w:r>
        <w:rPr>
          <w:b/>
          <w:i w:val="0"/>
          <w:sz w:val="19"/>
        </w:rPr>
        <w:t>Read against the clinical question</w:t>
      </w:r>
    </w:p>
    <w:p>
      <w:pPr>
        <w:pStyle w:val="ListBullet"/>
        <w:spacing w:after="40"/>
      </w:pPr>
      <w:r>
        <w:rPr>
          <w:sz w:val="19"/>
        </w:rPr>
        <w:t>112 leads and the helplines follow only after “once you've called” — correct sequencing for an overdose.</w:t>
      </w:r>
    </w:p>
    <w:p>
      <w:pPr>
        <w:pStyle w:val="ListBullet"/>
        <w:spacing w:after="40"/>
      </w:pPr>
      <w:r>
        <w:rPr>
          <w:sz w:val="19"/>
        </w:rPr>
        <w:t>Tells the person there is “more than the physical side” — an interpretation, offered to someone who may not have disclosed anything beyond a physical symptom.</w:t>
      </w:r>
    </w:p>
    <w:p>
      <w:pPr>
        <w:pStyle w:val="ListBullet"/>
        <w:spacing w:after="40"/>
      </w:pPr>
      <w:r>
        <w:rPr>
          <w:sz w:val="19"/>
        </w:rPr>
        <w:t>The number block runs together on one line (see §5): five services with no separation.</w:t>
      </w:r>
    </w:p>
    <w:p>
      <w:pPr>
        <w:spacing w:after="40"/>
      </w:pPr>
      <w:r>
        <w:rPr>
          <w:b/>
          <w:i w:val="0"/>
          <w:sz w:val="19"/>
        </w:rPr>
        <w:t>Recommendation</w:t>
      </w:r>
    </w:p>
    <w:p>
      <w:pPr>
        <w:spacing w:after="200"/>
      </w:pPr>
      <w:r>
        <w:rPr>
          <w:sz w:val="19"/>
        </w:rPr>
        <w:t>Approve, but delete “I can also hear that there is more than the physical side to this”. The card does not need to name the crisis to serve it; leading with an interpretation can land as being second-guessed at the worst moment.</w:t>
      </w:r>
    </w:p>
    <w:p>
      <w:pPr>
        <w:pBdr>
          <w:bottom w:val="single" w:sz="6" w:space="1" w:color="999999"/>
        </w:pBdr>
        <w:spacing w:before="40" w:after="120"/>
      </w:pPr>
    </w:p>
    <w:p>
      <w:pPr>
        <w:pStyle w:val="Heading2"/>
      </w:pPr>
      <w:r>
        <w:rPr>
          <w:rFonts w:ascii="Calibri" w:hAnsi="Calibri"/>
          <w:color w:val="1A1A1A"/>
        </w:rPr>
        <w:t>3.3  A9_PRE_BLOCKED_RESPONSE</w:t>
      </w:r>
    </w:p>
    <w:p>
      <w:pPr>
        <w:spacing w:after="160"/>
      </w:pPr>
      <w:r>
        <w:rPr>
          <w:b w:val="0"/>
          <w:i/>
          <w:sz w:val="19"/>
        </w:rPr>
        <w:t>A governance layer rejected the message and A1 found no crisis-level risk. The user still gets a real, persisted reply — never silence.</w:t>
      </w:r>
    </w:p>
    <w:p>
      <w:pPr>
        <w:spacing w:before="80" w:after="160"/>
        <w:ind w:left="397"/>
      </w:pPr>
      <w:r>
        <w:rPr>
          <w:rFonts w:ascii="Cambria" w:hAnsi="Cambria"/>
          <w:color w:val="111111"/>
          <w:sz w:val="22"/>
        </w:rPr>
        <w:t>I'm still here with you. I can't go down that road with you, but I don't want to lose what we were talking about either — tell me what's on your mind, in your own words.</w:t>
      </w:r>
    </w:p>
    <w:p>
      <w:pPr>
        <w:spacing w:after="60"/>
      </w:pPr>
      <w:r>
        <w:rPr>
          <w:b/>
          <w:i w:val="0"/>
          <w:sz w:val="19"/>
        </w:rPr>
        <w:t>Read against the clinical question</w:t>
      </w:r>
    </w:p>
    <w:p>
      <w:pPr>
        <w:pStyle w:val="ListBullet"/>
        <w:spacing w:after="40"/>
      </w:pPr>
      <w:r>
        <w:rPr>
          <w:sz w:val="19"/>
        </w:rPr>
        <w:t>“I can't go down that road with you” is a refusal aimed at the person, not the request. In a therapeutic register this reads as withdrawal of the therapist.</w:t>
      </w:r>
    </w:p>
    <w:p>
      <w:pPr>
        <w:pStyle w:val="ListBullet"/>
        <w:spacing w:after="40"/>
      </w:pPr>
      <w:r>
        <w:rPr>
          <w:sz w:val="19"/>
        </w:rPr>
        <w:t>“tell me what's on your mind, in your own words” invites them to make the same request again — which will be blocked again. That is a loop with no exit named.</w:t>
      </w:r>
    </w:p>
    <w:p>
      <w:pPr>
        <w:pStyle w:val="ListBullet"/>
        <w:spacing w:after="40"/>
      </w:pPr>
      <w:r>
        <w:rPr>
          <w:sz w:val="19"/>
        </w:rPr>
        <w:t>Nothing tells them what to do instead. The contract forbids explaining the machinery, but it does not forbid offering a next step.</w:t>
      </w:r>
    </w:p>
    <w:p>
      <w:pPr>
        <w:spacing w:after="40"/>
      </w:pPr>
      <w:r>
        <w:rPr>
          <w:b/>
          <w:i w:val="0"/>
          <w:sz w:val="19"/>
        </w:rPr>
        <w:t>Recommendation</w:t>
      </w:r>
    </w:p>
    <w:p>
      <w:pPr>
        <w:spacing w:after="200"/>
      </w:pPr>
      <w:r>
        <w:rPr>
          <w:sz w:val="19"/>
        </w:rPr>
        <w:t>Recommend rework rather than approve. Keep thread-holding, drop the personalised refusal, and close the loop with a direction: what they can say, or who they can say it to. This is the highest-volume path of the ten.</w:t>
      </w:r>
    </w:p>
    <w:p>
      <w:pPr>
        <w:pBdr>
          <w:bottom w:val="single" w:sz="6" w:space="1" w:color="999999"/>
        </w:pBdr>
        <w:spacing w:before="40" w:after="120"/>
      </w:pPr>
    </w:p>
    <w:p>
      <w:pPr>
        <w:pStyle w:val="Heading2"/>
      </w:pPr>
      <w:r>
        <w:rPr>
          <w:rFonts w:ascii="Calibri" w:hAnsi="Calibri"/>
          <w:color w:val="1A1A1A"/>
        </w:rPr>
        <w:t>3.4  A9_POST_DEGRADED_RESPONSE</w:t>
      </w:r>
    </w:p>
    <w:p>
      <w:pPr>
        <w:spacing w:after="160"/>
      </w:pPr>
      <w:r>
        <w:rPr>
          <w:b w:val="0"/>
          <w:i/>
          <w:sz w:val="19"/>
        </w:rPr>
        <w:t>The reviewer that normally screens the drafted reply is unavailable, and risk is not elevated. The user reads this instead of a reply.</w:t>
      </w:r>
    </w:p>
    <w:p>
      <w:pPr>
        <w:spacing w:before="80" w:after="160"/>
        <w:ind w:left="397"/>
      </w:pPr>
      <w:r>
        <w:rPr>
          <w:rFonts w:ascii="Cambria" w:hAnsi="Cambria"/>
          <w:color w:val="111111"/>
          <w:sz w:val="22"/>
        </w:rPr>
        <w:t>I'm here with you. I lost my footing for a moment there — I'm still listening, whenever you're ready.</w:t>
      </w:r>
    </w:p>
    <w:p>
      <w:pPr>
        <w:spacing w:after="60"/>
      </w:pPr>
      <w:r>
        <w:rPr>
          <w:b/>
          <w:i w:val="0"/>
          <w:sz w:val="19"/>
        </w:rPr>
        <w:t>Read against the clinical question</w:t>
      </w:r>
    </w:p>
    <w:p>
      <w:pPr>
        <w:pStyle w:val="ListBullet"/>
        <w:spacing w:after="40"/>
      </w:pPr>
      <w:r>
        <w:rPr>
          <w:sz w:val="19"/>
        </w:rPr>
        <w:t>“I lost my footing for a moment there” is a metaphor for a server error. A distressed person may read it as the app being upset.</w:t>
      </w:r>
    </w:p>
    <w:p>
      <w:pPr>
        <w:pStyle w:val="ListBullet"/>
        <w:spacing w:after="40"/>
      </w:pPr>
      <w:r>
        <w:rPr>
          <w:sz w:val="19"/>
        </w:rPr>
        <w:t>Holds the thread well and asks for nothing — the two things this path must do.</w:t>
      </w:r>
    </w:p>
    <w:p>
      <w:pPr>
        <w:spacing w:after="40"/>
      </w:pPr>
      <w:r>
        <w:rPr>
          <w:b/>
          <w:i w:val="0"/>
          <w:sz w:val="19"/>
        </w:rPr>
        <w:t>Recommendation</w:t>
      </w:r>
    </w:p>
    <w:p>
      <w:pPr>
        <w:spacing w:after="200"/>
      </w:pPr>
      <w:r>
        <w:rPr>
          <w:sz w:val="19"/>
        </w:rPr>
        <w:t>Approve with “I lost my footing for a moment there” replaced by something literal and small. It is the only line in the set that trades clarity for tone.</w:t>
      </w:r>
    </w:p>
    <w:p>
      <w:pPr>
        <w:pBdr>
          <w:bottom w:val="single" w:sz="6" w:space="1" w:color="999999"/>
        </w:pBdr>
        <w:spacing w:before="40" w:after="120"/>
      </w:pPr>
    </w:p>
    <w:p>
      <w:pPr>
        <w:pStyle w:val="Heading2"/>
      </w:pPr>
      <w:r>
        <w:rPr>
          <w:rFonts w:ascii="Calibri" w:hAnsi="Calibri"/>
          <w:color w:val="1A1A1A"/>
        </w:rPr>
        <w:t>3.5  A9_POST_S2_FALLBACK</w:t>
      </w:r>
    </w:p>
    <w:p>
      <w:pPr>
        <w:spacing w:after="160"/>
      </w:pPr>
      <w:r>
        <w:rPr>
          <w:b w:val="0"/>
          <w:i/>
          <w:sz w:val="19"/>
        </w:rPr>
        <w:t>The reviewer is unavailable at elevated risk (S2). Fail-closed: asks the least of the user.</w:t>
      </w:r>
    </w:p>
    <w:p>
      <w:pPr>
        <w:spacing w:before="80" w:after="160"/>
        <w:ind w:left="397"/>
      </w:pPr>
      <w:r>
        <w:rPr>
          <w:rFonts w:ascii="Cambria" w:hAnsi="Cambria"/>
          <w:color w:val="111111"/>
          <w:sz w:val="22"/>
        </w:rPr>
        <w:t>I'm right here with you, and I'm not going anywhere. Take this at your own pace — I'm listening.</w:t>
      </w:r>
    </w:p>
    <w:p>
      <w:pPr>
        <w:spacing w:after="60"/>
      </w:pPr>
      <w:r>
        <w:rPr>
          <w:b/>
          <w:i w:val="0"/>
          <w:sz w:val="19"/>
        </w:rPr>
        <w:t>Read against the clinical question</w:t>
      </w:r>
    </w:p>
    <w:p>
      <w:pPr>
        <w:pStyle w:val="ListBullet"/>
        <w:spacing w:after="40"/>
      </w:pPr>
      <w:r>
        <w:rPr>
          <w:sz w:val="19"/>
        </w:rPr>
        <w:t>Contains “I'm not going anywhere” — the exact phrase you struck from the S3 reply on 31 Oct, for the reason that this app must not read as a companion.</w:t>
      </w:r>
    </w:p>
    <w:p>
      <w:pPr>
        <w:pStyle w:val="ListBullet"/>
        <w:spacing w:after="40"/>
      </w:pPr>
      <w:r>
        <w:rPr>
          <w:sz w:val="19"/>
        </w:rPr>
        <w:t>“Take this at your own pace” is fine; there is no helpline here, at S2, on a path where the reply could not be screened.</w:t>
      </w:r>
    </w:p>
    <w:p>
      <w:pPr>
        <w:spacing w:after="40"/>
      </w:pPr>
      <w:r>
        <w:rPr>
          <w:b/>
          <w:i w:val="0"/>
          <w:sz w:val="19"/>
        </w:rPr>
        <w:t>Recommendation</w:t>
      </w:r>
    </w:p>
    <w:p>
      <w:pPr>
        <w:spacing w:after="200"/>
      </w:pPr>
      <w:r>
        <w:rPr>
          <w:sz w:val="19"/>
        </w:rPr>
        <w:t>Needs your ruling on the struck phrase, and a decision on whether a fail-closed path at elevated risk should name the helplines. I recommend: drop the phrase, add the number block. An unscreened reply at S2 with no number is the weakest string in the set.</w:t>
      </w:r>
    </w:p>
    <w:p>
      <w:pPr>
        <w:pBdr>
          <w:bottom w:val="single" w:sz="6" w:space="1" w:color="999999"/>
        </w:pBdr>
        <w:spacing w:before="40" w:after="120"/>
      </w:pPr>
    </w:p>
    <w:p>
      <w:pPr>
        <w:pStyle w:val="Heading2"/>
      </w:pPr>
      <w:r>
        <w:rPr>
          <w:rFonts w:ascii="Calibri" w:hAnsi="Calibri"/>
          <w:color w:val="1A1A1A"/>
        </w:rPr>
        <w:t>3.6  A2_DEGRADED_RESPONSE</w:t>
      </w:r>
    </w:p>
    <w:p>
      <w:pPr>
        <w:spacing w:after="160"/>
      </w:pPr>
      <w:r>
        <w:rPr>
          <w:b w:val="0"/>
          <w:i/>
          <w:sz w:val="19"/>
        </w:rPr>
        <w:t>The reply model timed out or errored. The turn never reached the model at all.</w:t>
      </w:r>
    </w:p>
    <w:p>
      <w:pPr>
        <w:spacing w:before="80" w:after="160"/>
        <w:ind w:left="397"/>
      </w:pPr>
      <w:r>
        <w:rPr>
          <w:rFonts w:ascii="Cambria" w:hAnsi="Cambria"/>
          <w:color w:val="111111"/>
          <w:sz w:val="22"/>
        </w:rPr>
        <w:t>I'm here, and I'm listening. Something glitched on my end just now — say that again whenever you're ready.</w:t>
      </w:r>
    </w:p>
    <w:p>
      <w:pPr>
        <w:spacing w:after="60"/>
      </w:pPr>
      <w:r>
        <w:rPr>
          <w:b/>
          <w:i w:val="0"/>
          <w:sz w:val="19"/>
        </w:rPr>
        <w:t>Read against the clinical question</w:t>
      </w:r>
    </w:p>
    <w:p>
      <w:pPr>
        <w:pStyle w:val="ListBullet"/>
        <w:spacing w:after="40"/>
      </w:pPr>
      <w:r>
        <w:rPr>
          <w:sz w:val="19"/>
        </w:rPr>
        <w:t>“Something glitched on my end just now” is machinery talk, which this file's own contract forbids. It is mild, and the alternative (“I can't answer properly”) is worse.</w:t>
      </w:r>
    </w:p>
    <w:p>
      <w:pPr>
        <w:pStyle w:val="ListBullet"/>
        <w:spacing w:after="40"/>
      </w:pPr>
      <w:r>
        <w:rPr>
          <w:sz w:val="19"/>
        </w:rPr>
        <w:t>No helpline. This is the path a user lands on when the app is failing them, which is precisely when a number matters.</w:t>
      </w:r>
    </w:p>
    <w:p>
      <w:pPr>
        <w:spacing w:after="40"/>
      </w:pPr>
      <w:r>
        <w:rPr>
          <w:b/>
          <w:i w:val="0"/>
          <w:sz w:val="19"/>
        </w:rPr>
        <w:t>Recommendation</w:t>
      </w:r>
    </w:p>
    <w:p>
      <w:pPr>
        <w:spacing w:after="200"/>
      </w:pPr>
      <w:r>
        <w:rPr>
          <w:sz w:val="19"/>
        </w:rPr>
        <w:t>Approve the shape; add the number block. Every other failure path in the file names the helplines and this one does not — that inconsistency will outlive any review.</w:t>
      </w:r>
    </w:p>
    <w:p>
      <w:pPr>
        <w:pBdr>
          <w:bottom w:val="single" w:sz="6" w:space="1" w:color="999999"/>
        </w:pBdr>
        <w:spacing w:before="40" w:after="120"/>
      </w:pPr>
    </w:p>
    <w:p>
      <w:pPr>
        <w:pStyle w:val="Heading2"/>
      </w:pPr>
      <w:r>
        <w:rPr>
          <w:rFonts w:ascii="Calibri" w:hAnsi="Calibri"/>
          <w:color w:val="1A1A1A"/>
        </w:rPr>
        <w:t>3.7  BUDGET_PAUSED_RESPONSE</w:t>
      </w:r>
    </w:p>
    <w:p>
      <w:pPr>
        <w:spacing w:after="160"/>
      </w:pPr>
      <w:r>
        <w:rPr>
          <w:b w:val="0"/>
          <w:i/>
          <w:sz w:val="19"/>
        </w:rPr>
        <w:t>The session or daily spending cap is reached mid-conversation. The user is told the app is pausing.</w:t>
      </w:r>
    </w:p>
    <w:p>
      <w:pPr>
        <w:spacing w:before="80" w:after="160"/>
        <w:ind w:left="397"/>
      </w:pPr>
      <w:r>
        <w:rPr>
          <w:rFonts w:ascii="Cambria" w:hAnsi="Cambria"/>
          <w:color w:val="111111"/>
          <w:sz w:val="22"/>
        </w:rPr>
        <w:t>I'm still here with you. We've reached the end of what I can do in this conversation for now, so I have to pause here — it's not something you said, and it isn't about how you're doing. If things feel like too much in the meantime, please reach one of these: Tele-MANAS: 14416 (24×7) Vandrevala Foundation: +91 9999666555 Sneha, Chennai: 044-24640050 iCall (TISS): 9152987821 — Mon–Sat, 8 am–9 pm. I'll be ready to pick this up with you again soon.</w:t>
      </w:r>
    </w:p>
    <w:p>
      <w:pPr>
        <w:spacing w:after="60"/>
      </w:pPr>
      <w:r>
        <w:rPr>
          <w:b/>
          <w:i w:val="0"/>
          <w:sz w:val="19"/>
        </w:rPr>
        <w:t>Read against the clinical question</w:t>
      </w:r>
    </w:p>
    <w:p>
      <w:pPr>
        <w:pStyle w:val="ListBullet"/>
        <w:spacing w:after="40"/>
      </w:pPr>
      <w:r>
        <w:rPr>
          <w:sz w:val="19"/>
        </w:rPr>
        <w:t>“I've reached the end of what I can do” is the sentence a person in distress remembers. It is honest and it is also an abandonment, delivered by a product they were not told had a ceiling.</w:t>
      </w:r>
    </w:p>
    <w:p>
      <w:pPr>
        <w:pStyle w:val="ListBullet"/>
        <w:spacing w:after="40"/>
      </w:pPr>
      <w:r>
        <w:rPr>
          <w:sz w:val="19"/>
        </w:rPr>
        <w:t>“it's not something you said, and it isn't about how you're doing” — good instinct, defensively written; two negations in a row read as a disclaimer.</w:t>
      </w:r>
    </w:p>
    <w:p>
      <w:pPr>
        <w:pStyle w:val="ListBullet"/>
        <w:spacing w:after="40"/>
      </w:pPr>
      <w:r>
        <w:rPr>
          <w:sz w:val="19"/>
        </w:rPr>
        <w:t>Carries the number block, which is the right call.</w:t>
      </w:r>
    </w:p>
    <w:p>
      <w:pPr>
        <w:spacing w:after="40"/>
      </w:pPr>
      <w:r>
        <w:rPr>
          <w:b/>
          <w:i w:val="0"/>
          <w:sz w:val="19"/>
        </w:rPr>
        <w:t>Recommendation</w:t>
      </w:r>
    </w:p>
    <w:p>
      <w:pPr>
        <w:spacing w:after="200"/>
      </w:pPr>
      <w:r>
        <w:rPr>
          <w:sz w:val="19"/>
        </w:rPr>
        <w:t>Approve in substance. I would cut one of the two negations and keep the numbers. Worth noting: this string exists because of a cost control, and it is now clinical copy.</w:t>
      </w:r>
    </w:p>
    <w:p>
      <w:pPr>
        <w:pBdr>
          <w:bottom w:val="single" w:sz="6" w:space="1" w:color="999999"/>
        </w:pBdr>
        <w:spacing w:before="40" w:after="120"/>
      </w:pPr>
    </w:p>
    <w:p>
      <w:pPr>
        <w:pStyle w:val="Heading2"/>
      </w:pPr>
      <w:r>
        <w:rPr>
          <w:rFonts w:ascii="Calibri" w:hAnsi="Calibri"/>
          <w:color w:val="1A1A1A"/>
        </w:rPr>
        <w:t>3.8  SAFETY_UNAVAILABLE_RESPONSE</w:t>
      </w:r>
    </w:p>
    <w:p>
      <w:pPr>
        <w:spacing w:after="160"/>
      </w:pPr>
      <w:r>
        <w:rPr>
          <w:b w:val="0"/>
          <w:i/>
          <w:sz w:val="19"/>
        </w:rPr>
        <w:t>The classifier could not run and the phrase floor found no crisis language. The turn's risk was never assessed — no model prose is served.</w:t>
      </w:r>
    </w:p>
    <w:p>
      <w:pPr>
        <w:spacing w:before="80" w:after="160"/>
        <w:ind w:left="397"/>
      </w:pPr>
      <w:r>
        <w:rPr>
          <w:rFonts w:ascii="Cambria" w:hAnsi="Cambria"/>
          <w:color w:val="111111"/>
          <w:sz w:val="22"/>
        </w:rPr>
        <w:t>I'm still here with you. I can't check in on how you're doing the way I usually do right now, and I'd rather say that plainly than answer you without knowing. If things are feeling like too much in the meantime, please reach one of these: Tele-MANAS: 14416 (24×7) Vandrevala Foundation: +91 9999666555 Sneha, Chennai: 044-24640050 iCall (TISS): 9152987821 — Mon–Sat, 8 am–9 pm. I'm not going anywhere.</w:t>
      </w:r>
    </w:p>
    <w:p>
      <w:pPr>
        <w:spacing w:after="60"/>
      </w:pPr>
      <w:r>
        <w:rPr>
          <w:b/>
          <w:i w:val="0"/>
          <w:sz w:val="19"/>
        </w:rPr>
        <w:t>Read against the clinical question</w:t>
      </w:r>
    </w:p>
    <w:p>
      <w:pPr>
        <w:pStyle w:val="ListBullet"/>
        <w:spacing w:after="40"/>
      </w:pPr>
      <w:r>
        <w:rPr>
          <w:sz w:val="19"/>
        </w:rPr>
        <w:t>“I can't check in on how you're doing the way I usually do right now” is the only string in the set that admits a safety function is down. For a person who has told this app something hard before, that is a real disclosure.</w:t>
      </w:r>
    </w:p>
    <w:p>
      <w:pPr>
        <w:pStyle w:val="ListBullet"/>
        <w:spacing w:after="40"/>
      </w:pPr>
      <w:r>
        <w:rPr>
          <w:sz w:val="19"/>
        </w:rPr>
        <w:t>Carries the number block. Correct.</w:t>
      </w:r>
    </w:p>
    <w:p>
      <w:pPr>
        <w:pStyle w:val="ListBullet"/>
        <w:spacing w:after="40"/>
      </w:pPr>
      <w:r>
        <w:rPr>
          <w:sz w:val="19"/>
        </w:rPr>
        <w:t>Ends with “I'm not going anywhere” — the struck phrase, second occurrence.</w:t>
      </w:r>
    </w:p>
    <w:p>
      <w:pPr>
        <w:spacing w:after="40"/>
      </w:pPr>
      <w:r>
        <w:rPr>
          <w:b/>
          <w:i w:val="0"/>
          <w:sz w:val="19"/>
        </w:rPr>
        <w:t>Recommendation</w:t>
      </w:r>
    </w:p>
    <w:p>
      <w:pPr>
        <w:spacing w:after="200"/>
      </w:pPr>
      <w:r>
        <w:rPr>
          <w:sz w:val="19"/>
        </w:rPr>
        <w:t>Approve the substance; drop the closing struck phrase. The admission of the safety gap should stay even though it is uncomfortable — the alternative is answering an unassessed turn as if it were assessed.</w:t>
      </w:r>
    </w:p>
    <w:p>
      <w:pPr>
        <w:pBdr>
          <w:bottom w:val="single" w:sz="6" w:space="1" w:color="999999"/>
        </w:pBdr>
        <w:spacing w:before="40" w:after="120"/>
      </w:pPr>
    </w:p>
    <w:p>
      <w:pPr>
        <w:pStyle w:val="Heading2"/>
      </w:pPr>
      <w:r>
        <w:rPr>
          <w:rFonts w:ascii="Calibri" w:hAnsi="Calibri"/>
          <w:color w:val="1A1A1A"/>
        </w:rPr>
        <w:t>3.9  MODEL_UNAVAILABLE_RESPONSE</w:t>
      </w:r>
    </w:p>
    <w:p>
      <w:pPr>
        <w:spacing w:after="160"/>
      </w:pPr>
      <w:r>
        <w:rPr>
          <w:b w:val="0"/>
          <w:i/>
          <w:sz w:val="19"/>
        </w:rPr>
        <w:t>A1 classified the turn fine but the model that writes the reply is unreachable. The safety decision stands; only the prose is missing.</w:t>
      </w:r>
    </w:p>
    <w:p>
      <w:pPr>
        <w:spacing w:before="80" w:after="160"/>
        <w:ind w:left="397"/>
      </w:pPr>
      <w:r>
        <w:rPr>
          <w:rFonts w:ascii="Cambria" w:hAnsi="Cambria"/>
          <w:color w:val="111111"/>
          <w:sz w:val="22"/>
        </w:rPr>
        <w:t>I'm here with you, and I'm listening. Something on my side isn't working properly just now, so I don't want to answer you with words I can't stand behind. If it's feeling heavy in the meantime, please reach one of these: Tele-MANAS: 14416 (24×7) Vandrevala Foundation: +91 9999666555 Sneha, Chennai: 044-24640050 iCall (TISS): 9152987821 — Mon–Sat, 8 am–9 pm. Say it again whenever you're ready — I'll still be here.</w:t>
      </w:r>
    </w:p>
    <w:p>
      <w:pPr>
        <w:spacing w:after="60"/>
      </w:pPr>
      <w:r>
        <w:rPr>
          <w:b/>
          <w:i w:val="0"/>
          <w:sz w:val="19"/>
        </w:rPr>
        <w:t>Read against the clinical question</w:t>
      </w:r>
    </w:p>
    <w:p>
      <w:pPr>
        <w:pStyle w:val="ListBullet"/>
        <w:spacing w:after="40"/>
      </w:pPr>
      <w:r>
        <w:rPr>
          <w:sz w:val="19"/>
        </w:rPr>
        <w:t>“I don't want to answer you with words I can't stand behind” is the most credible line in the whole set.</w:t>
      </w:r>
    </w:p>
    <w:p>
      <w:pPr>
        <w:pStyle w:val="ListBullet"/>
        <w:spacing w:after="40"/>
      </w:pPr>
      <w:r>
        <w:rPr>
          <w:sz w:val="19"/>
        </w:rPr>
        <w:t>Carries the number block. Correct.</w:t>
      </w:r>
    </w:p>
    <w:p>
      <w:pPr>
        <w:pStyle w:val="ListBullet"/>
        <w:spacing w:after="40"/>
      </w:pPr>
      <w:r>
        <w:rPr>
          <w:sz w:val="19"/>
        </w:rPr>
        <w:t>Does not say the safety assessment happened, which is right — saying it would expose the machinery.</w:t>
      </w:r>
    </w:p>
    <w:p>
      <w:pPr>
        <w:spacing w:after="40"/>
      </w:pPr>
      <w:r>
        <w:rPr>
          <w:b/>
          <w:i w:val="0"/>
          <w:sz w:val="19"/>
        </w:rPr>
        <w:t>Recommendation</w:t>
      </w:r>
    </w:p>
    <w:p>
      <w:pPr>
        <w:spacing w:after="200"/>
      </w:pPr>
      <w:r>
        <w:rPr>
          <w:sz w:val="19"/>
        </w:rPr>
        <w:t>Approve as written. This is the standard the other eight should be read against.</w:t>
      </w:r>
    </w:p>
    <w:p>
      <w:pPr>
        <w:pBdr>
          <w:bottom w:val="single" w:sz="6" w:space="1" w:color="999999"/>
        </w:pBdr>
        <w:spacing w:before="40" w:after="120"/>
      </w:pPr>
    </w:p>
    <w:p>
      <w:pPr>
        <w:pStyle w:val="Heading2"/>
      </w:pPr>
      <w:r>
        <w:rPr>
          <w:rFonts w:ascii="Calibri" w:hAnsi="Calibri"/>
          <w:color w:val="1A1A1A"/>
        </w:rPr>
        <w:t>3.10  SAFE_FALLBACK</w:t>
      </w:r>
    </w:p>
    <w:p>
      <w:pPr>
        <w:spacing w:after="160"/>
      </w:pPr>
      <w:r>
        <w:rPr>
          <w:b w:val="0"/>
          <w:i/>
          <w:sz w:val="19"/>
        </w:rPr>
        <w:t>The generic canned reply (apps/api/src/lib/canned-response.ts). Still live in canned mode, and it is what collapses both model-failure paths into one string.</w:t>
      </w:r>
    </w:p>
    <w:p>
      <w:pPr>
        <w:spacing w:before="80" w:after="160"/>
        <w:ind w:left="397"/>
      </w:pPr>
      <w:r>
        <w:rPr>
          <w:rFonts w:ascii="Cambria" w:hAnsi="Cambria"/>
          <w:color w:val="111111"/>
          <w:sz w:val="22"/>
        </w:rPr>
        <w:t>I'm here to support you. Could you tell me more about how you're feeling?</w:t>
      </w:r>
    </w:p>
    <w:p>
      <w:pPr>
        <w:spacing w:after="60"/>
      </w:pPr>
      <w:r>
        <w:rPr>
          <w:b/>
          <w:i w:val="0"/>
          <w:sz w:val="19"/>
        </w:rPr>
        <w:t>Read against the clinical question</w:t>
      </w:r>
    </w:p>
    <w:p>
      <w:pPr>
        <w:pStyle w:val="ListBullet"/>
        <w:spacing w:after="40"/>
      </w:pPr>
      <w:r>
        <w:rPr>
          <w:sz w:val="19"/>
        </w:rPr>
        <w:t>“Could you tell me more about how you're feeling?” is the diagnostic invitation the block contract forbids, served to someone who may have just disclosed a crisis.</w:t>
      </w:r>
    </w:p>
    <w:p>
      <w:pPr>
        <w:pStyle w:val="ListBullet"/>
        <w:spacing w:after="40"/>
      </w:pPr>
      <w:r>
        <w:rPr>
          <w:sz w:val="19"/>
        </w:rPr>
        <w:t>It is identical for every user and every state — the exact defect E17-S1 §7 and E17-S2 logged, and the reason the eight other constants exist.</w:t>
      </w:r>
    </w:p>
    <w:p>
      <w:pPr>
        <w:pStyle w:val="ListBullet"/>
        <w:spacing w:after="40"/>
      </w:pPr>
      <w:r>
        <w:rPr>
          <w:sz w:val="19"/>
        </w:rPr>
        <w:t>No helpline, no thread-holding, no state.</w:t>
      </w:r>
    </w:p>
    <w:p>
      <w:pPr>
        <w:spacing w:after="40"/>
      </w:pPr>
      <w:r>
        <w:rPr>
          <w:b/>
          <w:i w:val="0"/>
          <w:sz w:val="19"/>
        </w:rPr>
        <w:t>Recommendation</w:t>
      </w:r>
    </w:p>
    <w:p>
      <w:pPr>
        <w:spacing w:after="200"/>
      </w:pPr>
      <w:r>
        <w:rPr>
          <w:sz w:val="19"/>
        </w:rPr>
        <w:t>Approve for deletion, or reduce it to the threading half. It is the only item here I would not ship in any form.</w:t>
      </w:r>
    </w:p>
    <w:p>
      <w:pPr>
        <w:pBdr>
          <w:bottom w:val="single" w:sz="6" w:space="1" w:color="999999"/>
        </w:pBdr>
        <w:spacing w:before="40" w:after="120"/>
      </w:pPr>
    </w:p>
    <w:p>
      <w:pPr>
        <w:pStyle w:val="Heading1"/>
      </w:pPr>
      <w:r>
        <w:rPr>
          <w:rFonts w:ascii="Calibri" w:hAnsi="Calibri"/>
          <w:color w:val="1A1A1A"/>
        </w:rPr>
        <w:t>4. The two app screens (CD-7)</w:t>
      </w:r>
    </w:p>
    <w:p>
      <w:pPr>
        <w:spacing w:after="120"/>
      </w:pPr>
      <w:r>
        <w:rPr>
          <w:b w:val="0"/>
          <w:i w:val="0"/>
        </w:rPr>
        <w:t>Both are the same five-card list and differ only in the header and footer. Read them as a screen, not as a list of numbers.</w:t>
      </w:r>
    </w:p>
    <w:p>
      <w:pPr>
        <w:pStyle w:val="Heading2"/>
      </w:pPr>
      <w:r>
        <w:rPr>
          <w:rFonts w:ascii="Calibri" w:hAnsi="Calibri"/>
          <w:color w:val="1A1A1A"/>
        </w:rPr>
        <w:t>4.1  Crisis screen — apps/mobile/lib/src/features/crisis/crisis_overlay.dart</w:t>
      </w:r>
    </w:p>
    <w:p>
      <w:pPr>
        <w:spacing w:after="160"/>
      </w:pPr>
      <w:r>
        <w:rPr>
          <w:b w:val="0"/>
          <w:i/>
          <w:sz w:val="19"/>
        </w:rPr>
        <w:t>Shown full-screen, undismissable except by the button at the foot. The five cards:</w:t>
      </w:r>
    </w:p>
    <w:p>
      <w:pPr>
        <w:spacing w:before="80" w:after="160"/>
        <w:ind w:left="397"/>
      </w:pPr>
      <w:r>
        <w:rPr>
          <w:rFonts w:ascii="Cambria" w:hAnsi="Cambria"/>
          <w:color w:val="111111"/>
          <w:sz w:val="22"/>
        </w:rPr>
        <w:t>Header:  You're not alone.</w:t>
        <w:br/>
      </w:r>
      <w:r>
        <w:rPr>
          <w:rFonts w:ascii="Cambria" w:hAnsi="Cambria"/>
          <w:color w:val="111111"/>
          <w:sz w:val="22"/>
        </w:rPr>
        <w:t xml:space="preserve">         Here are some people you can call right now.</w:t>
        <w:br/>
      </w:r>
      <w:r>
        <w:rPr>
          <w:rFonts w:ascii="Cambria" w:hAnsi="Cambria"/>
          <w:color w:val="111111"/>
          <w:sz w:val="22"/>
        </w:rPr>
        <w:br/>
      </w:r>
      <w:r>
        <w:rPr>
          <w:rFonts w:ascii="Cambria" w:hAnsi="Cambria"/>
          <w:color w:val="111111"/>
          <w:sz w:val="22"/>
        </w:rPr>
        <w:t>Card 1:  Tele-MANAS — Toll-free national helpline, 24×7. — 14416</w:t>
        <w:br/>
      </w:r>
      <w:r>
        <w:rPr>
          <w:rFonts w:ascii="Cambria" w:hAnsi="Cambria"/>
          <w:color w:val="111111"/>
          <w:sz w:val="22"/>
        </w:rPr>
        <w:t>Card 2:  Vandrevala Foundation — Crisis intervention and mental health support. — +91 9999666555</w:t>
        <w:br/>
      </w:r>
      <w:r>
        <w:rPr>
          <w:rFonts w:ascii="Cambria" w:hAnsi="Cambria"/>
          <w:color w:val="111111"/>
          <w:sz w:val="22"/>
        </w:rPr>
        <w:t>Card 3:  Sneha, Chennai — Emotional and mental health support. — 044-24640050</w:t>
        <w:br/>
      </w:r>
      <w:r>
        <w:rPr>
          <w:rFonts w:ascii="Cambria" w:hAnsi="Cambria"/>
          <w:color w:val="111111"/>
          <w:sz w:val="22"/>
        </w:rPr>
        <w:t>Card 4:  iCall (TISS) — Mon–Sat, 8 am–9 pm. Not 24×7. — 9152987821</w:t>
        <w:br/>
      </w:r>
      <w:r>
        <w:rPr>
          <w:rFonts w:ascii="Cambria" w:hAnsi="Cambria"/>
          <w:color w:val="111111"/>
          <w:sz w:val="22"/>
        </w:rPr>
        <w:t>Card 5:  Emergency Services — Ambulance, police and fire. — 112</w:t>
        <w:br/>
      </w:r>
      <w:r>
        <w:rPr>
          <w:rFonts w:ascii="Cambria" w:hAnsi="Cambria"/>
          <w:color w:val="111111"/>
          <w:sz w:val="22"/>
        </w:rPr>
        <w:br/>
      </w:r>
      <w:r>
        <w:rPr>
          <w:rFonts w:ascii="Cambria" w:hAnsi="Cambria"/>
          <w:color w:val="111111"/>
          <w:sz w:val="22"/>
        </w:rPr>
        <w:t>Footer:  Your next session with OKUVU will be here when you're ready.</w:t>
        <w:br/>
      </w:r>
      <w:r>
        <w:rPr>
          <w:rFonts w:ascii="Cambria" w:hAnsi="Cambria"/>
          <w:color w:val="111111"/>
          <w:sz w:val="22"/>
        </w:rPr>
        <w:t>Button:  I'm safe for now</w:t>
      </w:r>
    </w:p>
    <w:p>
      <w:pPr>
        <w:spacing w:after="60"/>
      </w:pPr>
      <w:r>
        <w:rPr>
          <w:b/>
          <w:i w:val="0"/>
          <w:sz w:val="19"/>
        </w:rPr>
        <w:t>Clinical reading</w:t>
      </w:r>
    </w:p>
    <w:p>
      <w:pPr>
        <w:pStyle w:val="ListBullet"/>
        <w:spacing w:after="40"/>
      </w:pPr>
      <w:r>
        <w:rPr>
          <w:sz w:val="19"/>
        </w:rPr>
        <w:t>“Your next session with OKUVU will be here when you're ready” promises a session. A user in crisis at 3 am with no appointment booked reads a scheduled return that does not exist. I recommend cutting the word “next” or the sentence.</w:t>
      </w:r>
    </w:p>
    <w:p>
      <w:pPr>
        <w:pStyle w:val="ListBullet"/>
        <w:spacing w:after="40"/>
      </w:pPr>
      <w:r>
        <w:rPr>
          <w:sz w:val="19"/>
        </w:rPr>
        <w:t>“I'm safe for now” is the only way out, and it requires the person to certify their own safety to a machine. That is a real clinical choice, and defensible — but it should be a choice rather than an accident of UI. If you want the exit to make no claim, “Close” or “Not right now” does the same job without asking for a self-assessment.</w:t>
      </w:r>
    </w:p>
    <w:p>
      <w:pPr>
        <w:pStyle w:val="ListBullet"/>
        <w:spacing w:after="40"/>
      </w:pPr>
      <w:r>
        <w:rPr>
          <w:sz w:val="19"/>
        </w:rPr>
        <w:t>Sneha has no hours on the card and iCall does. Two cards, two conventions, no cue to the reader why. You have signed 10 am–10 pm for Sneha; printing it removes the asymmetry.</w:t>
      </w:r>
    </w:p>
    <w:p>
      <w:pPr>
        <w:pStyle w:val="ListBullet"/>
        <w:spacing w:after="40"/>
      </w:pPr>
      <w:r>
        <w:rPr>
          <w:sz w:val="19"/>
        </w:rPr>
        <w:t>Vandrevala states no hours at all. Your instruction 8 says 24×7×365 on the operator's own authority — that line is the one that should carry them.</w:t>
      </w:r>
    </w:p>
    <w:p>
      <w:pPr>
        <w:pStyle w:val="ListBullet"/>
        <w:spacing w:after="40"/>
      </w:pPr>
      <w:r>
        <w:rPr>
          <w:sz w:val="19"/>
        </w:rPr>
        <w:t>“Not 24×7” on the iCall card is honest and it is the right instinct. It needs to survive the correction to 10 am–8 pm.</w:t>
      </w:r>
    </w:p>
    <w:p>
      <w:pPr>
        <w:pStyle w:val="ListBullet"/>
        <w:spacing w:after="40"/>
      </w:pPr>
      <w:r>
        <w:rPr>
          <w:sz w:val="19"/>
        </w:rPr>
        <w:t>Every card is a phone number. For a user who cannot make a voice call — a house with no privacy, a deaf user, a shared phone — the screen offers no second channel. Not a copy decision, but this is the screen where it matters.</w:t>
      </w:r>
    </w:p>
    <w:p>
      <w:pPr>
        <w:pStyle w:val="Heading2"/>
      </w:pPr>
      <w:r>
        <w:rPr>
          <w:rFonts w:ascii="Calibri" w:hAnsi="Calibri"/>
          <w:color w:val="1A1A1A"/>
        </w:rPr>
        <w:t>4.2  Age-gate screen — apps/mobile/lib/src/features/onboarding_welcome/age_blocked_screen.dart</w:t>
      </w:r>
    </w:p>
    <w:p>
      <w:pPr>
        <w:spacing w:after="160"/>
      </w:pPr>
      <w:r>
        <w:rPr>
          <w:b w:val="0"/>
          <w:i/>
          <w:sz w:val="19"/>
        </w:rPr>
        <w:t>A hard stop shown when a signup enters a date of birth under 18:</w:t>
      </w:r>
    </w:p>
    <w:p>
      <w:pPr>
        <w:spacing w:before="80" w:after="160"/>
        <w:ind w:left="397"/>
      </w:pPr>
      <w:r>
        <w:rPr>
          <w:rFonts w:ascii="Cambria" w:hAnsi="Cambria"/>
          <w:color w:val="111111"/>
          <w:sz w:val="22"/>
        </w:rPr>
        <w:t>Header:  OKUVU isn't available for under-18s yet</w:t>
        <w:br/>
      </w:r>
      <w:r>
        <w:rPr>
          <w:rFonts w:ascii="Cambria" w:hAnsi="Cambria"/>
          <w:color w:val="111111"/>
          <w:sz w:val="22"/>
        </w:rPr>
        <w:br/>
      </w:r>
      <w:r>
        <w:rPr>
          <w:rFonts w:ascii="Cambria" w:hAnsi="Cambria"/>
          <w:color w:val="111111"/>
          <w:sz w:val="22"/>
        </w:rPr>
        <w:t>Body:    We're not able to create an account for you right now. If you need to talk to someone today, here are people who can help.</w:t>
        <w:br/>
      </w:r>
      <w:r>
        <w:rPr>
          <w:rFonts w:ascii="Cambria" w:hAnsi="Cambria"/>
          <w:color w:val="111111"/>
          <w:sz w:val="22"/>
        </w:rPr>
        <w:br/>
      </w:r>
      <w:r>
        <w:rPr>
          <w:rFonts w:ascii="Cambria" w:hAnsi="Cambria"/>
          <w:color w:val="111111"/>
          <w:sz w:val="22"/>
        </w:rPr>
        <w:t>Cards:   the same five as 4.1, identical wording and numbers.</w:t>
      </w:r>
    </w:p>
    <w:p>
      <w:pPr>
        <w:spacing w:after="60"/>
      </w:pPr>
      <w:r>
        <w:rPr>
          <w:b/>
          <w:i w:val="0"/>
          <w:sz w:val="19"/>
        </w:rPr>
        <w:t>Clinical reading</w:t>
      </w:r>
    </w:p>
    <w:p>
      <w:pPr>
        <w:pStyle w:val="ListBullet"/>
        <w:spacing w:after="40"/>
      </w:pPr>
      <w:r>
        <w:rPr>
          <w:sz w:val="19"/>
        </w:rPr>
        <w:t>“yet” tells a 16-year-old in distress that help is coming later. It reads as a roadmap item to the one person who cannot wait for it. I recommend dropping the word.</w:t>
      </w:r>
    </w:p>
    <w:p>
      <w:pPr>
        <w:pStyle w:val="ListBullet"/>
        <w:spacing w:after="40"/>
      </w:pPr>
      <w:r>
        <w:rPr>
          <w:sz w:val="19"/>
        </w:rPr>
        <w:t>“We're not able to create an account for you right now” is accurate and administrative. It answers a question the young person did not ask.</w:t>
      </w:r>
    </w:p>
    <w:p>
      <w:pPr>
        <w:pStyle w:val="ListBullet"/>
        <w:spacing w:after="40"/>
      </w:pPr>
      <w:r>
        <w:rPr>
          <w:sz w:val="19"/>
        </w:rPr>
        <w:t>This is the only screen in the product that serves a minor, and the numbers are the same adult crisis list — no child-specific line. Tele-MANAS runs a child and adolescent tier; whether to name it here is yours.</w:t>
      </w:r>
    </w:p>
    <w:p>
      <w:pPr>
        <w:pStyle w:val="ListBullet"/>
        <w:spacing w:after="40"/>
      </w:pPr>
      <w:r>
        <w:rPr>
          <w:sz w:val="19"/>
        </w:rPr>
        <w:t>112 is on the card with no sentence explaining what it is, on a screen where the user is by definition a child.</w:t>
      </w:r>
    </w:p>
    <w:p>
      <w:pPr>
        <w:pStyle w:val="Heading2"/>
      </w:pPr>
      <w:r>
        <w:rPr>
          <w:rFonts w:ascii="Calibri" w:hAnsi="Calibri"/>
          <w:color w:val="1A1A1A"/>
        </w:rPr>
        <w:t>4.3  The age boundary and where it is enforced</w:t>
      </w:r>
    </w:p>
    <w:p>
      <w:pPr>
        <w:spacing w:after="120"/>
      </w:pPr>
      <w:r>
        <w:rPr>
          <w:b w:val="0"/>
          <w:i w:val="0"/>
        </w:rPr>
        <w:t>The line is 18, and it is decided in the app: the signup screen compares the entered date of birth with today and routes to this screen if the age is under 18. There is no server-side age field and no server-side check — I searched the API source for a date-of-birth or age comparison and found none.</w:t>
      </w:r>
    </w:p>
    <w:p>
      <w:pPr>
        <w:spacing w:after="120"/>
      </w:pPr>
      <w:r>
        <w:rPr>
          <w:b w:val="0"/>
          <w:i w:val="0"/>
        </w:rPr>
        <w:t>That means the block holds for anyone using the app normally, and does not hold for a modified or older client, or for a request made directly to the API. For a product that excludes under-18s as a matter of clinical policy, the policy is currently a presentation decision. The question for you is the boundary (is 18 right, and is a hard stop right for a 17-year-old in distress) — the enforcement gap is an engineering item and I have logged it as one.</w:t>
      </w:r>
    </w:p>
    <w:p>
      <w:pPr>
        <w:pBdr>
          <w:bottom w:val="single" w:sz="6" w:space="1" w:color="999999"/>
        </w:pBdr>
        <w:spacing w:before="40" w:after="120"/>
      </w:pPr>
    </w:p>
    <w:p>
      <w:pPr>
        <w:pStyle w:val="Heading1"/>
      </w:pPr>
      <w:r>
        <w:rPr>
          <w:rFonts w:ascii="Calibri" w:hAnsi="Calibri"/>
          <w:color w:val="1A1A1A"/>
        </w:rPr>
        <w:t>5. A defect that affects four of these items, and both screens</w:t>
      </w:r>
    </w:p>
    <w:p>
      <w:pPr>
        <w:spacing w:after="120"/>
      </w:pPr>
      <w:r>
        <w:rPr>
          <w:b w:val="0"/>
          <w:i w:val="0"/>
        </w:rPr>
        <w:t>All ten reply strings share one helpline constant. It currently reads:</w:t>
      </w:r>
    </w:p>
    <w:p>
      <w:pPr>
        <w:spacing w:before="80" w:after="160"/>
        <w:ind w:left="397"/>
      </w:pPr>
      <w:r>
        <w:rPr>
          <w:rFonts w:ascii="Cambria" w:hAnsi="Cambria"/>
          <w:color w:val="111111"/>
          <w:sz w:val="22"/>
        </w:rPr>
        <w:t>Tele-MANAS: 14416 (24×7) Vandrevala Foundation: +91 9999666555 Sneha, Chennai: 044-24640050 iCall (TISS): 9152987821 — Mon–Sat, 8 am–9 pm</w:t>
      </w:r>
    </w:p>
    <w:p>
      <w:pPr>
        <w:spacing w:after="120"/>
      </w:pPr>
      <w:r>
        <w:rPr>
          <w:b w:val="0"/>
          <w:i w:val="0"/>
        </w:rPr>
        <w:t>Three problems, and the first two are consequences of your later decisions rather than of the original draft:</w:t>
      </w:r>
    </w:p>
    <w:p>
      <w:pPr>
        <w:pStyle w:val="ListBullet"/>
        <w:spacing w:after="40"/>
      </w:pPr>
      <w:r>
        <w:rPr>
          <w:sz w:val="19"/>
        </w:rPr>
        <w:t>It is stale. It carries iCall at 8 am–9 pm, which you corrected to 10 am–8 pm today; it omits NIMHANS 080-46110007 and Emergency 112, which you instructed be kept; and it carries no hours for Sneha or Vandrevala, both of which you have now fixed.</w:t>
      </w:r>
    </w:p>
    <w:p>
      <w:pPr>
        <w:pStyle w:val="ListBullet"/>
        <w:spacing w:after="40"/>
      </w:pPr>
      <w:r>
        <w:rPr>
          <w:sz w:val="19"/>
        </w:rPr>
        <w:t>It is one line. Nothing in these four strings separates the services, so on a phone five helplines render as a single run-on paragraph — “...14416 (24×7) Vandrevala Foundation: +91 9999666555 Sneha, Chennai:…”. In the S3 and S4 cards the same constant is used, so the defect is already shipping there.</w:t>
      </w:r>
    </w:p>
    <w:p>
      <w:pPr>
        <w:pStyle w:val="ListBullet"/>
        <w:spacing w:after="40"/>
      </w:pPr>
      <w:r>
        <w:rPr>
          <w:sz w:val="19"/>
        </w:rPr>
        <w:t>It is a single constant shared by every card, which is deliberate and correct. It also means you are approving one number block twelve times; approving it once settles all twelve.</w:t>
      </w:r>
    </w:p>
    <w:p>
      <w:pPr>
        <w:spacing w:after="120"/>
      </w:pPr>
      <w:r>
        <w:rPr>
          <w:b w:val="0"/>
          <w:i w:val="0"/>
        </w:rPr>
        <w:t>My recommendation: settle the number block first, and mark these twelve items for wording only. Otherwise you will approve a string whose numbers change the day it ships.</w:t>
      </w:r>
    </w:p>
    <w:p>
      <w:pPr>
        <w:pBdr>
          <w:bottom w:val="single" w:sz="6" w:space="1" w:color="999999"/>
        </w:pBdr>
        <w:spacing w:before="40" w:after="120"/>
      </w:pPr>
    </w:p>
    <w:p>
      <w:pPr>
        <w:pStyle w:val="Heading1"/>
      </w:pPr>
      <w:r>
        <w:rPr>
          <w:rFonts w:ascii="Calibri" w:hAnsi="Calibri"/>
          <w:color w:val="1A1A1A"/>
        </w:rPr>
        <w:t>6. Summary and what I need back</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1020"/>
          </w:tcPr>
          <w:p>
            <w:pPr>
              <w:spacing w:after="40"/>
            </w:pPr>
            <w:r>
              <w:rPr>
                <w:b/>
                <w:sz w:val="17"/>
              </w:rPr>
              <w:t>Item</w:t>
            </w:r>
          </w:p>
        </w:tc>
        <w:tc>
          <w:tcPr>
            <w:tcW w:type="dxa" w:w="3402"/>
          </w:tcPr>
          <w:p>
            <w:pPr>
              <w:spacing w:after="40"/>
            </w:pPr>
            <w:r>
              <w:rPr>
                <w:b/>
                <w:sz w:val="17"/>
              </w:rPr>
              <w:t>String</w:t>
            </w:r>
          </w:p>
        </w:tc>
        <w:tc>
          <w:tcPr>
            <w:tcW w:type="dxa" w:w="4989"/>
          </w:tcPr>
          <w:p>
            <w:pPr>
              <w:spacing w:after="40"/>
            </w:pPr>
            <w:r>
              <w:rPr>
                <w:b/>
                <w:sz w:val="17"/>
              </w:rPr>
              <w:t>My recommendation</w:t>
            </w:r>
          </w:p>
        </w:tc>
      </w:tr>
      <w:tr>
        <w:tc>
          <w:tcPr>
            <w:tcW w:type="dxa" w:w="1020"/>
          </w:tcPr>
          <w:p>
            <w:pPr>
              <w:spacing w:after="40"/>
            </w:pPr>
            <w:r>
              <w:rPr>
                <w:sz w:val="17"/>
              </w:rPr>
              <w:t>CD-2a</w:t>
            </w:r>
          </w:p>
        </w:tc>
        <w:tc>
          <w:tcPr>
            <w:tcW w:type="dxa" w:w="3402"/>
          </w:tcPr>
          <w:p>
            <w:pPr>
              <w:spacing w:after="40"/>
            </w:pPr>
            <w:r>
              <w:rPr>
                <w:sz w:val="17"/>
              </w:rPr>
              <w:t>MEDICAL_EMERGENCY_RESPONSE</w:t>
            </w:r>
          </w:p>
        </w:tc>
        <w:tc>
          <w:tcPr>
            <w:tcW w:type="dxa" w:w="4989"/>
          </w:tcPr>
          <w:p>
            <w:pPr>
              <w:spacing w:after="40"/>
            </w:pPr>
            <w:r>
              <w:rPr>
                <w:sz w:val="17"/>
              </w:rPr>
              <w:t>Approve; add “stay reachable, unlock the door”</w:t>
            </w:r>
          </w:p>
        </w:tc>
      </w:tr>
      <w:tr>
        <w:tc>
          <w:tcPr>
            <w:tcW w:type="dxa" w:w="1020"/>
          </w:tcPr>
          <w:p>
            <w:pPr>
              <w:spacing w:after="40"/>
            </w:pPr>
            <w:r>
              <w:rPr>
                <w:sz w:val="17"/>
              </w:rPr>
              <w:t>CD-2b</w:t>
            </w:r>
          </w:p>
        </w:tc>
        <w:tc>
          <w:tcPr>
            <w:tcW w:type="dxa" w:w="3402"/>
          </w:tcPr>
          <w:p>
            <w:pPr>
              <w:spacing w:after="40"/>
            </w:pPr>
            <w:r>
              <w:rPr>
                <w:sz w:val="17"/>
              </w:rPr>
              <w:t>MEDICAL_EMERGENCY_CRISIS_RESPONSE</w:t>
            </w:r>
          </w:p>
        </w:tc>
        <w:tc>
          <w:tcPr>
            <w:tcW w:type="dxa" w:w="4989"/>
          </w:tcPr>
          <w:p>
            <w:pPr>
              <w:spacing w:after="40"/>
            </w:pPr>
            <w:r>
              <w:rPr>
                <w:sz w:val="17"/>
              </w:rPr>
              <w:t>Approve; cut the “more than the physical side” line</w:t>
            </w:r>
          </w:p>
        </w:tc>
      </w:tr>
      <w:tr>
        <w:tc>
          <w:tcPr>
            <w:tcW w:type="dxa" w:w="1020"/>
          </w:tcPr>
          <w:p>
            <w:pPr>
              <w:spacing w:after="40"/>
            </w:pPr>
            <w:r>
              <w:rPr>
                <w:sz w:val="17"/>
              </w:rPr>
              <w:t>CD-6a</w:t>
            </w:r>
          </w:p>
        </w:tc>
        <w:tc>
          <w:tcPr>
            <w:tcW w:type="dxa" w:w="3402"/>
          </w:tcPr>
          <w:p>
            <w:pPr>
              <w:spacing w:after="40"/>
            </w:pPr>
            <w:r>
              <w:rPr>
                <w:sz w:val="17"/>
              </w:rPr>
              <w:t>A9_PRE_BLOCKED_RESPONSE</w:t>
            </w:r>
          </w:p>
        </w:tc>
        <w:tc>
          <w:tcPr>
            <w:tcW w:type="dxa" w:w="4989"/>
          </w:tcPr>
          <w:p>
            <w:pPr>
              <w:spacing w:after="40"/>
            </w:pPr>
            <w:r>
              <w:rPr>
                <w:sz w:val="17"/>
              </w:rPr>
              <w:t>Rework — refusal reads as withdrawal; no exit offered</w:t>
            </w:r>
          </w:p>
        </w:tc>
      </w:tr>
      <w:tr>
        <w:tc>
          <w:tcPr>
            <w:tcW w:type="dxa" w:w="1020"/>
          </w:tcPr>
          <w:p>
            <w:pPr>
              <w:spacing w:after="40"/>
            </w:pPr>
            <w:r>
              <w:rPr>
                <w:sz w:val="17"/>
              </w:rPr>
              <w:t>CD-6b</w:t>
            </w:r>
          </w:p>
        </w:tc>
        <w:tc>
          <w:tcPr>
            <w:tcW w:type="dxa" w:w="3402"/>
          </w:tcPr>
          <w:p>
            <w:pPr>
              <w:spacing w:after="40"/>
            </w:pPr>
            <w:r>
              <w:rPr>
                <w:sz w:val="17"/>
              </w:rPr>
              <w:t>A9_POST_DEGRADED_RESPONSE</w:t>
            </w:r>
          </w:p>
        </w:tc>
        <w:tc>
          <w:tcPr>
            <w:tcW w:type="dxa" w:w="4989"/>
          </w:tcPr>
          <w:p>
            <w:pPr>
              <w:spacing w:after="40"/>
            </w:pPr>
            <w:r>
              <w:rPr>
                <w:sz w:val="17"/>
              </w:rPr>
              <w:t>Approve; replace the “lost my footing” metaphor</w:t>
            </w:r>
          </w:p>
        </w:tc>
      </w:tr>
      <w:tr>
        <w:tc>
          <w:tcPr>
            <w:tcW w:type="dxa" w:w="1020"/>
          </w:tcPr>
          <w:p>
            <w:pPr>
              <w:spacing w:after="40"/>
            </w:pPr>
            <w:r>
              <w:rPr>
                <w:sz w:val="17"/>
              </w:rPr>
              <w:t>CD-6c</w:t>
            </w:r>
          </w:p>
        </w:tc>
        <w:tc>
          <w:tcPr>
            <w:tcW w:type="dxa" w:w="3402"/>
          </w:tcPr>
          <w:p>
            <w:pPr>
              <w:spacing w:after="40"/>
            </w:pPr>
            <w:r>
              <w:rPr>
                <w:sz w:val="17"/>
              </w:rPr>
              <w:t>A9_POST_S2_FALLBACK</w:t>
            </w:r>
          </w:p>
        </w:tc>
        <w:tc>
          <w:tcPr>
            <w:tcW w:type="dxa" w:w="4989"/>
          </w:tcPr>
          <w:p>
            <w:pPr>
              <w:spacing w:after="40"/>
            </w:pPr>
            <w:r>
              <w:rPr>
                <w:sz w:val="17"/>
              </w:rPr>
              <w:t>Ruling needed — struck phrase present; no numbers at S2</w:t>
            </w:r>
          </w:p>
        </w:tc>
      </w:tr>
      <w:tr>
        <w:tc>
          <w:tcPr>
            <w:tcW w:type="dxa" w:w="1020"/>
          </w:tcPr>
          <w:p>
            <w:pPr>
              <w:spacing w:after="40"/>
            </w:pPr>
            <w:r>
              <w:rPr>
                <w:sz w:val="17"/>
              </w:rPr>
              <w:t>CD-6d</w:t>
            </w:r>
          </w:p>
        </w:tc>
        <w:tc>
          <w:tcPr>
            <w:tcW w:type="dxa" w:w="3402"/>
          </w:tcPr>
          <w:p>
            <w:pPr>
              <w:spacing w:after="40"/>
            </w:pPr>
            <w:r>
              <w:rPr>
                <w:sz w:val="17"/>
              </w:rPr>
              <w:t>A2_DEGRADED_RESPONSE</w:t>
            </w:r>
          </w:p>
        </w:tc>
        <w:tc>
          <w:tcPr>
            <w:tcW w:type="dxa" w:w="4989"/>
          </w:tcPr>
          <w:p>
            <w:pPr>
              <w:spacing w:after="40"/>
            </w:pPr>
            <w:r>
              <w:rPr>
                <w:sz w:val="17"/>
              </w:rPr>
              <w:t>Approve shape; add the number block</w:t>
            </w:r>
          </w:p>
        </w:tc>
      </w:tr>
      <w:tr>
        <w:tc>
          <w:tcPr>
            <w:tcW w:type="dxa" w:w="1020"/>
          </w:tcPr>
          <w:p>
            <w:pPr>
              <w:spacing w:after="40"/>
            </w:pPr>
            <w:r>
              <w:rPr>
                <w:sz w:val="17"/>
              </w:rPr>
              <w:t>CD-6e</w:t>
            </w:r>
          </w:p>
        </w:tc>
        <w:tc>
          <w:tcPr>
            <w:tcW w:type="dxa" w:w="3402"/>
          </w:tcPr>
          <w:p>
            <w:pPr>
              <w:spacing w:after="40"/>
            </w:pPr>
            <w:r>
              <w:rPr>
                <w:sz w:val="17"/>
              </w:rPr>
              <w:t>BUDGET_PAUSED_RESPONSE</w:t>
            </w:r>
          </w:p>
        </w:tc>
        <w:tc>
          <w:tcPr>
            <w:tcW w:type="dxa" w:w="4989"/>
          </w:tcPr>
          <w:p>
            <w:pPr>
              <w:spacing w:after="40"/>
            </w:pPr>
            <w:r>
              <w:rPr>
                <w:sz w:val="17"/>
              </w:rPr>
              <w:t>Approve; cut one negation</w:t>
            </w:r>
          </w:p>
        </w:tc>
      </w:tr>
      <w:tr>
        <w:tc>
          <w:tcPr>
            <w:tcW w:type="dxa" w:w="1020"/>
          </w:tcPr>
          <w:p>
            <w:pPr>
              <w:spacing w:after="40"/>
            </w:pPr>
            <w:r>
              <w:rPr>
                <w:sz w:val="17"/>
              </w:rPr>
              <w:t>CD-6f</w:t>
            </w:r>
          </w:p>
        </w:tc>
        <w:tc>
          <w:tcPr>
            <w:tcW w:type="dxa" w:w="3402"/>
          </w:tcPr>
          <w:p>
            <w:pPr>
              <w:spacing w:after="40"/>
            </w:pPr>
            <w:r>
              <w:rPr>
                <w:sz w:val="17"/>
              </w:rPr>
              <w:t>SAFETY_UNAVAILABLE_RESPONSE</w:t>
            </w:r>
          </w:p>
        </w:tc>
        <w:tc>
          <w:tcPr>
            <w:tcW w:type="dxa" w:w="4989"/>
          </w:tcPr>
          <w:p>
            <w:pPr>
              <w:spacing w:after="40"/>
            </w:pPr>
            <w:r>
              <w:rPr>
                <w:sz w:val="17"/>
              </w:rPr>
              <w:t>Approve; drop the struck closing phrase</w:t>
            </w:r>
          </w:p>
        </w:tc>
      </w:tr>
      <w:tr>
        <w:tc>
          <w:tcPr>
            <w:tcW w:type="dxa" w:w="1020"/>
          </w:tcPr>
          <w:p>
            <w:pPr>
              <w:spacing w:after="40"/>
            </w:pPr>
            <w:r>
              <w:rPr>
                <w:sz w:val="17"/>
              </w:rPr>
              <w:t>CD-6g</w:t>
            </w:r>
          </w:p>
        </w:tc>
        <w:tc>
          <w:tcPr>
            <w:tcW w:type="dxa" w:w="3402"/>
          </w:tcPr>
          <w:p>
            <w:pPr>
              <w:spacing w:after="40"/>
            </w:pPr>
            <w:r>
              <w:rPr>
                <w:sz w:val="17"/>
              </w:rPr>
              <w:t>MODEL_UNAVAILABLE_RESPONSE</w:t>
            </w:r>
          </w:p>
        </w:tc>
        <w:tc>
          <w:tcPr>
            <w:tcW w:type="dxa" w:w="4989"/>
          </w:tcPr>
          <w:p>
            <w:pPr>
              <w:spacing w:after="40"/>
            </w:pPr>
            <w:r>
              <w:rPr>
                <w:sz w:val="17"/>
              </w:rPr>
              <w:t>Approve as written — the standard for the rest</w:t>
            </w:r>
          </w:p>
        </w:tc>
      </w:tr>
      <w:tr>
        <w:tc>
          <w:tcPr>
            <w:tcW w:type="dxa" w:w="1020"/>
          </w:tcPr>
          <w:p>
            <w:pPr>
              <w:spacing w:after="40"/>
            </w:pPr>
            <w:r>
              <w:rPr>
                <w:sz w:val="17"/>
              </w:rPr>
              <w:t>CD-6h</w:t>
            </w:r>
          </w:p>
        </w:tc>
        <w:tc>
          <w:tcPr>
            <w:tcW w:type="dxa" w:w="3402"/>
          </w:tcPr>
          <w:p>
            <w:pPr>
              <w:spacing w:after="40"/>
            </w:pPr>
            <w:r>
              <w:rPr>
                <w:sz w:val="17"/>
              </w:rPr>
              <w:t>SAFE_FALLBACK</w:t>
            </w:r>
          </w:p>
        </w:tc>
        <w:tc>
          <w:tcPr>
            <w:tcW w:type="dxa" w:w="4989"/>
          </w:tcPr>
          <w:p>
            <w:pPr>
              <w:spacing w:after="40"/>
            </w:pPr>
            <w:r>
              <w:rPr>
                <w:sz w:val="17"/>
              </w:rPr>
              <w:t>Do not ship in any form</w:t>
            </w:r>
          </w:p>
        </w:tc>
      </w:tr>
      <w:tr>
        <w:tc>
          <w:tcPr>
            <w:tcW w:type="dxa" w:w="1020"/>
          </w:tcPr>
          <w:p>
            <w:pPr>
              <w:spacing w:after="40"/>
            </w:pPr>
            <w:r>
              <w:rPr>
                <w:sz w:val="17"/>
              </w:rPr>
              <w:t>CD-7a</w:t>
            </w:r>
          </w:p>
        </w:tc>
        <w:tc>
          <w:tcPr>
            <w:tcW w:type="dxa" w:w="3402"/>
          </w:tcPr>
          <w:p>
            <w:pPr>
              <w:spacing w:after="40"/>
            </w:pPr>
            <w:r>
              <w:rPr>
                <w:sz w:val="17"/>
              </w:rPr>
              <w:t>Crisis screen</w:t>
            </w:r>
          </w:p>
        </w:tc>
        <w:tc>
          <w:tcPr>
            <w:tcW w:type="dxa" w:w="4989"/>
          </w:tcPr>
          <w:p>
            <w:pPr>
              <w:spacing w:after="40"/>
            </w:pPr>
            <w:r>
              <w:rPr>
                <w:sz w:val="17"/>
              </w:rPr>
              <w:t>Wording only; footer promise and “I'm safe for now” are the two real items</w:t>
            </w:r>
          </w:p>
        </w:tc>
      </w:tr>
      <w:tr>
        <w:tc>
          <w:tcPr>
            <w:tcW w:type="dxa" w:w="1020"/>
          </w:tcPr>
          <w:p>
            <w:pPr>
              <w:spacing w:after="40"/>
            </w:pPr>
            <w:r>
              <w:rPr>
                <w:sz w:val="17"/>
              </w:rPr>
              <w:t>CD-7b</w:t>
            </w:r>
          </w:p>
        </w:tc>
        <w:tc>
          <w:tcPr>
            <w:tcW w:type="dxa" w:w="3402"/>
          </w:tcPr>
          <w:p>
            <w:pPr>
              <w:spacing w:after="40"/>
            </w:pPr>
            <w:r>
              <w:rPr>
                <w:sz w:val="17"/>
              </w:rPr>
              <w:t>Age-gate screen</w:t>
            </w:r>
          </w:p>
        </w:tc>
        <w:tc>
          <w:tcPr>
            <w:tcW w:type="dxa" w:w="4989"/>
          </w:tcPr>
          <w:p>
            <w:pPr>
              <w:spacing w:after="40"/>
            </w:pPr>
            <w:r>
              <w:rPr>
                <w:sz w:val="17"/>
              </w:rPr>
              <w:t>Drop “yet”; decide on a child-specific line; boundary is yours</w:t>
            </w:r>
          </w:p>
        </w:tc>
      </w:tr>
    </w:tbl>
    <w:p>
      <w:pPr>
        <w:spacing w:after="120"/>
      </w:pPr>
      <w:r>
        <w:rPr>
          <w:b w:val="0"/>
          <w:i w:val="0"/>
        </w:rPr>
      </w:r>
    </w:p>
    <w:p>
      <w:pPr>
        <w:spacing w:after="60"/>
      </w:pPr>
      <w:r>
        <w:rPr>
          <w:b/>
          <w:i w:val="0"/>
          <w:sz w:val="19"/>
        </w:rPr>
        <w:t>Four things I need from you, in the order they unblock the most:</w:t>
      </w:r>
    </w:p>
    <w:p>
      <w:pPr>
        <w:pStyle w:val="ListNumber"/>
        <w:spacing w:after="40"/>
      </w:pPr>
      <w:r>
        <w:rPr>
          <w:sz w:val="19"/>
        </w:rPr>
        <w:t>The number block, once (§5). This settles twelve items at a stroke.</w:t>
      </w:r>
    </w:p>
    <w:p>
      <w:pPr>
        <w:pStyle w:val="ListNumber"/>
        <w:spacing w:after="40"/>
      </w:pPr>
      <w:r>
        <w:rPr>
          <w:sz w:val="19"/>
        </w:rPr>
        <w:t>A ruling on “I'm not going anywhere” appearing in two failure-path strings after you struck it from the S3 reply — does your objection apply to failure paths too.</w:t>
      </w:r>
    </w:p>
    <w:p>
      <w:pPr>
        <w:pStyle w:val="ListNumber"/>
        <w:spacing w:after="40"/>
      </w:pPr>
      <w:r>
        <w:rPr>
          <w:sz w:val="19"/>
        </w:rPr>
        <w:t>Whether the S2 failover path, which could not be screened, should name the helplines.</w:t>
      </w:r>
    </w:p>
    <w:p>
      <w:pPr>
        <w:pStyle w:val="ListNumber"/>
        <w:spacing w:after="40"/>
      </w:pPr>
      <w:r>
        <w:rPr>
          <w:sz w:val="19"/>
        </w:rPr>
        <w:t>Whether the age gate stays a hard block at 18, and whether the minor's screen should name a child-specific line.</w:t>
      </w:r>
    </w:p>
    <w:p>
      <w:pPr>
        <w:spacing w:after="120"/>
      </w:pPr>
      <w:r>
        <w:rPr>
          <w:b w:val="0"/>
          <w:i w:val="0"/>
        </w:rPr>
      </w:r>
    </w:p>
    <w:p>
      <w:pPr>
        <w:spacing w:after="120"/>
      </w:pPr>
      <w:r>
        <w:rPr>
          <w:b w:val="0"/>
          <w:i/>
          <w:sz w:val="18"/>
        </w:rPr>
        <w:t>Nothing in this sheet authorises building any of it. Approved copy is applied to code under the same pinning as your signed S3 and S4 texts, and any later edit voids the approval for the edited text.</w:t>
      </w:r>
    </w:p>
    <w:p>
      <w:r>
        <w:br w:type="page"/>
      </w:r>
    </w:p>
    <w:p>
      <w:pPr>
        <w:pStyle w:val="Heading1"/>
      </w:pPr>
      <w:r>
        <w:rPr>
          <w:rFonts w:ascii="Calibri" w:hAnsi="Calibri"/>
          <w:color w:val="1A1A1A"/>
        </w:rPr>
        <w:t>7. Record of decision</w:t>
      </w:r>
    </w:p>
    <w:p>
      <w:pPr>
        <w:spacing w:after="120"/>
      </w:pPr>
      <w:r>
        <w:rPr>
          <w:b w:val="0"/>
          <w:i w:val="0"/>
        </w:rPr>
        <w:t>To be completed against the twelve items above. A blanket approval is available, and it carries the recommendations as written — mark the box and say so in one line.</w:t>
      </w:r>
    </w:p>
    <w:tbl>
      <w:tblPr>
        <w:tblStyle w:val="TableGrid"/>
        <w:tblW w:type="auto" w:w="0"/>
        <w:jc w:val="center"/>
        <w:tblLayout w:type="fixed"/>
        <w:tblLook w:firstColumn="1" w:firstRow="1" w:lastColumn="0" w:lastRow="0" w:noHBand="0" w:noVBand="1" w:val="04A0"/>
      </w:tblPr>
      <w:tblGrid>
        <w:gridCol w:w="4706"/>
        <w:gridCol w:w="4706"/>
      </w:tblGrid>
      <w:tr>
        <w:tc>
          <w:tcPr>
            <w:tcW w:type="dxa" w:w="2381"/>
          </w:tcPr>
          <w:p>
            <w:pPr>
              <w:spacing w:after="40"/>
            </w:pPr>
            <w:r>
              <w:rPr>
                <w:sz w:val="18"/>
              </w:rPr>
              <w:t>Decision</w:t>
            </w:r>
          </w:p>
        </w:tc>
        <w:tc>
          <w:tcPr>
            <w:tcW w:type="dxa" w:w="7030"/>
          </w:tcPr>
          <w:p>
            <w:pPr>
              <w:spacing w:after="40"/>
            </w:pPr>
            <w:r>
              <w:rPr>
                <w:sz w:val="18"/>
              </w:rPr>
              <w:t>☐  Approved as written, all twelve</w:t>
              <w:br/>
              <w:t>☐  Approved with the recommendations in this sheet</w:t>
              <w:br/>
              <w:t>☐  Approved with the exceptions noted below</w:t>
              <w:br/>
              <w:t>☐  Deferred — return with a redraft</w:t>
            </w:r>
          </w:p>
        </w:tc>
      </w:tr>
      <w:tr>
        <w:tc>
          <w:tcPr>
            <w:tcW w:type="dxa" w:w="2381"/>
          </w:tcPr>
          <w:p>
            <w:pPr>
              <w:spacing w:after="40"/>
            </w:pPr>
            <w:r>
              <w:rPr>
                <w:sz w:val="18"/>
              </w:rPr>
              <w:t>Exceptions / instructions</w:t>
            </w:r>
          </w:p>
        </w:tc>
        <w:tc>
          <w:tcPr>
            <w:tcW w:type="dxa" w:w="7030"/>
          </w:tcPr>
          <w:p>
            <w:pPr>
              <w:spacing w:after="40"/>
            </w:pPr>
            <w:r>
              <w:rPr>
                <w:sz w:val="18"/>
              </w:rPr>
              <w:br/>
              <w:br/>
              <w:br/>
            </w:r>
          </w:p>
        </w:tc>
      </w:tr>
      <w:tr>
        <w:tc>
          <w:tcPr>
            <w:tcW w:type="dxa" w:w="2381"/>
          </w:tcPr>
          <w:p>
            <w:pPr>
              <w:spacing w:after="40"/>
            </w:pPr>
            <w:r>
              <w:rPr>
                <w:sz w:val="18"/>
              </w:rPr>
              <w:t>Name</w:t>
            </w:r>
          </w:p>
        </w:tc>
        <w:tc>
          <w:tcPr>
            <w:tcW w:type="dxa" w:w="7030"/>
          </w:tcPr>
          <w:p>
            <w:pPr>
              <w:spacing w:after="40"/>
            </w:pPr>
            <w:r>
              <w:rPr>
                <w:sz w:val="18"/>
              </w:rPr>
              <w:t>Dr Shubhangi Goswami</w:t>
            </w:r>
          </w:p>
        </w:tc>
      </w:tr>
      <w:tr>
        <w:tc>
          <w:tcPr>
            <w:tcW w:type="dxa" w:w="2381"/>
          </w:tcPr>
          <w:p>
            <w:pPr>
              <w:spacing w:after="40"/>
            </w:pPr>
            <w:r>
              <w:rPr>
                <w:sz w:val="18"/>
              </w:rPr>
              <w:t>Role</w:t>
            </w:r>
          </w:p>
        </w:tc>
        <w:tc>
          <w:tcPr>
            <w:tcW w:type="dxa" w:w="7030"/>
          </w:tcPr>
          <w:p>
            <w:pPr>
              <w:spacing w:after="40"/>
            </w:pPr>
            <w:r>
              <w:rPr>
                <w:sz w:val="18"/>
              </w:rPr>
              <w:t>Clinical Psychologist — clinical authority, OKUVU</w:t>
            </w:r>
          </w:p>
        </w:tc>
      </w:tr>
      <w:tr>
        <w:tc>
          <w:tcPr>
            <w:tcW w:type="dxa" w:w="2381"/>
          </w:tcPr>
          <w:p>
            <w:pPr>
              <w:spacing w:after="40"/>
            </w:pPr>
            <w:r>
              <w:rPr>
                <w:sz w:val="18"/>
              </w:rPr>
              <w:t>Approval method</w:t>
            </w:r>
          </w:p>
        </w:tc>
        <w:tc>
          <w:tcPr>
            <w:tcW w:type="dxa" w:w="7030"/>
          </w:tcPr>
          <w:p>
            <w:pPr>
              <w:spacing w:after="40"/>
            </w:pPr>
            <w:r>
              <w:rPr>
                <w:sz w:val="18"/>
              </w:rPr>
              <w:t>Digital, by written instruction (no physical signature required — as recorded 31 Oct 2026)</w:t>
            </w:r>
          </w:p>
        </w:tc>
      </w:tr>
      <w:tr>
        <w:tc>
          <w:tcPr>
            <w:tcW w:type="dxa" w:w="2381"/>
          </w:tcPr>
          <w:p>
            <w:pPr>
              <w:spacing w:after="40"/>
            </w:pPr>
            <w:r>
              <w:rPr>
                <w:sz w:val="18"/>
              </w:rPr>
              <w:t>Date</w:t>
            </w:r>
          </w:p>
        </w:tc>
        <w:tc>
          <w:tcPr>
            <w:tcW w:type="dxa" w:w="7030"/>
          </w:tcPr>
          <w:p>
            <w:pPr>
              <w:spacing w:after="40"/>
            </w:pPr>
            <w:r>
              <w:rPr>
                <w:sz w:val="18"/>
              </w:rPr>
              <w:br/>
            </w:r>
          </w:p>
        </w:tc>
      </w:tr>
    </w:tbl>
    <w:p>
      <w:pPr>
        <w:spacing w:after="120"/>
      </w:pPr>
      <w:r>
        <w:rPr>
          <w:b w:val="0"/>
          <w:i w:val="0"/>
        </w:rPr>
      </w:r>
    </w:p>
    <w:p>
      <w:pPr>
        <w:spacing w:after="120"/>
      </w:pPr>
      <w:r>
        <w:rPr>
          <w:b w:val="0"/>
          <w:i/>
          <w:sz w:val="18"/>
        </w:rPr>
        <w:t>An approval covers the exact text in this sheet. Where a string is later edited, or where the shared number block changes, the approval does not carry to the edited text and the item returns for review.</w:t>
      </w:r>
    </w:p>
    <w:p>
      <w:pPr>
        <w:pStyle w:val="Heading1"/>
      </w:pPr>
      <w:r>
        <w:rPr>
          <w:rFonts w:ascii="Calibri" w:hAnsi="Calibri"/>
          <w:color w:val="1A1A1A"/>
        </w:rPr>
        <w:t>8. Provenance</w:t>
      </w:r>
    </w:p>
    <w:p>
      <w:pPr>
        <w:spacing w:after="120"/>
      </w:pPr>
      <w:r>
        <w:rPr>
          <w:b w:val="0"/>
          <w:i w:val="0"/>
        </w:rPr>
        <w:t>Every string in this sheet was extracted from the repository by script at build time and compared back against the source before this file was written. None was transcribed by hand. Files and their hashes at the time of extraction:</w:t>
      </w:r>
    </w:p>
    <w:tbl>
      <w:tblPr>
        <w:tblStyle w:val="TableGrid"/>
        <w:tblW w:type="auto" w:w="0"/>
        <w:jc w:val="center"/>
        <w:tblLayout w:type="fixed"/>
        <w:tblLook w:firstColumn="1" w:firstRow="1" w:lastColumn="0" w:lastRow="0" w:noHBand="0" w:noVBand="1" w:val="04A0"/>
      </w:tblPr>
      <w:tblGrid>
        <w:gridCol w:w="4706"/>
        <w:gridCol w:w="4706"/>
      </w:tblGrid>
      <w:tr>
        <w:tc>
          <w:tcPr>
            <w:tcW w:type="dxa" w:w="6576"/>
          </w:tcPr>
          <w:p>
            <w:pPr>
              <w:spacing w:after="40"/>
            </w:pPr>
            <w:r>
              <w:rPr>
                <w:b/>
                <w:sz w:val="16"/>
              </w:rPr>
              <w:t>File</w:t>
            </w:r>
          </w:p>
        </w:tc>
        <w:tc>
          <w:tcPr>
            <w:tcW w:type="dxa" w:w="2835"/>
          </w:tcPr>
          <w:p>
            <w:pPr>
              <w:spacing w:after="40"/>
            </w:pPr>
            <w:r>
              <w:rPr>
                <w:b/>
                <w:sz w:val="16"/>
              </w:rPr>
              <w:t>SHA-256 (first 16)</w:t>
            </w:r>
          </w:p>
        </w:tc>
      </w:tr>
      <w:tr>
        <w:tc>
          <w:tcPr>
            <w:tcW w:type="dxa" w:w="6576"/>
          </w:tcPr>
          <w:p>
            <w:pPr>
              <w:spacing w:after="40"/>
            </w:pPr>
            <w:r>
              <w:rPr>
                <w:sz w:val="16"/>
              </w:rPr>
              <w:t>apps/api/src/pipeline/fallbacks.ts</w:t>
            </w:r>
          </w:p>
        </w:tc>
        <w:tc>
          <w:tcPr>
            <w:tcW w:type="dxa" w:w="2835"/>
          </w:tcPr>
          <w:p>
            <w:pPr>
              <w:spacing w:after="40"/>
            </w:pPr>
            <w:r>
              <w:rPr>
                <w:sz w:val="16"/>
              </w:rPr>
              <w:t>b70c5e4574bf732e</w:t>
            </w:r>
          </w:p>
        </w:tc>
      </w:tr>
      <w:tr>
        <w:tc>
          <w:tcPr>
            <w:tcW w:type="dxa" w:w="6576"/>
          </w:tcPr>
          <w:p>
            <w:pPr>
              <w:spacing w:after="40"/>
            </w:pPr>
            <w:r>
              <w:rPr>
                <w:sz w:val="16"/>
              </w:rPr>
              <w:t>apps/api/src/lib/canned-response.ts</w:t>
            </w:r>
          </w:p>
        </w:tc>
        <w:tc>
          <w:tcPr>
            <w:tcW w:type="dxa" w:w="2835"/>
          </w:tcPr>
          <w:p>
            <w:pPr>
              <w:spacing w:after="40"/>
            </w:pPr>
            <w:r>
              <w:rPr>
                <w:sz w:val="16"/>
              </w:rPr>
              <w:t>38bc55479fd9fad1</w:t>
            </w:r>
          </w:p>
        </w:tc>
      </w:tr>
      <w:tr>
        <w:tc>
          <w:tcPr>
            <w:tcW w:type="dxa" w:w="6576"/>
          </w:tcPr>
          <w:p>
            <w:pPr>
              <w:spacing w:after="40"/>
            </w:pPr>
            <w:r>
              <w:rPr>
                <w:sz w:val="16"/>
              </w:rPr>
              <w:t>apps/mobile/lib/src/features/crisis/crisis_overlay.dart</w:t>
            </w:r>
          </w:p>
        </w:tc>
        <w:tc>
          <w:tcPr>
            <w:tcW w:type="dxa" w:w="2835"/>
          </w:tcPr>
          <w:p>
            <w:pPr>
              <w:spacing w:after="40"/>
            </w:pPr>
            <w:r>
              <w:rPr>
                <w:sz w:val="16"/>
              </w:rPr>
              <w:t>ac4c1f46921a9dc9</w:t>
            </w:r>
          </w:p>
        </w:tc>
      </w:tr>
      <w:tr>
        <w:tc>
          <w:tcPr>
            <w:tcW w:type="dxa" w:w="6576"/>
          </w:tcPr>
          <w:p>
            <w:pPr>
              <w:spacing w:after="40"/>
            </w:pPr>
            <w:r>
              <w:rPr>
                <w:sz w:val="16"/>
              </w:rPr>
              <w:t>apps/mobile/lib/src/features/onboarding_welcome/age_blocked_screen.dart</w:t>
            </w:r>
          </w:p>
        </w:tc>
        <w:tc>
          <w:tcPr>
            <w:tcW w:type="dxa" w:w="2835"/>
          </w:tcPr>
          <w:p>
            <w:pPr>
              <w:spacing w:after="40"/>
            </w:pPr>
            <w:r>
              <w:rPr>
                <w:sz w:val="16"/>
              </w:rPr>
              <w:t>74700b39e24d73b5</w:t>
            </w:r>
          </w:p>
        </w:tc>
      </w:tr>
      <w:tr>
        <w:tc>
          <w:tcPr>
            <w:tcW w:type="dxa" w:w="6576"/>
          </w:tcPr>
          <w:p>
            <w:pPr>
              <w:spacing w:after="40"/>
            </w:pPr>
            <w:r>
              <w:rPr>
                <w:sz w:val="16"/>
              </w:rPr>
              <w:t>apps/api/src/agents/a1/prompts.ts</w:t>
            </w:r>
          </w:p>
        </w:tc>
        <w:tc>
          <w:tcPr>
            <w:tcW w:type="dxa" w:w="2835"/>
          </w:tcPr>
          <w:p>
            <w:pPr>
              <w:spacing w:after="40"/>
            </w:pPr>
            <w:r>
              <w:rPr>
                <w:sz w:val="16"/>
              </w:rPr>
              <w:t>d58357612841f1eb</w:t>
            </w:r>
          </w:p>
        </w:tc>
      </w:tr>
      <w:tr>
        <w:tc>
          <w:tcPr>
            <w:tcW w:type="dxa" w:w="6576"/>
          </w:tcPr>
          <w:p>
            <w:pPr>
              <w:spacing w:after="40"/>
            </w:pPr>
            <w:r>
              <w:rPr>
                <w:sz w:val="16"/>
              </w:rPr>
              <w:t>docs/okuvu-v2.0/system-prompts/01-A1-Safety-Gate-v2.0.md</w:t>
            </w:r>
          </w:p>
        </w:tc>
        <w:tc>
          <w:tcPr>
            <w:tcW w:type="dxa" w:w="2835"/>
          </w:tcPr>
          <w:p>
            <w:pPr>
              <w:spacing w:after="40"/>
            </w:pPr>
            <w:r>
              <w:rPr>
                <w:sz w:val="16"/>
              </w:rPr>
              <w:t>9490645c0384227e</w:t>
            </w:r>
          </w:p>
        </w:tc>
      </w:tr>
    </w:tbl>
    <w:p>
      <w:pPr>
        <w:spacing w:after="120"/>
      </w:pPr>
      <w:r>
        <w:rPr>
          <w:b w:val="0"/>
          <w:i w:val="0"/>
        </w:rPr>
      </w:r>
    </w:p>
    <w:p>
      <w:pPr>
        <w:spacing w:after="120"/>
      </w:pPr>
      <w:r>
        <w:rPr>
          <w:b/>
          <w:i w:val="0"/>
          <w:sz w:val="19"/>
        </w:rPr>
        <w:t>Status: DRAFT FOR CLINICAL REVIEW — not approved copy. Twelve items open.</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 xml:space="preserve">OKUVU E17-S7 · Clinical review sheet · unreviewed client-facing copy · DRAFT, UNSIGNED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