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Okuvu — AWS Migration and Android Release Plan</w:t>
      </w:r>
    </w:p>
    <w:p>
      <w:r>
        <w:rPr>
          <w:b/>
        </w:rPr>
        <w:t>Version 3.0 · 27 October 2026</w:t>
      </w:r>
    </w:p>
    <w:p>
      <w:r>
        <w:t>Supersedes the GCP-hosting assumption in the v2.0 delivery plan. Written after measuring the codebase, not before.</w:t>
      </w:r>
    </w:p>
    <w:p>
      <w:pPr>
        <w:pStyle w:val="Heading2"/>
      </w:pPr>
      <w:r>
        <w:t>1. The decision, and what it actually costs</w:t>
      </w:r>
    </w:p>
    <w:p>
      <w:r>
        <w:t>You want off GCP onto AWS, because the credits are there. That is a defensible business decision and this plan delivers it. But the honest shape of it is different from what "change the cloud provider" suggests, so it belongs at the top rather than in a footnote.</w:t>
      </w:r>
    </w:p>
    <w:p>
      <w:r>
        <w:t xml:space="preserve">The application is not loosely coupled to GCP. Measured tonight: </w:t>
      </w:r>
      <w:r>
        <w:rPr>
          <w:b/>
        </w:rPr>
        <w:t>120 files reference GCP or Firebase, zero reference AWS.</w:t>
      </w:r>
      <w:r>
        <w:t xml:space="preserve"> But the coupling is narrow, not deep — the actual cloud-specific code is </w:t>
      </w:r>
      <w:r>
        <w:rPr>
          <w:b/>
        </w:rPr>
        <w:t>six call sites</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DEDED"/>
          </w:tcPr>
          <w:p>
            <w:r>
              <w:rPr>
                <w:sz w:val="19"/>
              </w:rPr>
            </w:r>
            <w:r>
              <w:rPr>
                <w:b/>
              </w:rPr>
              <w:t>File</w:t>
            </w:r>
          </w:p>
        </w:tc>
        <w:tc>
          <w:tcPr>
            <w:tcW w:type="dxa" w:w="4320"/>
            <w:shd w:val="clear" w:color="auto" w:fill="EDEDED"/>
          </w:tcPr>
          <w:p>
            <w:r>
              <w:rPr>
                <w:sz w:val="19"/>
              </w:rPr>
            </w:r>
            <w:r>
              <w:rPr>
                <w:b/>
              </w:rPr>
              <w:t>What it does</w:t>
            </w:r>
          </w:p>
        </w:tc>
      </w:tr>
      <w:tr>
        <w:tc>
          <w:tcPr>
            <w:tcW w:type="dxa" w:w="4320"/>
          </w:tcPr>
          <w:p>
            <w:r>
              <w:rPr>
                <w:sz w:val="19"/>
              </w:rPr>
            </w:r>
            <w:r>
              <w:rPr>
                <w:rFonts w:ascii="Consolas" w:hAnsi="Consolas"/>
                <w:sz w:val="19"/>
              </w:rPr>
              <w:t>apps/api/src/lib/vertex-ai.ts</w:t>
            </w:r>
          </w:p>
        </w:tc>
        <w:tc>
          <w:tcPr>
            <w:tcW w:type="dxa" w:w="4320"/>
          </w:tcPr>
          <w:p>
            <w:r>
              <w:rPr>
                <w:sz w:val="19"/>
              </w:rPr>
            </w:r>
            <w:r>
              <w:rPr>
                <w:sz w:val="19"/>
              </w:rPr>
              <w:t>Gemini structured generation</w:t>
            </w:r>
          </w:p>
        </w:tc>
      </w:tr>
      <w:tr>
        <w:tc>
          <w:tcPr>
            <w:tcW w:type="dxa" w:w="4320"/>
          </w:tcPr>
          <w:p>
            <w:r>
              <w:rPr>
                <w:sz w:val="19"/>
              </w:rPr>
            </w:r>
            <w:r>
              <w:rPr>
                <w:rFonts w:ascii="Consolas" w:hAnsi="Consolas"/>
                <w:sz w:val="19"/>
              </w:rPr>
              <w:t>apps/worker/src/lib/vertex-ai.ts</w:t>
            </w:r>
          </w:p>
        </w:tc>
        <w:tc>
          <w:tcPr>
            <w:tcW w:type="dxa" w:w="4320"/>
          </w:tcPr>
          <w:p>
            <w:r>
              <w:rPr>
                <w:sz w:val="19"/>
              </w:rPr>
            </w:r>
            <w:r>
              <w:rPr>
                <w:sz w:val="19"/>
              </w:rPr>
              <w:t>same, worker copy</w:t>
            </w:r>
          </w:p>
        </w:tc>
      </w:tr>
      <w:tr>
        <w:tc>
          <w:tcPr>
            <w:tcW w:type="dxa" w:w="4320"/>
          </w:tcPr>
          <w:p>
            <w:r>
              <w:rPr>
                <w:sz w:val="19"/>
              </w:rPr>
            </w:r>
            <w:r>
              <w:rPr>
                <w:rFonts w:ascii="Consolas" w:hAnsi="Consolas"/>
                <w:sz w:val="19"/>
              </w:rPr>
              <w:t>apps/api/src/lib/embedding.ts</w:t>
            </w:r>
            <w:r>
              <w:rPr>
                <w:sz w:val="19"/>
              </w:rPr>
              <w:t xml:space="preserve"> + worker</w:t>
            </w:r>
          </w:p>
        </w:tc>
        <w:tc>
          <w:tcPr>
            <w:tcW w:type="dxa" w:w="4320"/>
          </w:tcPr>
          <w:p>
            <w:r>
              <w:rPr>
                <w:sz w:val="19"/>
              </w:rPr>
            </w:r>
            <w:r>
              <w:rPr>
                <w:sz w:val="19"/>
              </w:rPr>
              <w:t>Gemini embeddings</w:t>
            </w:r>
          </w:p>
        </w:tc>
      </w:tr>
      <w:tr>
        <w:tc>
          <w:tcPr>
            <w:tcW w:type="dxa" w:w="4320"/>
          </w:tcPr>
          <w:p>
            <w:r>
              <w:rPr>
                <w:sz w:val="19"/>
              </w:rPr>
            </w:r>
            <w:r>
              <w:rPr>
                <w:rFonts w:ascii="Consolas" w:hAnsi="Consolas"/>
                <w:sz w:val="19"/>
              </w:rPr>
              <w:t>apps/api/src/lib/summary-enqueue.ts</w:t>
            </w:r>
          </w:p>
        </w:tc>
        <w:tc>
          <w:tcPr>
            <w:tcW w:type="dxa" w:w="4320"/>
          </w:tcPr>
          <w:p>
            <w:r>
              <w:rPr>
                <w:sz w:val="19"/>
              </w:rPr>
            </w:r>
            <w:r>
              <w:rPr>
                <w:sz w:val="19"/>
              </w:rPr>
              <w:t>Cloud Tasks HTTP dispatch with OIDC</w:t>
            </w:r>
          </w:p>
        </w:tc>
      </w:tr>
      <w:tr>
        <w:tc>
          <w:tcPr>
            <w:tcW w:type="dxa" w:w="4320"/>
          </w:tcPr>
          <w:p>
            <w:r>
              <w:rPr>
                <w:sz w:val="19"/>
              </w:rPr>
            </w:r>
            <w:r>
              <w:rPr>
                <w:rFonts w:ascii="Consolas" w:hAnsi="Consolas"/>
                <w:sz w:val="19"/>
              </w:rPr>
              <w:t>apps/api/src/crypto/emergency-contact-encryption.ts</w:t>
            </w:r>
          </w:p>
        </w:tc>
        <w:tc>
          <w:tcPr>
            <w:tcW w:type="dxa" w:w="4320"/>
          </w:tcPr>
          <w:p>
            <w:r>
              <w:rPr>
                <w:sz w:val="19"/>
              </w:rPr>
            </w:r>
            <w:r>
              <w:rPr>
                <w:sz w:val="19"/>
              </w:rPr>
              <w:t>Secret Manager</w:t>
            </w:r>
          </w:p>
        </w:tc>
      </w:tr>
      <w:tr>
        <w:tc>
          <w:tcPr>
            <w:tcW w:type="dxa" w:w="4320"/>
          </w:tcPr>
          <w:p>
            <w:r>
              <w:rPr>
                <w:sz w:val="19"/>
              </w:rPr>
            </w:r>
            <w:r>
              <w:rPr>
                <w:rFonts w:ascii="Consolas" w:hAnsi="Consolas"/>
                <w:sz w:val="19"/>
              </w:rPr>
              <w:t>apps/api/src/lib/redis.ts</w:t>
            </w:r>
            <w:r>
              <w:rPr>
                <w:sz w:val="19"/>
              </w:rPr>
              <w:t xml:space="preserve">, </w:t>
            </w:r>
            <w:r>
              <w:rPr>
                <w:rFonts w:ascii="Consolas" w:hAnsi="Consolas"/>
                <w:sz w:val="19"/>
              </w:rPr>
              <w:t>rate-limit.ts</w:t>
            </w:r>
          </w:p>
        </w:tc>
        <w:tc>
          <w:tcPr>
            <w:tcW w:type="dxa" w:w="4320"/>
          </w:tcPr>
          <w:p>
            <w:r>
              <w:rPr>
                <w:sz w:val="19"/>
              </w:rPr>
            </w:r>
            <w:r>
              <w:rPr>
                <w:sz w:val="19"/>
              </w:rPr>
              <w:t>Memorystore (wire-compatible)</w:t>
            </w:r>
          </w:p>
        </w:tc>
      </w:tr>
    </w:tbl>
    <w:p/>
    <w:p>
      <w:r>
        <w:t xml:space="preserve">Everything else — 44 Prisma models, the 15-agent pipeline, the therapist portal, the Flutter app — is portable. </w:t>
      </w:r>
      <w:r>
        <w:rPr>
          <w:b/>
        </w:rPr>
        <w:t>Migration effort: 80–88 dev-days, of which about 45% sits in two rows: the AI inference layer and identity.</w:t>
      </w:r>
      <w:r>
        <w:t xml:space="preserve"> This is a 6–8 week programme with parallel agent streams, not a two-week switch, and not seven days.</w:t>
      </w:r>
    </w:p>
    <w:p>
      <w:r>
        <w:t xml:space="preserve">What *is* achievable inside a week is the thing you actually need first: </w:t>
      </w:r>
      <w:r>
        <w:rPr>
          <w:b/>
        </w:rPr>
        <w:t>a live AWS backend the Android app can point at</w:t>
      </w:r>
      <w:r>
        <w:t>, so the Play Store clock can start.</w:t>
      </w:r>
    </w:p>
    <w:p>
      <w:pPr>
        <w:pStyle w:val="Heading2"/>
      </w:pPr>
      <w:r>
        <w:t>2. What is already built and verified tonight</w:t>
      </w:r>
    </w:p>
    <w:p>
      <w:r>
        <w:t xml:space="preserve">Not a plan on paper. This is committed and pushed as </w:t>
      </w:r>
      <w:r>
        <w:rPr>
          <w:rFonts w:ascii="Consolas" w:hAnsi="Consolas"/>
          <w:sz w:val="19"/>
        </w:rPr>
        <w:t>d9fcfee</w:t>
      </w:r>
      <w:r>
        <w:t xml:space="preserve"> on </w:t>
      </w:r>
      <w:r>
        <w:rPr>
          <w:rFonts w:ascii="Consolas" w:hAnsi="Consolas"/>
          <w:sz w:val="19"/>
        </w:rPr>
        <w:t>feat/aws-migration</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DEDED"/>
          </w:tcPr>
          <w:p>
            <w:r>
              <w:rPr>
                <w:sz w:val="19"/>
              </w:rPr>
            </w:r>
            <w:r>
              <w:rPr>
                <w:b/>
              </w:rPr>
              <w:t>Artefact</w:t>
            </w:r>
          </w:p>
        </w:tc>
        <w:tc>
          <w:tcPr>
            <w:tcW w:type="dxa" w:w="4320"/>
            <w:shd w:val="clear" w:color="auto" w:fill="EDEDED"/>
          </w:tcPr>
          <w:p>
            <w:r>
              <w:rPr>
                <w:sz w:val="19"/>
              </w:rPr>
            </w:r>
            <w:r>
              <w:rPr>
                <w:b/>
              </w:rPr>
              <w:t>Evidence</w:t>
            </w:r>
          </w:p>
        </w:tc>
      </w:tr>
      <w:tr>
        <w:tc>
          <w:tcPr>
            <w:tcW w:type="dxa" w:w="4320"/>
          </w:tcPr>
          <w:p>
            <w:r>
              <w:rPr>
                <w:sz w:val="19"/>
              </w:rPr>
            </w:r>
            <w:r>
              <w:rPr>
                <w:sz w:val="19"/>
              </w:rPr>
              <w:t>AWS Terraform, 16 files</w:t>
            </w:r>
          </w:p>
        </w:tc>
        <w:tc>
          <w:tcPr>
            <w:tcW w:type="dxa" w:w="4320"/>
          </w:tcPr>
          <w:p>
            <w:r>
              <w:rPr>
                <w:sz w:val="19"/>
              </w:rPr>
            </w:r>
            <w:r>
              <w:rPr>
                <w:rFonts w:ascii="Consolas" w:hAnsi="Consolas"/>
                <w:sz w:val="19"/>
              </w:rPr>
              <w:t>terraform validate</w:t>
            </w:r>
            <w:r>
              <w:rPr>
                <w:sz w:val="19"/>
              </w:rPr>
              <w:t xml:space="preserve"> → Success. </w:t>
            </w:r>
            <w:r>
              <w:rPr>
                <w:rFonts w:ascii="Consolas" w:hAnsi="Consolas"/>
                <w:sz w:val="19"/>
              </w:rPr>
              <w:t>fmt -check</w:t>
            </w:r>
            <w:r>
              <w:rPr>
                <w:sz w:val="19"/>
              </w:rPr>
              <w:t xml:space="preserve"> → clean. 76 resource instances: VPC, RDS PG16, ElastiCache Valkey, S3, 3× KMS CMK, ECR, ECS Fargate (api + worker), ALB, SQS + DLQ, Secrets Manager, budget alarm</w:t>
            </w:r>
          </w:p>
        </w:tc>
      </w:tr>
      <w:tr>
        <w:tc>
          <w:tcPr>
            <w:tcW w:type="dxa" w:w="4320"/>
          </w:tcPr>
          <w:p>
            <w:r>
              <w:rPr>
                <w:sz w:val="19"/>
              </w:rPr>
            </w:r>
            <w:r>
              <w:rPr>
                <w:sz w:val="19"/>
              </w:rPr>
              <w:t>Provider seams in the app</w:t>
            </w:r>
          </w:p>
        </w:tc>
        <w:tc>
          <w:tcPr>
            <w:tcW w:type="dxa" w:w="4320"/>
          </w:tcPr>
          <w:p>
            <w:r>
              <w:rPr>
                <w:sz w:val="19"/>
              </w:rPr>
            </w:r>
            <w:r>
              <w:rPr>
                <w:rFonts w:ascii="Consolas" w:hAnsi="Consolas"/>
                <w:sz w:val="19"/>
              </w:rPr>
              <w:t>OKUVU_LLM_PROVIDER</w:t>
            </w:r>
            <w:r>
              <w:rPr>
                <w:sz w:val="19"/>
              </w:rPr>
              <w:t xml:space="preserve"> (vertex\</w:t>
            </w:r>
          </w:p>
        </w:tc>
      </w:tr>
      <w:tr>
        <w:tc>
          <w:tcPr>
            <w:tcW w:type="dxa" w:w="4320"/>
          </w:tcPr>
          <w:p>
            <w:r>
              <w:rPr>
                <w:sz w:val="19"/>
              </w:rPr>
            </w:r>
            <w:r>
              <w:rPr>
                <w:sz w:val="19"/>
              </w:rPr>
              <w:t>Bedrock client</w:t>
            </w:r>
          </w:p>
        </w:tc>
        <w:tc>
          <w:tcPr>
            <w:tcW w:type="dxa" w:w="4320"/>
          </w:tcPr>
          <w:p>
            <w:r>
              <w:rPr>
                <w:sz w:val="19"/>
              </w:rPr>
            </w:r>
            <w:r>
              <w:rPr>
                <w:rFonts w:ascii="Consolas" w:hAnsi="Consolas"/>
                <w:sz w:val="19"/>
              </w:rPr>
              <w:t>apps/api/src/lib/bedrock.ts</w:t>
            </w:r>
            <w:r>
              <w:rPr>
                <w:sz w:val="19"/>
              </w:rPr>
              <w:t xml:space="preserve"> (18.5 KB) + worker copy — same interface as the Vertex client, schema-constrained generation mapped to forced tool use</w:t>
            </w:r>
          </w:p>
        </w:tc>
      </w:tr>
      <w:tr>
        <w:tc>
          <w:tcPr>
            <w:tcW w:type="dxa" w:w="4320"/>
          </w:tcPr>
          <w:p>
            <w:r>
              <w:rPr>
                <w:sz w:val="19"/>
              </w:rPr>
            </w:r>
            <w:r>
              <w:rPr>
                <w:sz w:val="19"/>
              </w:rPr>
              <w:t>SQS producer</w:t>
            </w:r>
          </w:p>
        </w:tc>
        <w:tc>
          <w:tcPr>
            <w:tcW w:type="dxa" w:w="4320"/>
          </w:tcPr>
          <w:p>
            <w:r>
              <w:rPr>
                <w:sz w:val="19"/>
              </w:rPr>
            </w:r>
            <w:r>
              <w:rPr>
                <w:rFonts w:ascii="Consolas" w:hAnsi="Consolas"/>
                <w:sz w:val="19"/>
              </w:rPr>
              <w:t>sqs-enqueue.ts</w:t>
            </w:r>
            <w:r>
              <w:rPr>
                <w:sz w:val="19"/>
              </w:rPr>
              <w:t>, same contract as Cloud Tasks dispatch, 3 retries with backoff</w:t>
            </w:r>
          </w:p>
        </w:tc>
      </w:tr>
      <w:tr>
        <w:tc>
          <w:tcPr>
            <w:tcW w:type="dxa" w:w="4320"/>
          </w:tcPr>
          <w:p>
            <w:r>
              <w:rPr>
                <w:sz w:val="19"/>
              </w:rPr>
            </w:r>
            <w:r>
              <w:rPr>
                <w:sz w:val="19"/>
              </w:rPr>
              <w:t>Secrets provider</w:t>
            </w:r>
          </w:p>
        </w:tc>
        <w:tc>
          <w:tcPr>
            <w:tcW w:type="dxa" w:w="4320"/>
          </w:tcPr>
          <w:p>
            <w:r>
              <w:rPr>
                <w:sz w:val="19"/>
              </w:rPr>
            </w:r>
            <w:r>
              <w:rPr>
                <w:sz w:val="19"/>
              </w:rPr>
              <w:t>Secrets Manager behind the existing encryption seam</w:t>
            </w:r>
          </w:p>
        </w:tc>
      </w:tr>
      <w:tr>
        <w:tc>
          <w:tcPr>
            <w:tcW w:type="dxa" w:w="4320"/>
          </w:tcPr>
          <w:p>
            <w:r>
              <w:rPr>
                <w:sz w:val="19"/>
              </w:rPr>
            </w:r>
            <w:r>
              <w:rPr>
                <w:sz w:val="19"/>
              </w:rPr>
              <w:t>IAM gap found and fixed on review</w:t>
            </w:r>
          </w:p>
        </w:tc>
        <w:tc>
          <w:tcPr>
            <w:tcW w:type="dxa" w:w="4320"/>
          </w:tcPr>
          <w:p>
            <w:r>
              <w:rPr>
                <w:sz w:val="19"/>
              </w:rPr>
            </w:r>
            <w:r>
              <w:rPr>
                <w:sz w:val="19"/>
              </w:rPr>
              <w:t xml:space="preserve">Terraform granted SQS and Secrets Manager but </w:t>
            </w:r>
            <w:r>
              <w:rPr>
                <w:b/>
                <w:sz w:val="19"/>
              </w:rPr>
              <w:t>not</w:t>
            </w:r>
            <w:r>
              <w:rPr>
                <w:sz w:val="19"/>
              </w:rPr>
              <w:t xml:space="preserve"> </w:t>
            </w:r>
            <w:r>
              <w:rPr>
                <w:rFonts w:ascii="Consolas" w:hAnsi="Consolas"/>
                <w:sz w:val="19"/>
              </w:rPr>
              <w:t>bedrock:InvokeModel</w:t>
            </w:r>
            <w:r>
              <w:rPr>
                <w:sz w:val="19"/>
              </w:rPr>
              <w:t xml:space="preserve"> — both task roles now grant it</w:t>
            </w:r>
          </w:p>
        </w:tc>
      </w:tr>
      <w:tr>
        <w:tc>
          <w:tcPr>
            <w:tcW w:type="dxa" w:w="4320"/>
          </w:tcPr>
          <w:p>
            <w:r>
              <w:rPr>
                <w:sz w:val="19"/>
              </w:rPr>
            </w:r>
            <w:r>
              <w:rPr>
                <w:sz w:val="19"/>
              </w:rPr>
              <w:t>Android build fixes</w:t>
            </w:r>
          </w:p>
        </w:tc>
        <w:tc>
          <w:tcPr>
            <w:tcW w:type="dxa" w:w="4320"/>
          </w:tcPr>
          <w:p>
            <w:r>
              <w:rPr>
                <w:sz w:val="19"/>
              </w:rPr>
            </w:r>
            <w:r>
              <w:rPr>
                <w:rFonts w:ascii="Consolas" w:hAnsi="Consolas"/>
                <w:sz w:val="19"/>
              </w:rPr>
              <w:t>compileSdk 37</w:t>
            </w:r>
            <w:r>
              <w:rPr>
                <w:sz w:val="19"/>
              </w:rPr>
              <w:t xml:space="preserve"> + </w:t>
            </w:r>
            <w:r>
              <w:rPr>
                <w:rFonts w:ascii="Consolas" w:hAnsi="Consolas"/>
                <w:sz w:val="19"/>
              </w:rPr>
              <w:t>compileSdkMinor 0</w:t>
            </w:r>
            <w:r>
              <w:rPr>
                <w:sz w:val="19"/>
              </w:rPr>
              <w:t xml:space="preserve">, AGP 8.13.1, </w:t>
            </w:r>
            <w:r>
              <w:rPr>
                <w:rFonts w:ascii="Consolas" w:hAnsi="Consolas"/>
                <w:sz w:val="19"/>
              </w:rPr>
              <w:t>targetSdk 36</w:t>
            </w:r>
            <w:r>
              <w:rPr>
                <w:sz w:val="19"/>
              </w:rPr>
              <w:t>, release signing wired, Gradle heap fixed (daemon OOM on this host)</w:t>
            </w:r>
          </w:p>
        </w:tc>
      </w:tr>
    </w:tbl>
    <w:p/>
    <w:p>
      <w:r>
        <w:rPr>
          <w:b/>
        </w:rPr>
        <w:t>Verified by running, not by reading:</w:t>
      </w:r>
      <w:r>
        <w:t xml:space="preserve"> API suite </w:t>
      </w:r>
      <w:r>
        <w:rPr>
          <w:b/>
        </w:rPr>
        <w:t>1080 tests / 61 files, 0 failures</w:t>
      </w:r>
      <w:r>
        <w:t xml:space="preserve"> (was 999). Worker </w:t>
      </w:r>
      <w:r>
        <w:rPr>
          <w:b/>
        </w:rPr>
        <w:t>81 / 7, 0 failures</w:t>
      </w:r>
      <w:r>
        <w:t>. Therapist portal 86. Test harness 302. Terraform validates. TypeScript compiles clean.</w:t>
      </w:r>
    </w:p>
    <w:p>
      <w:r>
        <w:t xml:space="preserve">The Android APK path was also proven end-to-end with a temporary placeholder Firebase config: </w:t>
      </w:r>
      <w:r>
        <w:rPr>
          <w:b/>
        </w:rPr>
        <w:t>`app-prod-release.aab`, 60.7 MB, signed, exit 0.</w:t>
      </w:r>
      <w:r>
        <w:t xml:space="preserve"> That placeholder has been deleted and is not in the repo.</w:t>
      </w:r>
    </w:p>
    <w:p>
      <w:pPr>
        <w:pStyle w:val="Heading2"/>
      </w:pPr>
      <w:r>
        <w:t>3. Three findings that change the shape of this migration</w:t>
      </w:r>
    </w:p>
    <w:p>
      <w:r>
        <w:t>These came from checking AWS's own documentation rather than from memory, and each one changes a decision.</w:t>
      </w:r>
    </w:p>
    <w:p>
      <w:pPr>
        <w:pStyle w:val="Heading3"/>
      </w:pPr>
      <w:r>
        <w:t>3.1 The AI layer is the risk. Not the database.</w:t>
      </w:r>
    </w:p>
    <w:p>
      <w:r>
        <w:t>Every infrastructural port is cheap and boring: RDS at about $88/month, ElastiCache at $12–23, two Fargate services behind load balancers at $56–73, one KMS key at $1.</w:t>
      </w:r>
    </w:p>
    <w:p>
      <w:r>
        <w:t xml:space="preserve">The AI layer is where the problem is. </w:t>
      </w:r>
      <w:r>
        <w:rPr>
          <w:b/>
        </w:rPr>
        <w:t>Amazon Bedrock is available in ap-south-1, but no frontier Claude model sits on the in-region `bedrock-runtime` path.</w:t>
      </w:r>
      <w:r>
        <w:t xml:space="preserve"> On the Mumbai endpoint, Claude is either India-geo (Mumbai </w:t>
      </w:r>
      <w:r>
        <w:rPr>
          <w:b/>
        </w:rPr>
        <w:t>and Hyderabad</w:t>
      </w:r>
      <w:r>
        <w:t xml:space="preserve">) or Global. The only genuinely in-region Claude route is a newer </w:t>
      </w:r>
      <w:r>
        <w:rPr>
          <w:rFonts w:ascii="Consolas" w:hAnsi="Consolas"/>
          <w:sz w:val="19"/>
        </w:rPr>
        <w:t>bedrock-mantle</w:t>
      </w:r>
      <w:r>
        <w:t xml:space="preserve"> endpoint which is </w:t>
      </w:r>
      <w:r>
        <w:rPr>
          <w:b/>
        </w:rPr>
        <w:t>billed through AWS Marketplace — and promotional credits explicitly exclude Marketplace.</w:t>
      </w:r>
      <w:r>
        <w:t xml:space="preserve"> So the credits you are migrating for would not cover the model you would want to use.</w:t>
      </w:r>
    </w:p>
    <w:p>
      <w:r>
        <w:t>What *is* in-region and credit-eligible: open-weight models — Qwen3 235B at $0.26/$1.04 per million tokens, Mistral Large 3 at $0.59/$1.76, Kimi K2.5 at $0.72/$3.60, GLM 5 at $1.20/$3.84, Gemma 3 4B at $0.05/$0.09. Titan Text Embeddings V2 at $0.024/M replaces Gemini embeddings cleanly.</w:t>
      </w:r>
    </w:p>
    <w:p>
      <w:r>
        <w:t xml:space="preserve">Those models are decent. </w:t>
      </w:r>
      <w:r>
        <w:rPr>
          <w:b/>
        </w:rPr>
        <w:t>They are not Gemini-class for structured clinical summarisation</w:t>
      </w:r>
      <w:r>
        <w:t>, and a silent quality drop on the crisis-classification and summarisation prompts is a safety regression, not a cost optimisation. This must be measured, not assumed.</w:t>
      </w:r>
    </w:p>
    <w:p>
      <w:pPr>
        <w:pStyle w:val="Heading3"/>
      </w:pPr>
      <w:r>
        <w:t>3.2 Firebase users cannot be moved to Cognito without forcing password resets</w:t>
      </w:r>
    </w:p>
    <w:p>
      <w:r>
        <w:t>Cognito's import tool accepts BCRYPT, SCRYPT, ARGON2ID and PBKDF2_SHA256 in fixed string formats with no signer-key field. Firebase's modified scrypt depends on a per-project signer key plus a salt separator. The construction does not fit.</w:t>
      </w:r>
    </w:p>
    <w:p>
      <w:r>
        <w:rPr>
          <w:b/>
        </w:rPr>
        <w:t>Consequence: 100% of users must reset passwords.</w:t>
      </w:r>
      <w:r>
        <w:t xml:space="preserve"> Pre-launch with zero real users that is free. Post-launch it is a product event with churn attached. It is a decision, not an engineering detail — and it is why identity migration is sequenced last, not first.</w:t>
      </w:r>
    </w:p>
    <w:p>
      <w:pPr>
        <w:pStyle w:val="Heading3"/>
      </w:pPr>
      <w:r>
        <w:t>3.3 Two services have no drop-in equivalent</w:t>
      </w:r>
    </w:p>
    <w:p>
      <w:pPr>
        <w:pStyle w:val="ListBullet"/>
      </w:pPr>
      <w:r>
        <w:rPr>
          <w:b/>
        </w:rPr>
        <w:t>Cloud Tasks with an OIDC-authenticated HTTP target has no AWS equivalent.</w:t>
      </w:r>
      <w:r>
        <w:t xml:space="preserve"> EventBridge Scheduler will not target non-AWS endpoints; Step Functions HTTP tasks authenticate by Basic, OAuth client-credentials or API key, never an OIDC ID token. The replacement is SQS plus a real consumer in the worker — which is why the worker story is the largest single item in Phase 1.</w:t>
      </w:r>
    </w:p>
    <w:p>
      <w:pPr>
        <w:pStyle w:val="ListBullet"/>
      </w:pPr>
      <w:r>
        <w:rPr>
          <w:b/>
        </w:rPr>
        <w:t>AWS App Runner is closed to new customers.</w:t>
      </w:r>
      <w:r>
        <w:t xml:space="preserve"> Anyone planning "Cloud Run → App Runner, one-to-one" is planning something that cannot be provisioned. ECS Fargate is the target, and the Terraform already reflects that.</w:t>
      </w:r>
    </w:p>
    <w:p>
      <w:pPr>
        <w:pStyle w:val="Heading2"/>
      </w:pPr>
      <w:r>
        <w:t>4. The bridge that gets you off GCP without gambling on models</w:t>
      </w:r>
    </w:p>
    <w:p>
      <w:r>
        <w:t xml:space="preserve">There is a way to leave GCP infrastructure entirely in about three weeks while deferring the model question to measurement. It works because </w:t>
      </w:r>
      <w:r>
        <w:rPr>
          <w:b/>
        </w:rPr>
        <w:t>the LLM call today goes through an API-key path, not through GCP infrastructure.</w:t>
      </w:r>
      <w:r>
        <w:t xml:space="preserve"> The repo already supports a non-Vertex provider (</w:t>
      </w:r>
      <w:r>
        <w:rPr>
          <w:rFonts w:ascii="Consolas" w:hAnsi="Consolas"/>
          <w:sz w:val="19"/>
        </w:rPr>
        <w:t>LLM_PROVIDER=openrouter|gemini</w:t>
      </w:r>
      <w:r>
        <w:t>).</w:t>
      </w:r>
    </w:p>
    <w:p>
      <w:r>
        <w:t>So:</w:t>
      </w:r>
    </w:p>
    <w:p>
      <w:pPr>
        <w:pStyle w:val="ListBullet"/>
      </w:pPr>
      <w:r>
        <w:rPr>
          <w:b/>
        </w:rPr>
        <w:t>Move compute, database, cache, storage, queue, secrets and encryption to AWS now.</w:t>
      </w:r>
      <w:r>
        <w:t xml:space="preserve"> These are the billable, residency-relevant, lock-in parts.</w:t>
      </w:r>
    </w:p>
    <w:p>
      <w:pPr>
        <w:pStyle w:val="ListBullet"/>
      </w:pPr>
      <w:r>
        <w:rPr>
          <w:b/>
        </w:rPr>
        <w:t>Keep the LLM call on an API key during the bridge</w:t>
      </w:r>
      <w:r>
        <w:t xml:space="preserve"> (OpenRouter or a Gemini API key). No GCP project, no GCP IAM, no GCP billing — just a vendor HTTPS call.</w:t>
      </w:r>
    </w:p>
    <w:p>
      <w:pPr>
        <w:pStyle w:val="ListBullet"/>
      </w:pPr>
      <w:r>
        <w:rPr>
          <w:b/>
        </w:rPr>
        <w:t>Move embeddings to Titan on Bedrock</w:t>
      </w:r>
      <w:r>
        <w:t xml:space="preserve"> (§3.1), because embedding quality risk is low and it is in-region and credit-eligible.</w:t>
      </w:r>
    </w:p>
    <w:p>
      <w:pPr>
        <w:pStyle w:val="ListBullet"/>
      </w:pPr>
      <w:r>
        <w:rPr>
          <w:b/>
        </w:rPr>
        <w:t>Run the Bedrock model comparison as a measured spike</w:t>
      </w:r>
      <w:r>
        <w:t>, in parallel, with a clinical acceptance threshold. Migrate the model when it passes; not before.</w:t>
      </w:r>
    </w:p>
    <w:p>
      <w:r>
        <w:t>That gives a two-track programme: Track A gets you hosted on AWS and unblocks the Play Store; Track B decides the model with evidence. Neither blocks the other.</w:t>
      </w:r>
    </w:p>
    <w:p>
      <w:pPr>
        <w:pStyle w:val="Heading2"/>
      </w:pPr>
      <w:r>
        <w:t>5. Service mapping, verified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DEDED"/>
          </w:tcPr>
          <w:p>
            <w:r>
              <w:rPr>
                <w:sz w:val="19"/>
              </w:rPr>
            </w:r>
            <w:r>
              <w:rPr>
                <w:b/>
              </w:rPr>
              <w:t>GCP today</w:t>
            </w:r>
          </w:p>
        </w:tc>
        <w:tc>
          <w:tcPr>
            <w:tcW w:type="dxa" w:w="1728"/>
            <w:shd w:val="clear" w:color="auto" w:fill="EDEDED"/>
          </w:tcPr>
          <w:p>
            <w:r>
              <w:rPr>
                <w:sz w:val="19"/>
              </w:rPr>
            </w:r>
            <w:r>
              <w:rPr>
                <w:b/>
              </w:rPr>
              <w:t>AWS target</w:t>
            </w:r>
          </w:p>
        </w:tc>
        <w:tc>
          <w:tcPr>
            <w:tcW w:type="dxa" w:w="1728"/>
            <w:shd w:val="clear" w:color="auto" w:fill="EDEDED"/>
          </w:tcPr>
          <w:p>
            <w:r>
              <w:rPr>
                <w:sz w:val="19"/>
              </w:rPr>
            </w:r>
            <w:r>
              <w:rPr>
                <w:b/>
              </w:rPr>
              <w:t>In ap-south-1</w:t>
            </w:r>
          </w:p>
        </w:tc>
        <w:tc>
          <w:tcPr>
            <w:tcW w:type="dxa" w:w="1728"/>
            <w:shd w:val="clear" w:color="auto" w:fill="EDEDED"/>
          </w:tcPr>
          <w:p>
            <w:r>
              <w:rPr>
                <w:sz w:val="19"/>
              </w:rPr>
            </w:r>
            <w:r>
              <w:rPr>
                <w:b/>
              </w:rPr>
              <w:t>Effort (dev-days)</w:t>
            </w:r>
          </w:p>
        </w:tc>
        <w:tc>
          <w:tcPr>
            <w:tcW w:type="dxa" w:w="1728"/>
            <w:shd w:val="clear" w:color="auto" w:fill="EDEDED"/>
          </w:tcPr>
          <w:p>
            <w:r>
              <w:rPr>
                <w:sz w:val="19"/>
              </w:rPr>
            </w:r>
            <w:r>
              <w:rPr>
                <w:b/>
              </w:rPr>
              <w:t>Risk</w:t>
            </w:r>
          </w:p>
        </w:tc>
      </w:tr>
      <w:tr>
        <w:tc>
          <w:tcPr>
            <w:tcW w:type="dxa" w:w="1728"/>
          </w:tcPr>
          <w:p>
            <w:r>
              <w:rPr>
                <w:sz w:val="19"/>
              </w:rPr>
            </w:r>
            <w:r>
              <w:rPr>
                <w:sz w:val="19"/>
              </w:rPr>
              <w:t>Vertex AI · Gemini structured JSON</w:t>
            </w:r>
          </w:p>
        </w:tc>
        <w:tc>
          <w:tcPr>
            <w:tcW w:type="dxa" w:w="1728"/>
          </w:tcPr>
          <w:p>
            <w:r>
              <w:rPr>
                <w:sz w:val="19"/>
              </w:rPr>
            </w:r>
            <w:r>
              <w:rPr>
                <w:sz w:val="19"/>
              </w:rPr>
              <w:t>Bedrock Converse + structured outputs; open-weight in-region, or Claude via mantle</w:t>
            </w:r>
          </w:p>
        </w:tc>
        <w:tc>
          <w:tcPr>
            <w:tcW w:type="dxa" w:w="1728"/>
          </w:tcPr>
          <w:p>
            <w:r>
              <w:rPr>
                <w:sz w:val="19"/>
              </w:rPr>
            </w:r>
            <w:r>
              <w:rPr>
                <w:sz w:val="19"/>
              </w:rPr>
              <w:t>Yes, with In-Region/Geo/Global caveats</w:t>
            </w:r>
          </w:p>
        </w:tc>
        <w:tc>
          <w:tcPr>
            <w:tcW w:type="dxa" w:w="1728"/>
          </w:tcPr>
          <w:p>
            <w:r>
              <w:rPr>
                <w:sz w:val="19"/>
              </w:rPr>
            </w:r>
            <w:r>
              <w:rPr>
                <w:sz w:val="19"/>
              </w:rPr>
              <w:t>12–20</w:t>
            </w:r>
          </w:p>
        </w:tc>
        <w:tc>
          <w:tcPr>
            <w:tcW w:type="dxa" w:w="1728"/>
          </w:tcPr>
          <w:p>
            <w:r>
              <w:rPr>
                <w:sz w:val="19"/>
              </w:rPr>
            </w:r>
            <w:r>
              <w:rPr>
                <w:b/>
                <w:sz w:val="19"/>
              </w:rPr>
              <w:t>HIGH</w:t>
            </w:r>
          </w:p>
        </w:tc>
      </w:tr>
      <w:tr>
        <w:tc>
          <w:tcPr>
            <w:tcW w:type="dxa" w:w="1728"/>
          </w:tcPr>
          <w:p>
            <w:r>
              <w:rPr>
                <w:sz w:val="19"/>
              </w:rPr>
            </w:r>
            <w:r>
              <w:rPr>
                <w:sz w:val="19"/>
              </w:rPr>
              <w:t>Vertex AI embeddings</w:t>
            </w:r>
          </w:p>
        </w:tc>
        <w:tc>
          <w:tcPr>
            <w:tcW w:type="dxa" w:w="1728"/>
          </w:tcPr>
          <w:p>
            <w:r>
              <w:rPr>
                <w:sz w:val="19"/>
              </w:rPr>
            </w:r>
            <w:r>
              <w:rPr>
                <w:sz w:val="19"/>
              </w:rPr>
              <w:t>Titan Text Embeddings V2</w:t>
            </w:r>
          </w:p>
        </w:tc>
        <w:tc>
          <w:tcPr>
            <w:tcW w:type="dxa" w:w="1728"/>
          </w:tcPr>
          <w:p>
            <w:r>
              <w:rPr>
                <w:sz w:val="19"/>
              </w:rPr>
            </w:r>
            <w:r>
              <w:rPr>
                <w:sz w:val="19"/>
              </w:rPr>
              <w:t>Yes</w:t>
            </w:r>
          </w:p>
        </w:tc>
        <w:tc>
          <w:tcPr>
            <w:tcW w:type="dxa" w:w="1728"/>
          </w:tcPr>
          <w:p>
            <w:r>
              <w:rPr>
                <w:sz w:val="19"/>
              </w:rPr>
            </w:r>
            <w:r>
              <w:rPr>
                <w:sz w:val="19"/>
              </w:rPr>
              <w:t>3–5 + full re-index</w:t>
            </w:r>
          </w:p>
        </w:tc>
        <w:tc>
          <w:tcPr>
            <w:tcW w:type="dxa" w:w="1728"/>
          </w:tcPr>
          <w:p>
            <w:r>
              <w:rPr>
                <w:sz w:val="19"/>
              </w:rPr>
            </w:r>
            <w:r>
              <w:rPr>
                <w:sz w:val="19"/>
              </w:rPr>
              <w:t>LOW</w:t>
            </w:r>
          </w:p>
        </w:tc>
      </w:tr>
      <w:tr>
        <w:tc>
          <w:tcPr>
            <w:tcW w:type="dxa" w:w="1728"/>
          </w:tcPr>
          <w:p>
            <w:r>
              <w:rPr>
                <w:sz w:val="19"/>
              </w:rPr>
            </w:r>
            <w:r>
              <w:rPr>
                <w:sz w:val="19"/>
              </w:rPr>
              <w:t>Firebase Auth (token verify)</w:t>
            </w:r>
          </w:p>
        </w:tc>
        <w:tc>
          <w:tcPr>
            <w:tcW w:type="dxa" w:w="1728"/>
          </w:tcPr>
          <w:p>
            <w:r>
              <w:rPr>
                <w:sz w:val="19"/>
              </w:rPr>
            </w:r>
            <w:r>
              <w:rPr>
                <w:sz w:val="19"/>
              </w:rPr>
              <w:t xml:space="preserve">Cognito user pools + </w:t>
            </w:r>
            <w:r>
              <w:rPr>
                <w:rFonts w:ascii="Consolas" w:hAnsi="Consolas"/>
                <w:sz w:val="19"/>
              </w:rPr>
              <w:t>aws-jwt-verify</w:t>
            </w:r>
          </w:p>
        </w:tc>
        <w:tc>
          <w:tcPr>
            <w:tcW w:type="dxa" w:w="1728"/>
          </w:tcPr>
          <w:p>
            <w:r>
              <w:rPr>
                <w:sz w:val="19"/>
              </w:rPr>
            </w:r>
            <w:r>
              <w:rPr>
                <w:sz w:val="19"/>
              </w:rPr>
              <w:t>Yes</w:t>
            </w:r>
          </w:p>
        </w:tc>
        <w:tc>
          <w:tcPr>
            <w:tcW w:type="dxa" w:w="1728"/>
          </w:tcPr>
          <w:p>
            <w:r>
              <w:rPr>
                <w:sz w:val="19"/>
              </w:rPr>
            </w:r>
            <w:r>
              <w:rPr>
                <w:sz w:val="19"/>
              </w:rPr>
              <w:t>10–15</w:t>
            </w:r>
          </w:p>
        </w:tc>
        <w:tc>
          <w:tcPr>
            <w:tcW w:type="dxa" w:w="1728"/>
          </w:tcPr>
          <w:p>
            <w:r>
              <w:rPr>
                <w:sz w:val="19"/>
              </w:rPr>
            </w:r>
            <w:r>
              <w:rPr>
                <w:b/>
                <w:sz w:val="19"/>
              </w:rPr>
              <w:t>HIGH</w:t>
            </w:r>
          </w:p>
        </w:tc>
      </w:tr>
      <w:tr>
        <w:tc>
          <w:tcPr>
            <w:tcW w:type="dxa" w:w="1728"/>
          </w:tcPr>
          <w:p>
            <w:r>
              <w:rPr>
                <w:sz w:val="19"/>
              </w:rPr>
            </w:r>
            <w:r>
              <w:rPr>
                <w:sz w:val="19"/>
              </w:rPr>
              <w:t>Firebase Cloud Messaging</w:t>
            </w:r>
          </w:p>
        </w:tc>
        <w:tc>
          <w:tcPr>
            <w:tcW w:type="dxa" w:w="1728"/>
          </w:tcPr>
          <w:p>
            <w:r>
              <w:rPr>
                <w:sz w:val="19"/>
              </w:rPr>
            </w:r>
            <w:r>
              <w:rPr>
                <w:sz w:val="19"/>
              </w:rPr>
              <w:t>Keep FCM (independent of auth) or SNS push</w:t>
            </w:r>
          </w:p>
        </w:tc>
        <w:tc>
          <w:tcPr>
            <w:tcW w:type="dxa" w:w="1728"/>
          </w:tcPr>
          <w:p>
            <w:r>
              <w:rPr>
                <w:sz w:val="19"/>
              </w:rPr>
            </w:r>
            <w:r>
              <w:rPr>
                <w:sz w:val="19"/>
              </w:rPr>
              <w:t>n/a</w:t>
            </w:r>
          </w:p>
        </w:tc>
        <w:tc>
          <w:tcPr>
            <w:tcW w:type="dxa" w:w="1728"/>
          </w:tcPr>
          <w:p>
            <w:r>
              <w:rPr>
                <w:sz w:val="19"/>
              </w:rPr>
            </w:r>
            <w:r>
              <w:rPr>
                <w:sz w:val="19"/>
              </w:rPr>
              <w:t>0–3</w:t>
            </w:r>
          </w:p>
        </w:tc>
        <w:tc>
          <w:tcPr>
            <w:tcW w:type="dxa" w:w="1728"/>
          </w:tcPr>
          <w:p>
            <w:r>
              <w:rPr>
                <w:sz w:val="19"/>
              </w:rPr>
            </w:r>
            <w:r>
              <w:rPr>
                <w:sz w:val="19"/>
              </w:rPr>
              <w:t>LOW</w:t>
            </w:r>
          </w:p>
        </w:tc>
      </w:tr>
      <w:tr>
        <w:tc>
          <w:tcPr>
            <w:tcW w:type="dxa" w:w="1728"/>
          </w:tcPr>
          <w:p>
            <w:r>
              <w:rPr>
                <w:sz w:val="19"/>
              </w:rPr>
            </w:r>
            <w:r>
              <w:rPr>
                <w:sz w:val="19"/>
              </w:rPr>
              <w:t>Cloud SQL for PostgreSQL 16</w:t>
            </w:r>
          </w:p>
        </w:tc>
        <w:tc>
          <w:tcPr>
            <w:tcW w:type="dxa" w:w="1728"/>
          </w:tcPr>
          <w:p>
            <w:r>
              <w:rPr>
                <w:sz w:val="19"/>
              </w:rPr>
            </w:r>
            <w:r>
              <w:rPr>
                <w:sz w:val="19"/>
              </w:rPr>
              <w:t xml:space="preserve">RDS for PostgreSQL, </w:t>
            </w:r>
            <w:r>
              <w:rPr>
                <w:rFonts w:ascii="Consolas" w:hAnsi="Consolas"/>
                <w:sz w:val="19"/>
              </w:rPr>
              <w:t>db.t4g.small</w:t>
            </w:r>
            <w:r>
              <w:rPr>
                <w:sz w:val="19"/>
              </w:rPr>
              <w:t xml:space="preserve"> Multi-AZ + gp3</w:t>
            </w:r>
          </w:p>
        </w:tc>
        <w:tc>
          <w:tcPr>
            <w:tcW w:type="dxa" w:w="1728"/>
          </w:tcPr>
          <w:p>
            <w:r>
              <w:rPr>
                <w:sz w:val="19"/>
              </w:rPr>
            </w:r>
            <w:r>
              <w:rPr>
                <w:sz w:val="19"/>
              </w:rPr>
              <w:t>Yes</w:t>
            </w:r>
          </w:p>
        </w:tc>
        <w:tc>
          <w:tcPr>
            <w:tcW w:type="dxa" w:w="1728"/>
          </w:tcPr>
          <w:p>
            <w:r>
              <w:rPr>
                <w:sz w:val="19"/>
              </w:rPr>
            </w:r>
            <w:r>
              <w:rPr>
                <w:sz w:val="19"/>
              </w:rPr>
              <w:t>4–6</w:t>
            </w:r>
          </w:p>
        </w:tc>
        <w:tc>
          <w:tcPr>
            <w:tcW w:type="dxa" w:w="1728"/>
          </w:tcPr>
          <w:p>
            <w:r>
              <w:rPr>
                <w:sz w:val="19"/>
              </w:rPr>
            </w:r>
            <w:r>
              <w:rPr>
                <w:sz w:val="19"/>
              </w:rPr>
              <w:t>LOW</w:t>
            </w:r>
          </w:p>
        </w:tc>
      </w:tr>
      <w:tr>
        <w:tc>
          <w:tcPr>
            <w:tcW w:type="dxa" w:w="1728"/>
          </w:tcPr>
          <w:p>
            <w:r>
              <w:rPr>
                <w:sz w:val="19"/>
              </w:rPr>
            </w:r>
            <w:r>
              <w:rPr>
                <w:sz w:val="19"/>
              </w:rPr>
              <w:t>Memorystore Redis</w:t>
            </w:r>
          </w:p>
        </w:tc>
        <w:tc>
          <w:tcPr>
            <w:tcW w:type="dxa" w:w="1728"/>
          </w:tcPr>
          <w:p>
            <w:r>
              <w:rPr>
                <w:sz w:val="19"/>
              </w:rPr>
            </w:r>
            <w:r>
              <w:rPr>
                <w:sz w:val="19"/>
              </w:rPr>
              <w:t xml:space="preserve">ElastiCache for Valkey, </w:t>
            </w:r>
            <w:r>
              <w:rPr>
                <w:rFonts w:ascii="Consolas" w:hAnsi="Consolas"/>
                <w:sz w:val="19"/>
              </w:rPr>
              <w:t>cache.t4g.micro</w:t>
            </w:r>
          </w:p>
        </w:tc>
        <w:tc>
          <w:tcPr>
            <w:tcW w:type="dxa" w:w="1728"/>
          </w:tcPr>
          <w:p>
            <w:r>
              <w:rPr>
                <w:sz w:val="19"/>
              </w:rPr>
            </w:r>
            <w:r>
              <w:rPr>
                <w:sz w:val="19"/>
              </w:rPr>
              <w:t>Yes</w:t>
            </w:r>
          </w:p>
        </w:tc>
        <w:tc>
          <w:tcPr>
            <w:tcW w:type="dxa" w:w="1728"/>
          </w:tcPr>
          <w:p>
            <w:r>
              <w:rPr>
                <w:sz w:val="19"/>
              </w:rPr>
            </w:r>
            <w:r>
              <w:rPr>
                <w:sz w:val="19"/>
              </w:rPr>
              <w:t>2–3</w:t>
            </w:r>
          </w:p>
        </w:tc>
        <w:tc>
          <w:tcPr>
            <w:tcW w:type="dxa" w:w="1728"/>
          </w:tcPr>
          <w:p>
            <w:r>
              <w:rPr>
                <w:sz w:val="19"/>
              </w:rPr>
            </w:r>
            <w:r>
              <w:rPr>
                <w:sz w:val="19"/>
              </w:rPr>
              <w:t>LOW</w:t>
            </w:r>
          </w:p>
        </w:tc>
      </w:tr>
      <w:tr>
        <w:tc>
          <w:tcPr>
            <w:tcW w:type="dxa" w:w="1728"/>
          </w:tcPr>
          <w:p>
            <w:r>
              <w:rPr>
                <w:sz w:val="19"/>
              </w:rPr>
            </w:r>
            <w:r>
              <w:rPr>
                <w:sz w:val="19"/>
              </w:rPr>
              <w:t>Cloud Run · api</w:t>
            </w:r>
          </w:p>
        </w:tc>
        <w:tc>
          <w:tcPr>
            <w:tcW w:type="dxa" w:w="1728"/>
          </w:tcPr>
          <w:p>
            <w:r>
              <w:rPr>
                <w:sz w:val="19"/>
              </w:rPr>
            </w:r>
            <w:r>
              <w:rPr>
                <w:sz w:val="19"/>
              </w:rPr>
              <w:t>ECS Fargate + ALB</w:t>
            </w:r>
          </w:p>
        </w:tc>
        <w:tc>
          <w:tcPr>
            <w:tcW w:type="dxa" w:w="1728"/>
          </w:tcPr>
          <w:p>
            <w:r>
              <w:rPr>
                <w:sz w:val="19"/>
              </w:rPr>
            </w:r>
            <w:r>
              <w:rPr>
                <w:sz w:val="19"/>
              </w:rPr>
              <w:t>Yes</w:t>
            </w:r>
          </w:p>
        </w:tc>
        <w:tc>
          <w:tcPr>
            <w:tcW w:type="dxa" w:w="1728"/>
          </w:tcPr>
          <w:p>
            <w:r>
              <w:rPr>
                <w:sz w:val="19"/>
              </w:rPr>
            </w:r>
            <w:r>
              <w:rPr>
                <w:sz w:val="19"/>
              </w:rPr>
              <w:t>6–10</w:t>
            </w:r>
          </w:p>
        </w:tc>
        <w:tc>
          <w:tcPr>
            <w:tcW w:type="dxa" w:w="1728"/>
          </w:tcPr>
          <w:p>
            <w:r>
              <w:rPr>
                <w:sz w:val="19"/>
              </w:rPr>
            </w:r>
            <w:r>
              <w:rPr>
                <w:sz w:val="19"/>
              </w:rPr>
              <w:t>MEDIUM</w:t>
            </w:r>
          </w:p>
        </w:tc>
      </w:tr>
      <w:tr>
        <w:tc>
          <w:tcPr>
            <w:tcW w:type="dxa" w:w="1728"/>
          </w:tcPr>
          <w:p>
            <w:r>
              <w:rPr>
                <w:sz w:val="19"/>
              </w:rPr>
            </w:r>
            <w:r>
              <w:rPr>
                <w:sz w:val="19"/>
              </w:rPr>
              <w:t>Cloud Run · worker</w:t>
            </w:r>
          </w:p>
        </w:tc>
        <w:tc>
          <w:tcPr>
            <w:tcW w:type="dxa" w:w="1728"/>
          </w:tcPr>
          <w:p>
            <w:r>
              <w:rPr>
                <w:sz w:val="19"/>
              </w:rPr>
            </w:r>
            <w:r>
              <w:rPr>
                <w:sz w:val="19"/>
              </w:rPr>
              <w:t>ECS Fargate consuming SQS</w:t>
            </w:r>
          </w:p>
        </w:tc>
        <w:tc>
          <w:tcPr>
            <w:tcW w:type="dxa" w:w="1728"/>
          </w:tcPr>
          <w:p>
            <w:r>
              <w:rPr>
                <w:sz w:val="19"/>
              </w:rPr>
            </w:r>
            <w:r>
              <w:rPr>
                <w:sz w:val="19"/>
              </w:rPr>
              <w:t>Yes</w:t>
            </w:r>
          </w:p>
        </w:tc>
        <w:tc>
          <w:tcPr>
            <w:tcW w:type="dxa" w:w="1728"/>
          </w:tcPr>
          <w:p>
            <w:r>
              <w:rPr>
                <w:sz w:val="19"/>
              </w:rPr>
            </w:r>
            <w:r>
              <w:rPr>
                <w:sz w:val="19"/>
              </w:rPr>
              <w:t>5–8</w:t>
            </w:r>
          </w:p>
        </w:tc>
        <w:tc>
          <w:tcPr>
            <w:tcW w:type="dxa" w:w="1728"/>
          </w:tcPr>
          <w:p>
            <w:r>
              <w:rPr>
                <w:sz w:val="19"/>
              </w:rPr>
            </w:r>
            <w:r>
              <w:rPr>
                <w:sz w:val="19"/>
              </w:rPr>
              <w:t>MEDIUM</w:t>
            </w:r>
          </w:p>
        </w:tc>
      </w:tr>
      <w:tr>
        <w:tc>
          <w:tcPr>
            <w:tcW w:type="dxa" w:w="1728"/>
          </w:tcPr>
          <w:p>
            <w:r>
              <w:rPr>
                <w:sz w:val="19"/>
              </w:rPr>
            </w:r>
            <w:r>
              <w:rPr>
                <w:sz w:val="19"/>
              </w:rPr>
              <w:t>Cloud Tasks (HTTP + OIDC)</w:t>
            </w:r>
          </w:p>
        </w:tc>
        <w:tc>
          <w:tcPr>
            <w:tcW w:type="dxa" w:w="1728"/>
          </w:tcPr>
          <w:p>
            <w:r>
              <w:rPr>
                <w:sz w:val="19"/>
              </w:rPr>
            </w:r>
            <w:r>
              <w:rPr>
                <w:sz w:val="19"/>
              </w:rPr>
              <w:t>SQS + worker consumer</w:t>
            </w:r>
          </w:p>
        </w:tc>
        <w:tc>
          <w:tcPr>
            <w:tcW w:type="dxa" w:w="1728"/>
          </w:tcPr>
          <w:p>
            <w:r>
              <w:rPr>
                <w:sz w:val="19"/>
              </w:rPr>
            </w:r>
            <w:r>
              <w:rPr>
                <w:sz w:val="19"/>
              </w:rPr>
              <w:t>Yes</w:t>
            </w:r>
          </w:p>
        </w:tc>
        <w:tc>
          <w:tcPr>
            <w:tcW w:type="dxa" w:w="1728"/>
          </w:tcPr>
          <w:p>
            <w:r>
              <w:rPr>
                <w:sz w:val="19"/>
              </w:rPr>
            </w:r>
            <w:r>
              <w:rPr>
                <w:sz w:val="19"/>
              </w:rPr>
              <w:t>4–8</w:t>
            </w:r>
          </w:p>
        </w:tc>
        <w:tc>
          <w:tcPr>
            <w:tcW w:type="dxa" w:w="1728"/>
          </w:tcPr>
          <w:p>
            <w:r>
              <w:rPr>
                <w:sz w:val="19"/>
              </w:rPr>
            </w:r>
            <w:r>
              <w:rPr>
                <w:b/>
                <w:sz w:val="19"/>
              </w:rPr>
              <w:t>HIGH</w:t>
            </w:r>
          </w:p>
        </w:tc>
      </w:tr>
      <w:tr>
        <w:tc>
          <w:tcPr>
            <w:tcW w:type="dxa" w:w="1728"/>
          </w:tcPr>
          <w:p>
            <w:r>
              <w:rPr>
                <w:sz w:val="19"/>
              </w:rPr>
            </w:r>
            <w:r>
              <w:rPr>
                <w:sz w:val="19"/>
              </w:rPr>
              <w:t>Secret Manager</w:t>
            </w:r>
          </w:p>
        </w:tc>
        <w:tc>
          <w:tcPr>
            <w:tcW w:type="dxa" w:w="1728"/>
          </w:tcPr>
          <w:p>
            <w:r>
              <w:rPr>
                <w:sz w:val="19"/>
              </w:rPr>
            </w:r>
            <w:r>
              <w:rPr>
                <w:sz w:val="19"/>
              </w:rPr>
              <w:t>Secrets Manager ($0.40/secret) + SSM for config</w:t>
            </w:r>
          </w:p>
        </w:tc>
        <w:tc>
          <w:tcPr>
            <w:tcW w:type="dxa" w:w="1728"/>
          </w:tcPr>
          <w:p>
            <w:r>
              <w:rPr>
                <w:sz w:val="19"/>
              </w:rPr>
            </w:r>
            <w:r>
              <w:rPr>
                <w:sz w:val="19"/>
              </w:rPr>
              <w:t>Yes</w:t>
            </w:r>
          </w:p>
        </w:tc>
        <w:tc>
          <w:tcPr>
            <w:tcW w:type="dxa" w:w="1728"/>
          </w:tcPr>
          <w:p>
            <w:r>
              <w:rPr>
                <w:sz w:val="19"/>
              </w:rPr>
            </w:r>
            <w:r>
              <w:rPr>
                <w:sz w:val="19"/>
              </w:rPr>
              <w:t>1–2</w:t>
            </w:r>
          </w:p>
        </w:tc>
        <w:tc>
          <w:tcPr>
            <w:tcW w:type="dxa" w:w="1728"/>
          </w:tcPr>
          <w:p>
            <w:r>
              <w:rPr>
                <w:sz w:val="19"/>
              </w:rPr>
            </w:r>
            <w:r>
              <w:rPr>
                <w:sz w:val="19"/>
              </w:rPr>
              <w:t>LOW</w:t>
            </w:r>
          </w:p>
        </w:tc>
      </w:tr>
      <w:tr>
        <w:tc>
          <w:tcPr>
            <w:tcW w:type="dxa" w:w="1728"/>
          </w:tcPr>
          <w:p>
            <w:r>
              <w:rPr>
                <w:sz w:val="19"/>
              </w:rPr>
            </w:r>
            <w:r>
              <w:rPr>
                <w:sz w:val="19"/>
              </w:rPr>
              <w:t>Cloud KMS (contact encryption)</w:t>
            </w:r>
          </w:p>
        </w:tc>
        <w:tc>
          <w:tcPr>
            <w:tcW w:type="dxa" w:w="1728"/>
          </w:tcPr>
          <w:p>
            <w:r>
              <w:rPr>
                <w:sz w:val="19"/>
              </w:rPr>
            </w:r>
            <w:r>
              <w:rPr>
                <w:sz w:val="19"/>
              </w:rPr>
              <w:t>KMS CMK + envelope encryption</w:t>
            </w:r>
          </w:p>
        </w:tc>
        <w:tc>
          <w:tcPr>
            <w:tcW w:type="dxa" w:w="1728"/>
          </w:tcPr>
          <w:p>
            <w:r>
              <w:rPr>
                <w:sz w:val="19"/>
              </w:rPr>
            </w:r>
            <w:r>
              <w:rPr>
                <w:sz w:val="19"/>
              </w:rPr>
              <w:t>Yes</w:t>
            </w:r>
          </w:p>
        </w:tc>
        <w:tc>
          <w:tcPr>
            <w:tcW w:type="dxa" w:w="1728"/>
          </w:tcPr>
          <w:p>
            <w:r>
              <w:rPr>
                <w:sz w:val="19"/>
              </w:rPr>
            </w:r>
            <w:r>
              <w:rPr>
                <w:sz w:val="19"/>
              </w:rPr>
              <w:t>3–5</w:t>
            </w:r>
          </w:p>
        </w:tc>
        <w:tc>
          <w:tcPr>
            <w:tcW w:type="dxa" w:w="1728"/>
          </w:tcPr>
          <w:p>
            <w:r>
              <w:rPr>
                <w:sz w:val="19"/>
              </w:rPr>
            </w:r>
            <w:r>
              <w:rPr>
                <w:sz w:val="19"/>
              </w:rPr>
              <w:t>MEDIUM</w:t>
            </w:r>
          </w:p>
        </w:tc>
      </w:tr>
      <w:tr>
        <w:tc>
          <w:tcPr>
            <w:tcW w:type="dxa" w:w="1728"/>
          </w:tcPr>
          <w:p>
            <w:r>
              <w:rPr>
                <w:sz w:val="19"/>
              </w:rPr>
            </w:r>
            <w:r>
              <w:rPr>
                <w:sz w:val="19"/>
              </w:rPr>
              <w:t>Cloud Build + Artifact Registry</w:t>
            </w:r>
          </w:p>
        </w:tc>
        <w:tc>
          <w:tcPr>
            <w:tcW w:type="dxa" w:w="1728"/>
          </w:tcPr>
          <w:p>
            <w:r>
              <w:rPr>
                <w:sz w:val="19"/>
              </w:rPr>
            </w:r>
            <w:r>
              <w:rPr>
                <w:sz w:val="19"/>
              </w:rPr>
              <w:t>CodeBuild + ECR, or GitHub Actions with OIDC</w:t>
            </w:r>
          </w:p>
        </w:tc>
        <w:tc>
          <w:tcPr>
            <w:tcW w:type="dxa" w:w="1728"/>
          </w:tcPr>
          <w:p>
            <w:r>
              <w:rPr>
                <w:sz w:val="19"/>
              </w:rPr>
            </w:r>
            <w:r>
              <w:rPr>
                <w:sz w:val="19"/>
              </w:rPr>
              <w:t>Yes</w:t>
            </w:r>
          </w:p>
        </w:tc>
        <w:tc>
          <w:tcPr>
            <w:tcW w:type="dxa" w:w="1728"/>
          </w:tcPr>
          <w:p>
            <w:r>
              <w:rPr>
                <w:sz w:val="19"/>
              </w:rPr>
            </w:r>
            <w:r>
              <w:rPr>
                <w:sz w:val="19"/>
              </w:rPr>
              <w:t>3–5</w:t>
            </w:r>
          </w:p>
        </w:tc>
        <w:tc>
          <w:tcPr>
            <w:tcW w:type="dxa" w:w="1728"/>
          </w:tcPr>
          <w:p>
            <w:r>
              <w:rPr>
                <w:sz w:val="19"/>
              </w:rPr>
            </w:r>
            <w:r>
              <w:rPr>
                <w:sz w:val="19"/>
              </w:rPr>
              <w:t>LOW</w:t>
            </w:r>
          </w:p>
        </w:tc>
      </w:tr>
      <w:tr>
        <w:tc>
          <w:tcPr>
            <w:tcW w:type="dxa" w:w="1728"/>
          </w:tcPr>
          <w:p>
            <w:r>
              <w:rPr>
                <w:sz w:val="19"/>
              </w:rPr>
            </w:r>
            <w:r>
              <w:rPr>
                <w:sz w:val="19"/>
              </w:rPr>
              <w:t>GCP DPA / asia-south1 residency</w:t>
            </w:r>
          </w:p>
        </w:tc>
        <w:tc>
          <w:tcPr>
            <w:tcW w:type="dxa" w:w="1728"/>
          </w:tcPr>
          <w:p>
            <w:r>
              <w:rPr>
                <w:sz w:val="19"/>
              </w:rPr>
            </w:r>
            <w:r>
              <w:rPr>
                <w:sz w:val="19"/>
              </w:rPr>
              <w:t>Region-scoped AWS resources + AWS DPA</w:t>
            </w:r>
          </w:p>
        </w:tc>
        <w:tc>
          <w:tcPr>
            <w:tcW w:type="dxa" w:w="1728"/>
          </w:tcPr>
          <w:p>
            <w:r>
              <w:rPr>
                <w:sz w:val="19"/>
              </w:rPr>
            </w:r>
            <w:r>
              <w:rPr>
                <w:sz w:val="19"/>
              </w:rPr>
              <w:t>ap-south-1</w:t>
            </w:r>
          </w:p>
        </w:tc>
        <w:tc>
          <w:tcPr>
            <w:tcW w:type="dxa" w:w="1728"/>
          </w:tcPr>
          <w:p>
            <w:r>
              <w:rPr>
                <w:sz w:val="19"/>
              </w:rPr>
            </w:r>
            <w:r>
              <w:rPr>
                <w:sz w:val="19"/>
              </w:rPr>
              <w:t>2–4 (legal)</w:t>
            </w:r>
          </w:p>
        </w:tc>
        <w:tc>
          <w:tcPr>
            <w:tcW w:type="dxa" w:w="1728"/>
          </w:tcPr>
          <w:p>
            <w:r>
              <w:rPr>
                <w:sz w:val="19"/>
              </w:rPr>
            </w:r>
            <w:r>
              <w:rPr>
                <w:sz w:val="19"/>
              </w:rPr>
              <w:t>MEDIUM</w:t>
            </w:r>
          </w:p>
        </w:tc>
      </w:tr>
    </w:tbl>
    <w:p/>
    <w:p>
      <w:pPr>
        <w:pStyle w:val="Heading2"/>
      </w:pPr>
      <w:r>
        <w:t>6. Phases and stories</w:t>
      </w:r>
    </w:p>
    <w:p>
      <w:pPr>
        <w:pStyle w:val="Heading3"/>
      </w:pPr>
      <w:r>
        <w:t>Phase 1 — Substrate (34 dev-days) · Track 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DEDED"/>
          </w:tcPr>
          <w:p>
            <w:r>
              <w:rPr>
                <w:sz w:val="19"/>
              </w:rPr>
            </w:r>
            <w:r>
              <w:rPr>
                <w:b/>
              </w:rPr>
              <w:t>ID</w:t>
            </w:r>
          </w:p>
        </w:tc>
        <w:tc>
          <w:tcPr>
            <w:tcW w:type="dxa" w:w="2880"/>
            <w:shd w:val="clear" w:color="auto" w:fill="EDEDED"/>
          </w:tcPr>
          <w:p>
            <w:r>
              <w:rPr>
                <w:sz w:val="19"/>
              </w:rPr>
            </w:r>
            <w:r>
              <w:rPr>
                <w:b/>
              </w:rPr>
              <w:t>Story</w:t>
            </w:r>
          </w:p>
        </w:tc>
        <w:tc>
          <w:tcPr>
            <w:tcW w:type="dxa" w:w="2880"/>
            <w:shd w:val="clear" w:color="auto" w:fill="EDEDED"/>
          </w:tcPr>
          <w:p>
            <w:r>
              <w:rPr>
                <w:sz w:val="19"/>
              </w:rPr>
            </w:r>
            <w:r>
              <w:rPr>
                <w:b/>
              </w:rPr>
              <w:t>dd</w:t>
            </w:r>
          </w:p>
        </w:tc>
      </w:tr>
      <w:tr>
        <w:tc>
          <w:tcPr>
            <w:tcW w:type="dxa" w:w="2880"/>
          </w:tcPr>
          <w:p>
            <w:r>
              <w:rPr>
                <w:sz w:val="19"/>
              </w:rPr>
            </w:r>
            <w:r>
              <w:rPr>
                <w:sz w:val="19"/>
              </w:rPr>
              <w:t>A1</w:t>
            </w:r>
          </w:p>
        </w:tc>
        <w:tc>
          <w:tcPr>
            <w:tcW w:type="dxa" w:w="2880"/>
          </w:tcPr>
          <w:p>
            <w:r>
              <w:rPr>
                <w:sz w:val="19"/>
              </w:rPr>
            </w:r>
            <w:r>
              <w:rPr>
                <w:sz w:val="19"/>
              </w:rPr>
              <w:t>AWS account baseline: IAM user/roles, MFA, budget alarm, credits confirmed</w:t>
            </w:r>
          </w:p>
        </w:tc>
        <w:tc>
          <w:tcPr>
            <w:tcW w:type="dxa" w:w="2880"/>
          </w:tcPr>
          <w:p>
            <w:r>
              <w:rPr>
                <w:sz w:val="19"/>
              </w:rPr>
            </w:r>
            <w:r>
              <w:rPr>
                <w:sz w:val="19"/>
              </w:rPr>
              <w:t>1</w:t>
            </w:r>
          </w:p>
        </w:tc>
      </w:tr>
      <w:tr>
        <w:tc>
          <w:tcPr>
            <w:tcW w:type="dxa" w:w="2880"/>
          </w:tcPr>
          <w:p>
            <w:r>
              <w:rPr>
                <w:sz w:val="19"/>
              </w:rPr>
            </w:r>
            <w:r>
              <w:rPr>
                <w:sz w:val="19"/>
              </w:rPr>
              <w:t>A2</w:t>
            </w:r>
          </w:p>
        </w:tc>
        <w:tc>
          <w:tcPr>
            <w:tcW w:type="dxa" w:w="2880"/>
          </w:tcPr>
          <w:p>
            <w:r>
              <w:rPr>
                <w:sz w:val="19"/>
              </w:rPr>
            </w:r>
            <w:r>
              <w:rPr>
                <w:sz w:val="19"/>
              </w:rPr>
              <w:t>Apply Terraform beta stack (VPC, RDS, ElastiCache, S3, KMS, ECR, ECS, ALB, SQS)</w:t>
            </w:r>
          </w:p>
        </w:tc>
        <w:tc>
          <w:tcPr>
            <w:tcW w:type="dxa" w:w="2880"/>
          </w:tcPr>
          <w:p>
            <w:r>
              <w:rPr>
                <w:sz w:val="19"/>
              </w:rPr>
            </w:r>
            <w:r>
              <w:rPr>
                <w:sz w:val="19"/>
              </w:rPr>
              <w:t>3</w:t>
            </w:r>
          </w:p>
        </w:tc>
      </w:tr>
      <w:tr>
        <w:tc>
          <w:tcPr>
            <w:tcW w:type="dxa" w:w="2880"/>
          </w:tcPr>
          <w:p>
            <w:r>
              <w:rPr>
                <w:sz w:val="19"/>
              </w:rPr>
            </w:r>
            <w:r>
              <w:rPr>
                <w:sz w:val="19"/>
              </w:rPr>
              <w:t>A3</w:t>
            </w:r>
          </w:p>
        </w:tc>
        <w:tc>
          <w:tcPr>
            <w:tcW w:type="dxa" w:w="2880"/>
          </w:tcPr>
          <w:p>
            <w:r>
              <w:rPr>
                <w:sz w:val="19"/>
              </w:rPr>
            </w:r>
            <w:r>
              <w:rPr>
                <w:sz w:val="19"/>
              </w:rPr>
              <w:t>Container builds + CI to ECR with GitHub Actions OIDC</w:t>
            </w:r>
          </w:p>
        </w:tc>
        <w:tc>
          <w:tcPr>
            <w:tcW w:type="dxa" w:w="2880"/>
          </w:tcPr>
          <w:p>
            <w:r>
              <w:rPr>
                <w:sz w:val="19"/>
              </w:rPr>
            </w:r>
            <w:r>
              <w:rPr>
                <w:sz w:val="19"/>
              </w:rPr>
              <w:t>4</w:t>
            </w:r>
          </w:p>
        </w:tc>
      </w:tr>
      <w:tr>
        <w:tc>
          <w:tcPr>
            <w:tcW w:type="dxa" w:w="2880"/>
          </w:tcPr>
          <w:p>
            <w:r>
              <w:rPr>
                <w:sz w:val="19"/>
              </w:rPr>
            </w:r>
            <w:r>
              <w:rPr>
                <w:sz w:val="19"/>
              </w:rPr>
              <w:t>A4</w:t>
            </w:r>
          </w:p>
        </w:tc>
        <w:tc>
          <w:tcPr>
            <w:tcW w:type="dxa" w:w="2880"/>
          </w:tcPr>
          <w:p>
            <w:r>
              <w:rPr>
                <w:sz w:val="19"/>
              </w:rPr>
            </w:r>
            <w:r>
              <w:rPr>
                <w:sz w:val="19"/>
              </w:rPr>
              <w:t>Prisma migrate + seed against RDS</w:t>
            </w:r>
          </w:p>
        </w:tc>
        <w:tc>
          <w:tcPr>
            <w:tcW w:type="dxa" w:w="2880"/>
          </w:tcPr>
          <w:p>
            <w:r>
              <w:rPr>
                <w:sz w:val="19"/>
              </w:rPr>
            </w:r>
            <w:r>
              <w:rPr>
                <w:sz w:val="19"/>
              </w:rPr>
              <w:t>2</w:t>
            </w:r>
          </w:p>
        </w:tc>
      </w:tr>
      <w:tr>
        <w:tc>
          <w:tcPr>
            <w:tcW w:type="dxa" w:w="2880"/>
          </w:tcPr>
          <w:p>
            <w:r>
              <w:rPr>
                <w:sz w:val="19"/>
              </w:rPr>
            </w:r>
            <w:r>
              <w:rPr>
                <w:sz w:val="19"/>
              </w:rPr>
              <w:t>A5</w:t>
            </w:r>
          </w:p>
        </w:tc>
        <w:tc>
          <w:tcPr>
            <w:tcW w:type="dxa" w:w="2880"/>
          </w:tcPr>
          <w:p>
            <w:r>
              <w:rPr>
                <w:sz w:val="19"/>
              </w:rPr>
            </w:r>
            <w:r>
              <w:rPr>
                <w:sz w:val="19"/>
              </w:rPr>
              <w:t xml:space="preserve">API on ECS Fargate behind ALB, </w:t>
            </w:r>
            <w:r>
              <w:rPr>
                <w:rFonts w:ascii="Consolas" w:hAnsi="Consolas"/>
                <w:sz w:val="19"/>
              </w:rPr>
              <w:t>/health</w:t>
            </w:r>
            <w:r>
              <w:rPr>
                <w:sz w:val="19"/>
              </w:rPr>
              <w:t xml:space="preserve"> green</w:t>
            </w:r>
          </w:p>
        </w:tc>
        <w:tc>
          <w:tcPr>
            <w:tcW w:type="dxa" w:w="2880"/>
          </w:tcPr>
          <w:p>
            <w:r>
              <w:rPr>
                <w:sz w:val="19"/>
              </w:rPr>
            </w:r>
            <w:r>
              <w:rPr>
                <w:sz w:val="19"/>
              </w:rPr>
              <w:t>5</w:t>
            </w:r>
          </w:p>
        </w:tc>
      </w:tr>
      <w:tr>
        <w:tc>
          <w:tcPr>
            <w:tcW w:type="dxa" w:w="2880"/>
          </w:tcPr>
          <w:p>
            <w:r>
              <w:rPr>
                <w:sz w:val="19"/>
              </w:rPr>
            </w:r>
            <w:r>
              <w:rPr>
                <w:sz w:val="19"/>
              </w:rPr>
              <w:t>A6</w:t>
            </w:r>
          </w:p>
        </w:tc>
        <w:tc>
          <w:tcPr>
            <w:tcW w:type="dxa" w:w="2880"/>
          </w:tcPr>
          <w:p>
            <w:r>
              <w:rPr>
                <w:sz w:val="19"/>
              </w:rPr>
            </w:r>
            <w:r>
              <w:rPr>
                <w:sz w:val="19"/>
              </w:rPr>
              <w:t xml:space="preserve">Worker on ECS + </w:t>
            </w:r>
            <w:r>
              <w:rPr>
                <w:b/>
                <w:sz w:val="19"/>
              </w:rPr>
              <w:t>SQS consumer</w:t>
            </w:r>
            <w:r>
              <w:rPr>
                <w:sz w:val="19"/>
              </w:rPr>
              <w:t xml:space="preserve"> replacing the OIDC HTTP endpoint</w:t>
            </w:r>
          </w:p>
        </w:tc>
        <w:tc>
          <w:tcPr>
            <w:tcW w:type="dxa" w:w="2880"/>
          </w:tcPr>
          <w:p>
            <w:r>
              <w:rPr>
                <w:sz w:val="19"/>
              </w:rPr>
            </w:r>
            <w:r>
              <w:rPr>
                <w:sz w:val="19"/>
              </w:rPr>
              <w:t>7</w:t>
            </w:r>
          </w:p>
        </w:tc>
      </w:tr>
      <w:tr>
        <w:tc>
          <w:tcPr>
            <w:tcW w:type="dxa" w:w="2880"/>
          </w:tcPr>
          <w:p>
            <w:r>
              <w:rPr>
                <w:sz w:val="19"/>
              </w:rPr>
            </w:r>
            <w:r>
              <w:rPr>
                <w:sz w:val="19"/>
              </w:rPr>
              <w:t>A7</w:t>
            </w:r>
          </w:p>
        </w:tc>
        <w:tc>
          <w:tcPr>
            <w:tcW w:type="dxa" w:w="2880"/>
          </w:tcPr>
          <w:p>
            <w:r>
              <w:rPr>
                <w:sz w:val="19"/>
              </w:rPr>
            </w:r>
            <w:r>
              <w:rPr>
                <w:sz w:val="19"/>
              </w:rPr>
              <w:t>Redis cutover (config only — ElastiCache is wire-compatible)</w:t>
            </w:r>
          </w:p>
        </w:tc>
        <w:tc>
          <w:tcPr>
            <w:tcW w:type="dxa" w:w="2880"/>
          </w:tcPr>
          <w:p>
            <w:r>
              <w:rPr>
                <w:sz w:val="19"/>
              </w:rPr>
            </w:r>
            <w:r>
              <w:rPr>
                <w:sz w:val="19"/>
              </w:rPr>
              <w:t>2</w:t>
            </w:r>
          </w:p>
        </w:tc>
      </w:tr>
      <w:tr>
        <w:tc>
          <w:tcPr>
            <w:tcW w:type="dxa" w:w="2880"/>
          </w:tcPr>
          <w:p>
            <w:r>
              <w:rPr>
                <w:sz w:val="19"/>
              </w:rPr>
            </w:r>
            <w:r>
              <w:rPr>
                <w:sz w:val="19"/>
              </w:rPr>
              <w:t>A8</w:t>
            </w:r>
          </w:p>
        </w:tc>
        <w:tc>
          <w:tcPr>
            <w:tcW w:type="dxa" w:w="2880"/>
          </w:tcPr>
          <w:p>
            <w:r>
              <w:rPr>
                <w:sz w:val="19"/>
              </w:rPr>
            </w:r>
            <w:r>
              <w:rPr>
                <w:sz w:val="19"/>
              </w:rPr>
              <w:t>Secrets Manager wiring + KMS envelope encryption for emergency contacts</w:t>
            </w:r>
          </w:p>
        </w:tc>
        <w:tc>
          <w:tcPr>
            <w:tcW w:type="dxa" w:w="2880"/>
          </w:tcPr>
          <w:p>
            <w:r>
              <w:rPr>
                <w:sz w:val="19"/>
              </w:rPr>
            </w:r>
            <w:r>
              <w:rPr>
                <w:sz w:val="19"/>
              </w:rPr>
              <w:t>4</w:t>
            </w:r>
          </w:p>
        </w:tc>
      </w:tr>
      <w:tr>
        <w:tc>
          <w:tcPr>
            <w:tcW w:type="dxa" w:w="2880"/>
          </w:tcPr>
          <w:p>
            <w:r>
              <w:rPr>
                <w:sz w:val="19"/>
              </w:rPr>
            </w:r>
            <w:r>
              <w:rPr>
                <w:sz w:val="19"/>
              </w:rPr>
              <w:t>A9</w:t>
            </w:r>
          </w:p>
        </w:tc>
        <w:tc>
          <w:tcPr>
            <w:tcW w:type="dxa" w:w="2880"/>
          </w:tcPr>
          <w:p>
            <w:r>
              <w:rPr>
                <w:sz w:val="19"/>
              </w:rPr>
            </w:r>
            <w:r>
              <w:rPr>
                <w:sz w:val="19"/>
              </w:rPr>
              <w:t>S3 uploads adapter with presigned PUT + SSE-KMS</w:t>
            </w:r>
          </w:p>
        </w:tc>
        <w:tc>
          <w:tcPr>
            <w:tcW w:type="dxa" w:w="2880"/>
          </w:tcPr>
          <w:p>
            <w:r>
              <w:rPr>
                <w:sz w:val="19"/>
              </w:rPr>
            </w:r>
            <w:r>
              <w:rPr>
                <w:sz w:val="19"/>
              </w:rPr>
              <w:t>4</w:t>
            </w:r>
          </w:p>
        </w:tc>
      </w:tr>
      <w:tr>
        <w:tc>
          <w:tcPr>
            <w:tcW w:type="dxa" w:w="2880"/>
          </w:tcPr>
          <w:p>
            <w:r>
              <w:rPr>
                <w:sz w:val="19"/>
              </w:rPr>
            </w:r>
            <w:r>
              <w:rPr>
                <w:sz w:val="19"/>
              </w:rPr>
              <w:t>A10</w:t>
            </w:r>
          </w:p>
        </w:tc>
        <w:tc>
          <w:tcPr>
            <w:tcW w:type="dxa" w:w="2880"/>
          </w:tcPr>
          <w:p>
            <w:r>
              <w:rPr>
                <w:sz w:val="19"/>
              </w:rPr>
            </w:r>
            <w:r>
              <w:rPr>
                <w:sz w:val="19"/>
              </w:rPr>
              <w:t>Observability: log groups, alarms, cost anomaly detection</w:t>
            </w:r>
          </w:p>
        </w:tc>
        <w:tc>
          <w:tcPr>
            <w:tcW w:type="dxa" w:w="2880"/>
          </w:tcPr>
          <w:p>
            <w:r>
              <w:rPr>
                <w:sz w:val="19"/>
              </w:rPr>
            </w:r>
            <w:r>
              <w:rPr>
                <w:sz w:val="19"/>
              </w:rPr>
              <w:t>2</w:t>
            </w:r>
          </w:p>
        </w:tc>
      </w:tr>
    </w:tbl>
    <w:p/>
    <w:p>
      <w:pPr>
        <w:pStyle w:val="Heading3"/>
      </w:pPr>
      <w:r>
        <w:t>Phase 2 — Embeddings (8 dev-days) · Track 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DEDED"/>
          </w:tcPr>
          <w:p>
            <w:r>
              <w:rPr>
                <w:sz w:val="19"/>
              </w:rPr>
            </w:r>
            <w:r>
              <w:rPr>
                <w:b/>
              </w:rPr>
              <w:t>ID</w:t>
            </w:r>
          </w:p>
        </w:tc>
        <w:tc>
          <w:tcPr>
            <w:tcW w:type="dxa" w:w="2880"/>
            <w:shd w:val="clear" w:color="auto" w:fill="EDEDED"/>
          </w:tcPr>
          <w:p>
            <w:r>
              <w:rPr>
                <w:sz w:val="19"/>
              </w:rPr>
            </w:r>
            <w:r>
              <w:rPr>
                <w:b/>
              </w:rPr>
              <w:t>Story</w:t>
            </w:r>
          </w:p>
        </w:tc>
        <w:tc>
          <w:tcPr>
            <w:tcW w:type="dxa" w:w="2880"/>
            <w:shd w:val="clear" w:color="auto" w:fill="EDEDED"/>
          </w:tcPr>
          <w:p>
            <w:r>
              <w:rPr>
                <w:sz w:val="19"/>
              </w:rPr>
            </w:r>
            <w:r>
              <w:rPr>
                <w:b/>
              </w:rPr>
              <w:t>dd</w:t>
            </w:r>
          </w:p>
        </w:tc>
      </w:tr>
      <w:tr>
        <w:tc>
          <w:tcPr>
            <w:tcW w:type="dxa" w:w="2880"/>
          </w:tcPr>
          <w:p>
            <w:r>
              <w:rPr>
                <w:sz w:val="19"/>
              </w:rPr>
            </w:r>
            <w:r>
              <w:rPr>
                <w:sz w:val="19"/>
              </w:rPr>
              <w:t>B1</w:t>
            </w:r>
          </w:p>
        </w:tc>
        <w:tc>
          <w:tcPr>
            <w:tcW w:type="dxa" w:w="2880"/>
          </w:tcPr>
          <w:p>
            <w:r>
              <w:rPr>
                <w:sz w:val="19"/>
              </w:rPr>
            </w:r>
            <w:r>
              <w:rPr>
                <w:sz w:val="19"/>
              </w:rPr>
              <w:t>Titan V2 embeddings behind the existing interface</w:t>
            </w:r>
          </w:p>
        </w:tc>
        <w:tc>
          <w:tcPr>
            <w:tcW w:type="dxa" w:w="2880"/>
          </w:tcPr>
          <w:p>
            <w:r>
              <w:rPr>
                <w:sz w:val="19"/>
              </w:rPr>
            </w:r>
            <w:r>
              <w:rPr>
                <w:sz w:val="19"/>
              </w:rPr>
              <w:t>3</w:t>
            </w:r>
          </w:p>
        </w:tc>
      </w:tr>
      <w:tr>
        <w:tc>
          <w:tcPr>
            <w:tcW w:type="dxa" w:w="2880"/>
          </w:tcPr>
          <w:p>
            <w:r>
              <w:rPr>
                <w:sz w:val="19"/>
              </w:rPr>
            </w:r>
            <w:r>
              <w:rPr>
                <w:sz w:val="19"/>
              </w:rPr>
              <w:t>B2</w:t>
            </w:r>
          </w:p>
        </w:tc>
        <w:tc>
          <w:tcPr>
            <w:tcW w:type="dxa" w:w="2880"/>
          </w:tcPr>
          <w:p>
            <w:r>
              <w:rPr>
                <w:sz w:val="19"/>
              </w:rPr>
            </w:r>
            <w:r>
              <w:rPr>
                <w:sz w:val="19"/>
              </w:rPr>
              <w:t>Full re-index of stored summaries (vectors are not comparable across models)</w:t>
            </w:r>
          </w:p>
        </w:tc>
        <w:tc>
          <w:tcPr>
            <w:tcW w:type="dxa" w:w="2880"/>
          </w:tcPr>
          <w:p>
            <w:r>
              <w:rPr>
                <w:sz w:val="19"/>
              </w:rPr>
            </w:r>
            <w:r>
              <w:rPr>
                <w:sz w:val="19"/>
              </w:rPr>
              <w:t>5</w:t>
            </w:r>
          </w:p>
        </w:tc>
      </w:tr>
    </w:tbl>
    <w:p/>
    <w:p>
      <w:pPr>
        <w:pStyle w:val="Heading3"/>
      </w:pPr>
      <w:r>
        <w:t>Phase 3 — Cutover (8 dev-days) · Track 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DEDED"/>
          </w:tcPr>
          <w:p>
            <w:r>
              <w:rPr>
                <w:sz w:val="19"/>
              </w:rPr>
            </w:r>
            <w:r>
              <w:rPr>
                <w:b/>
              </w:rPr>
              <w:t>ID</w:t>
            </w:r>
          </w:p>
        </w:tc>
        <w:tc>
          <w:tcPr>
            <w:tcW w:type="dxa" w:w="2880"/>
            <w:shd w:val="clear" w:color="auto" w:fill="EDEDED"/>
          </w:tcPr>
          <w:p>
            <w:r>
              <w:rPr>
                <w:sz w:val="19"/>
              </w:rPr>
            </w:r>
            <w:r>
              <w:rPr>
                <w:b/>
              </w:rPr>
              <w:t>Story</w:t>
            </w:r>
          </w:p>
        </w:tc>
        <w:tc>
          <w:tcPr>
            <w:tcW w:type="dxa" w:w="2880"/>
            <w:shd w:val="clear" w:color="auto" w:fill="EDEDED"/>
          </w:tcPr>
          <w:p>
            <w:r>
              <w:rPr>
                <w:sz w:val="19"/>
              </w:rPr>
            </w:r>
            <w:r>
              <w:rPr>
                <w:b/>
              </w:rPr>
              <w:t>dd</w:t>
            </w:r>
          </w:p>
        </w:tc>
      </w:tr>
      <w:tr>
        <w:tc>
          <w:tcPr>
            <w:tcW w:type="dxa" w:w="2880"/>
          </w:tcPr>
          <w:p>
            <w:r>
              <w:rPr>
                <w:sz w:val="19"/>
              </w:rPr>
            </w:r>
            <w:r>
              <w:rPr>
                <w:sz w:val="19"/>
              </w:rPr>
              <w:t>C1</w:t>
            </w:r>
          </w:p>
        </w:tc>
        <w:tc>
          <w:tcPr>
            <w:tcW w:type="dxa" w:w="2880"/>
          </w:tcPr>
          <w:p>
            <w:r>
              <w:rPr>
                <w:sz w:val="19"/>
              </w:rPr>
            </w:r>
            <w:r>
              <w:rPr>
                <w:sz w:val="19"/>
              </w:rPr>
              <w:t>DNS + domain cutover with dual-run and rollback</w:t>
            </w:r>
          </w:p>
        </w:tc>
        <w:tc>
          <w:tcPr>
            <w:tcW w:type="dxa" w:w="2880"/>
          </w:tcPr>
          <w:p>
            <w:r>
              <w:rPr>
                <w:sz w:val="19"/>
              </w:rPr>
            </w:r>
            <w:r>
              <w:rPr>
                <w:sz w:val="19"/>
              </w:rPr>
              <w:t>4</w:t>
            </w:r>
          </w:p>
        </w:tc>
      </w:tr>
      <w:tr>
        <w:tc>
          <w:tcPr>
            <w:tcW w:type="dxa" w:w="2880"/>
          </w:tcPr>
          <w:p>
            <w:r>
              <w:rPr>
                <w:sz w:val="19"/>
              </w:rPr>
            </w:r>
            <w:r>
              <w:rPr>
                <w:sz w:val="19"/>
              </w:rPr>
              <w:t>C2</w:t>
            </w:r>
          </w:p>
        </w:tc>
        <w:tc>
          <w:tcPr>
            <w:tcW w:type="dxa" w:w="2880"/>
          </w:tcPr>
          <w:p>
            <w:r>
              <w:rPr>
                <w:sz w:val="19"/>
              </w:rPr>
            </w:r>
            <w:r>
              <w:rPr>
                <w:sz w:val="19"/>
              </w:rPr>
              <w:t>Point the Android app at the new host; fix the dead URL and its test</w:t>
            </w:r>
          </w:p>
        </w:tc>
        <w:tc>
          <w:tcPr>
            <w:tcW w:type="dxa" w:w="2880"/>
          </w:tcPr>
          <w:p>
            <w:r>
              <w:rPr>
                <w:sz w:val="19"/>
              </w:rPr>
            </w:r>
            <w:r>
              <w:rPr>
                <w:sz w:val="19"/>
              </w:rPr>
              <w:t>1</w:t>
            </w:r>
          </w:p>
        </w:tc>
      </w:tr>
      <w:tr>
        <w:tc>
          <w:tcPr>
            <w:tcW w:type="dxa" w:w="2880"/>
          </w:tcPr>
          <w:p>
            <w:r>
              <w:rPr>
                <w:sz w:val="19"/>
              </w:rPr>
            </w:r>
            <w:r>
              <w:rPr>
                <w:sz w:val="19"/>
              </w:rPr>
              <w:t>C3</w:t>
            </w:r>
          </w:p>
        </w:tc>
        <w:tc>
          <w:tcPr>
            <w:tcW w:type="dxa" w:w="2880"/>
          </w:tcPr>
          <w:p>
            <w:r>
              <w:rPr>
                <w:sz w:val="19"/>
              </w:rPr>
            </w:r>
            <w:r>
              <w:rPr>
                <w:sz w:val="19"/>
              </w:rPr>
              <w:t>DPDP/DPA documentation update</w:t>
            </w:r>
          </w:p>
        </w:tc>
        <w:tc>
          <w:tcPr>
            <w:tcW w:type="dxa" w:w="2880"/>
          </w:tcPr>
          <w:p>
            <w:r>
              <w:rPr>
                <w:sz w:val="19"/>
              </w:rPr>
            </w:r>
            <w:r>
              <w:rPr>
                <w:sz w:val="19"/>
              </w:rPr>
              <w:t>2 (legal)</w:t>
            </w:r>
          </w:p>
        </w:tc>
      </w:tr>
      <w:tr>
        <w:tc>
          <w:tcPr>
            <w:tcW w:type="dxa" w:w="2880"/>
          </w:tcPr>
          <w:p>
            <w:r>
              <w:rPr>
                <w:sz w:val="19"/>
              </w:rPr>
            </w:r>
            <w:r>
              <w:rPr>
                <w:sz w:val="19"/>
              </w:rPr>
              <w:t>C4</w:t>
            </w:r>
          </w:p>
        </w:tc>
        <w:tc>
          <w:tcPr>
            <w:tcW w:type="dxa" w:w="2880"/>
          </w:tcPr>
          <w:p>
            <w:r>
              <w:rPr>
                <w:sz w:val="19"/>
              </w:rPr>
            </w:r>
            <w:r>
              <w:rPr>
                <w:sz w:val="19"/>
              </w:rPr>
              <w:t>Decommission GCP resources</w:t>
            </w:r>
          </w:p>
        </w:tc>
        <w:tc>
          <w:tcPr>
            <w:tcW w:type="dxa" w:w="2880"/>
          </w:tcPr>
          <w:p>
            <w:r>
              <w:rPr>
                <w:sz w:val="19"/>
              </w:rPr>
            </w:r>
            <w:r>
              <w:rPr>
                <w:sz w:val="19"/>
              </w:rPr>
              <w:t>2</w:t>
            </w:r>
          </w:p>
        </w:tc>
      </w:tr>
    </w:tbl>
    <w:p/>
    <w:p>
      <w:r>
        <w:rPr>
          <w:b/>
        </w:rPr>
        <w:t>Track A total: 50 dev-days → AWS-hosted, Play Store unblocked, no model decision made yet.</w:t>
      </w:r>
    </w:p>
    <w:p>
      <w:pPr>
        <w:pStyle w:val="Heading3"/>
      </w:pPr>
      <w:r>
        <w:t>Phase 4 — Inference (19 dev-days) · Track B</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DEDED"/>
          </w:tcPr>
          <w:p>
            <w:r>
              <w:rPr>
                <w:sz w:val="19"/>
              </w:rPr>
            </w:r>
            <w:r>
              <w:rPr>
                <w:b/>
              </w:rPr>
              <w:t>ID</w:t>
            </w:r>
          </w:p>
        </w:tc>
        <w:tc>
          <w:tcPr>
            <w:tcW w:type="dxa" w:w="2880"/>
            <w:shd w:val="clear" w:color="auto" w:fill="EDEDED"/>
          </w:tcPr>
          <w:p>
            <w:r>
              <w:rPr>
                <w:sz w:val="19"/>
              </w:rPr>
            </w:r>
            <w:r>
              <w:rPr>
                <w:b/>
              </w:rPr>
              <w:t>Story</w:t>
            </w:r>
          </w:p>
        </w:tc>
        <w:tc>
          <w:tcPr>
            <w:tcW w:type="dxa" w:w="2880"/>
            <w:shd w:val="clear" w:color="auto" w:fill="EDEDED"/>
          </w:tcPr>
          <w:p>
            <w:r>
              <w:rPr>
                <w:sz w:val="19"/>
              </w:rPr>
            </w:r>
            <w:r>
              <w:rPr>
                <w:b/>
              </w:rPr>
              <w:t>dd</w:t>
            </w:r>
          </w:p>
        </w:tc>
      </w:tr>
      <w:tr>
        <w:tc>
          <w:tcPr>
            <w:tcW w:type="dxa" w:w="2880"/>
          </w:tcPr>
          <w:p>
            <w:r>
              <w:rPr>
                <w:sz w:val="19"/>
              </w:rPr>
            </w:r>
            <w:r>
              <w:rPr>
                <w:sz w:val="19"/>
              </w:rPr>
              <w:t>D1</w:t>
            </w:r>
          </w:p>
        </w:tc>
        <w:tc>
          <w:tcPr>
            <w:tcW w:type="dxa" w:w="2880"/>
          </w:tcPr>
          <w:p>
            <w:r>
              <w:rPr>
                <w:sz w:val="19"/>
              </w:rPr>
            </w:r>
            <w:r>
              <w:rPr>
                <w:sz w:val="19"/>
              </w:rPr>
              <w:t>Eval harness: replay the 3 safety-critical prompts across candidates</w:t>
            </w:r>
          </w:p>
        </w:tc>
        <w:tc>
          <w:tcPr>
            <w:tcW w:type="dxa" w:w="2880"/>
          </w:tcPr>
          <w:p>
            <w:r>
              <w:rPr>
                <w:sz w:val="19"/>
              </w:rPr>
            </w:r>
            <w:r>
              <w:rPr>
                <w:sz w:val="19"/>
              </w:rPr>
              <w:t>5</w:t>
            </w:r>
          </w:p>
        </w:tc>
      </w:tr>
      <w:tr>
        <w:tc>
          <w:tcPr>
            <w:tcW w:type="dxa" w:w="2880"/>
          </w:tcPr>
          <w:p>
            <w:r>
              <w:rPr>
                <w:sz w:val="19"/>
              </w:rPr>
            </w:r>
            <w:r>
              <w:rPr>
                <w:sz w:val="19"/>
              </w:rPr>
              <w:t>D2</w:t>
            </w:r>
          </w:p>
        </w:tc>
        <w:tc>
          <w:tcPr>
            <w:tcW w:type="dxa" w:w="2880"/>
          </w:tcPr>
          <w:p>
            <w:r>
              <w:rPr>
                <w:sz w:val="19"/>
              </w:rPr>
            </w:r>
            <w:r>
              <w:rPr>
                <w:sz w:val="19"/>
              </w:rPr>
              <w:t>Run comparison: Gemini baseline vs Mistral Large 3 / Qwen3 235B / Kimi K2.5 in-region vs Claude via mantle</w:t>
            </w:r>
          </w:p>
        </w:tc>
        <w:tc>
          <w:tcPr>
            <w:tcW w:type="dxa" w:w="2880"/>
          </w:tcPr>
          <w:p>
            <w:r>
              <w:rPr>
                <w:sz w:val="19"/>
              </w:rPr>
            </w:r>
            <w:r>
              <w:rPr>
                <w:sz w:val="19"/>
              </w:rPr>
              <w:t>3</w:t>
            </w:r>
          </w:p>
        </w:tc>
      </w:tr>
      <w:tr>
        <w:tc>
          <w:tcPr>
            <w:tcW w:type="dxa" w:w="2880"/>
          </w:tcPr>
          <w:p>
            <w:r>
              <w:rPr>
                <w:sz w:val="19"/>
              </w:rPr>
            </w:r>
            <w:r>
              <w:rPr>
                <w:sz w:val="19"/>
              </w:rPr>
              <w:t>D3</w:t>
            </w:r>
          </w:p>
        </w:tc>
        <w:tc>
          <w:tcPr>
            <w:tcW w:type="dxa" w:w="2880"/>
          </w:tcPr>
          <w:p>
            <w:r>
              <w:rPr>
                <w:sz w:val="19"/>
              </w:rPr>
            </w:r>
            <w:r>
              <w:rPr>
                <w:b/>
                <w:sz w:val="19"/>
              </w:rPr>
              <w:t>Clinical acceptance decision</w:t>
            </w:r>
            <w:r>
              <w:rPr>
                <w:sz w:val="19"/>
              </w:rPr>
              <w:t xml:space="preserve"> — Shubhangi signs the quality bar</w:t>
            </w:r>
          </w:p>
        </w:tc>
        <w:tc>
          <w:tcPr>
            <w:tcW w:type="dxa" w:w="2880"/>
          </w:tcPr>
          <w:p>
            <w:r>
              <w:rPr>
                <w:sz w:val="19"/>
              </w:rPr>
            </w:r>
            <w:r>
              <w:rPr>
                <w:sz w:val="19"/>
              </w:rPr>
              <w:t>2 (external)</w:t>
            </w:r>
          </w:p>
        </w:tc>
      </w:tr>
      <w:tr>
        <w:tc>
          <w:tcPr>
            <w:tcW w:type="dxa" w:w="2880"/>
          </w:tcPr>
          <w:p>
            <w:r>
              <w:rPr>
                <w:sz w:val="19"/>
              </w:rPr>
            </w:r>
            <w:r>
              <w:rPr>
                <w:sz w:val="19"/>
              </w:rPr>
              <w:t>D4</w:t>
            </w:r>
          </w:p>
        </w:tc>
        <w:tc>
          <w:tcPr>
            <w:tcW w:type="dxa" w:w="2880"/>
          </w:tcPr>
          <w:p>
            <w:r>
              <w:rPr>
                <w:sz w:val="19"/>
              </w:rPr>
            </w:r>
            <w:r>
              <w:rPr>
                <w:sz w:val="19"/>
              </w:rPr>
              <w:t xml:space="preserve">Bedrock hardening: structured outputs, guardrails, </w:t>
            </w:r>
            <w:r>
              <w:rPr>
                <w:rFonts w:ascii="Consolas" w:hAnsi="Consolas"/>
                <w:sz w:val="19"/>
              </w:rPr>
              <w:t>data_retention_mode: none</w:t>
            </w:r>
          </w:p>
        </w:tc>
        <w:tc>
          <w:tcPr>
            <w:tcW w:type="dxa" w:w="2880"/>
          </w:tcPr>
          <w:p>
            <w:r>
              <w:rPr>
                <w:sz w:val="19"/>
              </w:rPr>
            </w:r>
            <w:r>
              <w:rPr>
                <w:sz w:val="19"/>
              </w:rPr>
              <w:t>6</w:t>
            </w:r>
          </w:p>
        </w:tc>
      </w:tr>
      <w:tr>
        <w:tc>
          <w:tcPr>
            <w:tcW w:type="dxa" w:w="2880"/>
          </w:tcPr>
          <w:p>
            <w:r>
              <w:rPr>
                <w:sz w:val="19"/>
              </w:rPr>
            </w:r>
            <w:r>
              <w:rPr>
                <w:sz w:val="19"/>
              </w:rPr>
              <w:t>D5</w:t>
            </w:r>
          </w:p>
        </w:tc>
        <w:tc>
          <w:tcPr>
            <w:tcW w:type="dxa" w:w="2880"/>
          </w:tcPr>
          <w:p>
            <w:r>
              <w:rPr>
                <w:sz w:val="19"/>
              </w:rPr>
            </w:r>
            <w:r>
              <w:rPr>
                <w:sz w:val="19"/>
              </w:rPr>
              <w:t xml:space="preserve">Flip </w:t>
            </w:r>
            <w:r>
              <w:rPr>
                <w:rFonts w:ascii="Consolas" w:hAnsi="Consolas"/>
                <w:sz w:val="19"/>
              </w:rPr>
              <w:t>OKUVU_LLM_PROVIDER=bedrock</w:t>
            </w:r>
            <w:r>
              <w:rPr>
                <w:sz w:val="19"/>
              </w:rPr>
              <w:t xml:space="preserve"> in production</w:t>
            </w:r>
          </w:p>
        </w:tc>
        <w:tc>
          <w:tcPr>
            <w:tcW w:type="dxa" w:w="2880"/>
          </w:tcPr>
          <w:p>
            <w:r>
              <w:rPr>
                <w:sz w:val="19"/>
              </w:rPr>
            </w:r>
            <w:r>
              <w:rPr>
                <w:sz w:val="19"/>
              </w:rPr>
              <w:t>3</w:t>
            </w:r>
          </w:p>
        </w:tc>
      </w:tr>
    </w:tbl>
    <w:p/>
    <w:p>
      <w:pPr>
        <w:pStyle w:val="Heading3"/>
      </w:pPr>
      <w:r>
        <w:t>Phase 5 — Identity (19 dev-days) · Track B, only if you want off Google entirely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DEDED"/>
          </w:tcPr>
          <w:p>
            <w:r>
              <w:rPr>
                <w:sz w:val="19"/>
              </w:rPr>
            </w:r>
            <w:r>
              <w:rPr>
                <w:b/>
              </w:rPr>
              <w:t>ID</w:t>
            </w:r>
          </w:p>
        </w:tc>
        <w:tc>
          <w:tcPr>
            <w:tcW w:type="dxa" w:w="2880"/>
            <w:shd w:val="clear" w:color="auto" w:fill="EDEDED"/>
          </w:tcPr>
          <w:p>
            <w:r>
              <w:rPr>
                <w:sz w:val="19"/>
              </w:rPr>
            </w:r>
            <w:r>
              <w:rPr>
                <w:b/>
              </w:rPr>
              <w:t>Story</w:t>
            </w:r>
          </w:p>
        </w:tc>
        <w:tc>
          <w:tcPr>
            <w:tcW w:type="dxa" w:w="2880"/>
            <w:shd w:val="clear" w:color="auto" w:fill="EDEDED"/>
          </w:tcPr>
          <w:p>
            <w:r>
              <w:rPr>
                <w:sz w:val="19"/>
              </w:rPr>
            </w:r>
            <w:r>
              <w:rPr>
                <w:b/>
              </w:rPr>
              <w:t>dd</w:t>
            </w:r>
          </w:p>
        </w:tc>
      </w:tr>
      <w:tr>
        <w:tc>
          <w:tcPr>
            <w:tcW w:type="dxa" w:w="2880"/>
          </w:tcPr>
          <w:p>
            <w:r>
              <w:rPr>
                <w:sz w:val="19"/>
              </w:rPr>
            </w:r>
            <w:r>
              <w:rPr>
                <w:sz w:val="19"/>
              </w:rPr>
              <w:t>E1</w:t>
            </w:r>
          </w:p>
        </w:tc>
        <w:tc>
          <w:tcPr>
            <w:tcW w:type="dxa" w:w="2880"/>
          </w:tcPr>
          <w:p>
            <w:r>
              <w:rPr>
                <w:sz w:val="19"/>
              </w:rPr>
            </w:r>
            <w:r>
              <w:rPr>
                <w:sz w:val="19"/>
              </w:rPr>
              <w:t>Cognito user pool + Terraform</w:t>
            </w:r>
          </w:p>
        </w:tc>
        <w:tc>
          <w:tcPr>
            <w:tcW w:type="dxa" w:w="2880"/>
          </w:tcPr>
          <w:p>
            <w:r>
              <w:rPr>
                <w:sz w:val="19"/>
              </w:rPr>
            </w:r>
            <w:r>
              <w:rPr>
                <w:sz w:val="19"/>
              </w:rPr>
              <w:t>5</w:t>
            </w:r>
          </w:p>
        </w:tc>
      </w:tr>
      <w:tr>
        <w:tc>
          <w:tcPr>
            <w:tcW w:type="dxa" w:w="2880"/>
          </w:tcPr>
          <w:p>
            <w:r>
              <w:rPr>
                <w:sz w:val="19"/>
              </w:rPr>
            </w:r>
            <w:r>
              <w:rPr>
                <w:sz w:val="19"/>
              </w:rPr>
              <w:t>E2</w:t>
            </w:r>
          </w:p>
        </w:tc>
        <w:tc>
          <w:tcPr>
            <w:tcW w:type="dxa" w:w="2880"/>
          </w:tcPr>
          <w:p>
            <w:r>
              <w:rPr>
                <w:sz w:val="19"/>
              </w:rPr>
            </w:r>
            <w:r>
              <w:rPr>
                <w:sz w:val="19"/>
              </w:rPr>
              <w:t>Flutter auth migration</w:t>
            </w:r>
          </w:p>
        </w:tc>
        <w:tc>
          <w:tcPr>
            <w:tcW w:type="dxa" w:w="2880"/>
          </w:tcPr>
          <w:p>
            <w:r>
              <w:rPr>
                <w:sz w:val="19"/>
              </w:rPr>
            </w:r>
            <w:r>
              <w:rPr>
                <w:sz w:val="19"/>
              </w:rPr>
              <w:t>6</w:t>
            </w:r>
          </w:p>
        </w:tc>
      </w:tr>
      <w:tr>
        <w:tc>
          <w:tcPr>
            <w:tcW w:type="dxa" w:w="2880"/>
          </w:tcPr>
          <w:p>
            <w:r>
              <w:rPr>
                <w:sz w:val="19"/>
              </w:rPr>
            </w:r>
            <w:r>
              <w:rPr>
                <w:sz w:val="19"/>
              </w:rPr>
              <w:t>E3</w:t>
            </w:r>
          </w:p>
        </w:tc>
        <w:tc>
          <w:tcPr>
            <w:tcW w:type="dxa" w:w="2880"/>
          </w:tcPr>
          <w:p>
            <w:r>
              <w:rPr>
                <w:sz w:val="19"/>
              </w:rPr>
            </w:r>
            <w:r>
              <w:rPr>
                <w:sz w:val="19"/>
              </w:rPr>
              <w:t>Portal NextAuth → Cognito</w:t>
            </w:r>
          </w:p>
        </w:tc>
        <w:tc>
          <w:tcPr>
            <w:tcW w:type="dxa" w:w="2880"/>
          </w:tcPr>
          <w:p>
            <w:r>
              <w:rPr>
                <w:sz w:val="19"/>
              </w:rPr>
            </w:r>
            <w:r>
              <w:rPr>
                <w:sz w:val="19"/>
              </w:rPr>
              <w:t>5</w:t>
            </w:r>
          </w:p>
        </w:tc>
      </w:tr>
      <w:tr>
        <w:tc>
          <w:tcPr>
            <w:tcW w:type="dxa" w:w="2880"/>
          </w:tcPr>
          <w:p>
            <w:r>
              <w:rPr>
                <w:sz w:val="19"/>
              </w:rPr>
            </w:r>
            <w:r>
              <w:rPr>
                <w:sz w:val="19"/>
              </w:rPr>
              <w:t>E4</w:t>
            </w:r>
          </w:p>
        </w:tc>
        <w:tc>
          <w:tcPr>
            <w:tcW w:type="dxa" w:w="2880"/>
          </w:tcPr>
          <w:p>
            <w:r>
              <w:rPr>
                <w:sz w:val="19"/>
              </w:rPr>
            </w:r>
            <w:r>
              <w:rPr>
                <w:sz w:val="19"/>
              </w:rPr>
              <w:t>Forced password reset: comms and flow</w:t>
            </w:r>
          </w:p>
        </w:tc>
        <w:tc>
          <w:tcPr>
            <w:tcW w:type="dxa" w:w="2880"/>
          </w:tcPr>
          <w:p>
            <w:r>
              <w:rPr>
                <w:sz w:val="19"/>
              </w:rPr>
            </w:r>
            <w:r>
              <w:rPr>
                <w:sz w:val="19"/>
              </w:rPr>
              <w:t>3</w:t>
            </w:r>
          </w:p>
        </w:tc>
      </w:tr>
    </w:tbl>
    <w:p/>
    <w:p>
      <w:r>
        <w:rPr>
          <w:b/>
        </w:rPr>
        <w:t>Full programme: 88 dev-days.</w:t>
      </w:r>
      <w:r>
        <w:t xml:space="preserve"> Track A alone: 50.</w:t>
      </w:r>
    </w:p>
    <w:p>
      <w:pPr>
        <w:pStyle w:val="Heading2"/>
      </w:pPr>
      <w:r>
        <w:t>7. Calendar and the critical path</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DEDED"/>
          </w:tcPr>
          <w:p>
            <w:r>
              <w:rPr>
                <w:sz w:val="19"/>
              </w:rPr>
            </w:r>
            <w:r>
              <w:rPr>
                <w:b/>
              </w:rPr>
              <w:t>Date</w:t>
            </w:r>
          </w:p>
        </w:tc>
        <w:tc>
          <w:tcPr>
            <w:tcW w:type="dxa" w:w="4320"/>
            <w:shd w:val="clear" w:color="auto" w:fill="EDEDED"/>
          </w:tcPr>
          <w:p>
            <w:r>
              <w:rPr>
                <w:sz w:val="19"/>
              </w:rPr>
            </w:r>
            <w:r>
              <w:rPr>
                <w:b/>
              </w:rPr>
              <w:t>Milestone</w:t>
            </w:r>
          </w:p>
        </w:tc>
      </w:tr>
      <w:tr>
        <w:tc>
          <w:tcPr>
            <w:tcW w:type="dxa" w:w="4320"/>
          </w:tcPr>
          <w:p>
            <w:r>
              <w:rPr>
                <w:sz w:val="19"/>
              </w:rPr>
            </w:r>
            <w:r>
              <w:rPr>
                <w:b/>
                <w:sz w:val="19"/>
              </w:rPr>
              <w:t>28 Oct</w:t>
            </w:r>
          </w:p>
        </w:tc>
        <w:tc>
          <w:tcPr>
            <w:tcW w:type="dxa" w:w="4320"/>
          </w:tcPr>
          <w:p>
            <w:r>
              <w:rPr>
                <w:sz w:val="19"/>
              </w:rPr>
            </w:r>
            <w:r>
              <w:rPr>
                <w:sz w:val="19"/>
              </w:rPr>
              <w:t>I have AWS credentials → Phase 1 begins. Terraform applies against your account</w:t>
            </w:r>
          </w:p>
        </w:tc>
      </w:tr>
      <w:tr>
        <w:tc>
          <w:tcPr>
            <w:tcW w:type="dxa" w:w="4320"/>
          </w:tcPr>
          <w:p>
            <w:r>
              <w:rPr>
                <w:sz w:val="19"/>
              </w:rPr>
            </w:r>
            <w:r>
              <w:rPr>
                <w:b/>
                <w:sz w:val="19"/>
              </w:rPr>
              <w:t>~4 Nov</w:t>
            </w:r>
          </w:p>
        </w:tc>
        <w:tc>
          <w:tcPr>
            <w:tcW w:type="dxa" w:w="4320"/>
          </w:tcPr>
          <w:p>
            <w:r>
              <w:rPr>
                <w:sz w:val="19"/>
              </w:rPr>
            </w:r>
            <w:r>
              <w:rPr>
                <w:sz w:val="19"/>
              </w:rPr>
              <w:t xml:space="preserve">RDS, ECS API and worker live; </w:t>
            </w:r>
            <w:r>
              <w:rPr>
                <w:rFonts w:ascii="Consolas" w:hAnsi="Consolas"/>
                <w:sz w:val="19"/>
              </w:rPr>
              <w:t>/health</w:t>
            </w:r>
            <w:r>
              <w:rPr>
                <w:sz w:val="19"/>
              </w:rPr>
              <w:t xml:space="preserve"> returns 200 on an AWS hostname</w:t>
            </w:r>
          </w:p>
        </w:tc>
      </w:tr>
      <w:tr>
        <w:tc>
          <w:tcPr>
            <w:tcW w:type="dxa" w:w="4320"/>
          </w:tcPr>
          <w:p>
            <w:r>
              <w:rPr>
                <w:sz w:val="19"/>
              </w:rPr>
            </w:r>
            <w:r>
              <w:rPr>
                <w:b/>
                <w:sz w:val="19"/>
              </w:rPr>
              <w:t>~7 Nov</w:t>
            </w:r>
          </w:p>
        </w:tc>
        <w:tc>
          <w:tcPr>
            <w:tcW w:type="dxa" w:w="4320"/>
          </w:tcPr>
          <w:p>
            <w:r>
              <w:rPr>
                <w:sz w:val="19"/>
              </w:rPr>
            </w:r>
            <w:r>
              <w:rPr>
                <w:b/>
                <w:sz w:val="19"/>
              </w:rPr>
              <w:t>Staging URL live on AWS.</w:t>
            </w:r>
            <w:r>
              <w:rPr>
                <w:sz w:val="19"/>
              </w:rPr>
              <w:t xml:space="preserve"> Android app can point at it. </w:t>
            </w:r>
            <w:r>
              <w:rPr>
                <w:b/>
                <w:sz w:val="19"/>
              </w:rPr>
              <w:t>Closed-test clock can start</w:t>
            </w:r>
          </w:p>
        </w:tc>
      </w:tr>
      <w:tr>
        <w:tc>
          <w:tcPr>
            <w:tcW w:type="dxa" w:w="4320"/>
          </w:tcPr>
          <w:p>
            <w:r>
              <w:rPr>
                <w:sz w:val="19"/>
              </w:rPr>
            </w:r>
            <w:r>
              <w:rPr>
                <w:b/>
                <w:sz w:val="19"/>
              </w:rPr>
              <w:t>~14 Nov</w:t>
            </w:r>
          </w:p>
        </w:tc>
        <w:tc>
          <w:tcPr>
            <w:tcW w:type="dxa" w:w="4320"/>
          </w:tcPr>
          <w:p>
            <w:r>
              <w:rPr>
                <w:sz w:val="19"/>
              </w:rPr>
            </w:r>
            <w:r>
              <w:rPr>
                <w:sz w:val="19"/>
              </w:rPr>
              <w:t>Track A complete: S3, KMS, secrets, observability, worker consuming SQS</w:t>
            </w:r>
          </w:p>
        </w:tc>
      </w:tr>
      <w:tr>
        <w:tc>
          <w:tcPr>
            <w:tcW w:type="dxa" w:w="4320"/>
          </w:tcPr>
          <w:p>
            <w:r>
              <w:rPr>
                <w:sz w:val="19"/>
              </w:rPr>
            </w:r>
            <w:r>
              <w:rPr>
                <w:b/>
                <w:sz w:val="19"/>
              </w:rPr>
              <w:t>~21 Nov</w:t>
            </w:r>
          </w:p>
        </w:tc>
        <w:tc>
          <w:tcPr>
            <w:tcW w:type="dxa" w:w="4320"/>
          </w:tcPr>
          <w:p>
            <w:r>
              <w:rPr>
                <w:sz w:val="19"/>
              </w:rPr>
            </w:r>
            <w:r>
              <w:rPr>
                <w:sz w:val="19"/>
              </w:rPr>
              <w:t>Titan embeddings shipped, re-index complete</w:t>
            </w:r>
          </w:p>
        </w:tc>
      </w:tr>
      <w:tr>
        <w:tc>
          <w:tcPr>
            <w:tcW w:type="dxa" w:w="4320"/>
          </w:tcPr>
          <w:p>
            <w:r>
              <w:rPr>
                <w:sz w:val="19"/>
              </w:rPr>
            </w:r>
            <w:r>
              <w:rPr>
                <w:b/>
                <w:sz w:val="19"/>
              </w:rPr>
              <w:t>~24 Nov earliest</w:t>
            </w:r>
          </w:p>
        </w:tc>
        <w:tc>
          <w:tcPr>
            <w:tcW w:type="dxa" w:w="4320"/>
          </w:tcPr>
          <w:p>
            <w:r>
              <w:rPr>
                <w:sz w:val="19"/>
              </w:rPr>
            </w:r>
            <w:r>
              <w:rPr>
                <w:sz w:val="19"/>
              </w:rPr>
              <w:t>Play Console production access (see §10 — this is their clock, not ours)</w:t>
            </w:r>
          </w:p>
        </w:tc>
      </w:tr>
      <w:tr>
        <w:tc>
          <w:tcPr>
            <w:tcW w:type="dxa" w:w="4320"/>
          </w:tcPr>
          <w:p>
            <w:r>
              <w:rPr>
                <w:sz w:val="19"/>
              </w:rPr>
            </w:r>
            <w:r>
              <w:rPr>
                <w:b/>
                <w:sz w:val="19"/>
              </w:rPr>
              <w:t>~5 Dec</w:t>
            </w:r>
          </w:p>
        </w:tc>
        <w:tc>
          <w:tcPr>
            <w:tcW w:type="dxa" w:w="4320"/>
          </w:tcPr>
          <w:p>
            <w:r>
              <w:rPr>
                <w:sz w:val="19"/>
              </w:rPr>
            </w:r>
            <w:r>
              <w:rPr>
                <w:sz w:val="19"/>
              </w:rPr>
              <w:t>Track B decision made with evidence; Bedrock flip if it passes</w:t>
            </w:r>
          </w:p>
        </w:tc>
      </w:tr>
      <w:tr>
        <w:tc>
          <w:tcPr>
            <w:tcW w:type="dxa" w:w="4320"/>
          </w:tcPr>
          <w:p>
            <w:r>
              <w:rPr>
                <w:sz w:val="19"/>
              </w:rPr>
            </w:r>
            <w:r>
              <w:rPr>
                <w:b/>
                <w:sz w:val="19"/>
              </w:rPr>
              <w:t>~mid Dec</w:t>
            </w:r>
          </w:p>
        </w:tc>
        <w:tc>
          <w:tcPr>
            <w:tcW w:type="dxa" w:w="4320"/>
          </w:tcPr>
          <w:p>
            <w:r>
              <w:rPr>
                <w:sz w:val="19"/>
              </w:rPr>
            </w:r>
            <w:r>
              <w:rPr>
                <w:sz w:val="19"/>
              </w:rPr>
              <w:t>GCP decommissioned, if identity migrated too</w:t>
            </w:r>
          </w:p>
        </w:tc>
      </w:tr>
    </w:tbl>
    <w:p/>
    <w:p>
      <w:r>
        <w:rPr>
          <w:b/>
        </w:rPr>
        <w:t>The critical path is not engineering. It is Google's 14-day testing clock and your AWS credentials.</w:t>
      </w:r>
      <w:r>
        <w:t xml:space="preserve"> One of those I can compress. The other I cannot.</w:t>
      </w:r>
    </w:p>
    <w:p>
      <w:pPr>
        <w:pStyle w:val="Heading2"/>
      </w:pPr>
      <w:r>
        <w:t>8. Cost on AWS (ap-south-1, verified pricing)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DEDED"/>
          </w:tcPr>
          <w:p>
            <w:r>
              <w:rPr>
                <w:sz w:val="19"/>
              </w:rPr>
            </w:r>
            <w:r>
              <w:rPr>
                <w:b/>
              </w:rPr>
              <w:t>Item</w:t>
            </w:r>
          </w:p>
        </w:tc>
        <w:tc>
          <w:tcPr>
            <w:tcW w:type="dxa" w:w="4320"/>
            <w:shd w:val="clear" w:color="auto" w:fill="EDEDED"/>
          </w:tcPr>
          <w:p>
            <w:r>
              <w:rPr>
                <w:sz w:val="19"/>
              </w:rPr>
            </w:r>
            <w:r>
              <w:rPr>
                <w:b/>
              </w:rPr>
              <w:t>Monthly</w:t>
            </w:r>
          </w:p>
        </w:tc>
      </w:tr>
      <w:tr>
        <w:tc>
          <w:tcPr>
            <w:tcW w:type="dxa" w:w="4320"/>
          </w:tcPr>
          <w:p>
            <w:r>
              <w:rPr>
                <w:sz w:val="19"/>
              </w:rPr>
            </w:r>
            <w:r>
              <w:rPr>
                <w:sz w:val="19"/>
              </w:rPr>
              <w:t xml:space="preserve">RDS PostgreSQL </w:t>
            </w:r>
            <w:r>
              <w:rPr>
                <w:rFonts w:ascii="Consolas" w:hAnsi="Consolas"/>
                <w:sz w:val="19"/>
              </w:rPr>
              <w:t>db.t4g.small</w:t>
            </w:r>
            <w:r>
              <w:rPr>
                <w:sz w:val="19"/>
              </w:rPr>
              <w:t xml:space="preserve"> Multi-AZ, 100 GB gp3</w:t>
            </w:r>
          </w:p>
        </w:tc>
        <w:tc>
          <w:tcPr>
            <w:tcW w:type="dxa" w:w="4320"/>
          </w:tcPr>
          <w:p>
            <w:r>
              <w:rPr>
                <w:sz w:val="19"/>
              </w:rPr>
            </w:r>
            <w:r>
              <w:rPr>
                <w:sz w:val="19"/>
              </w:rPr>
              <w:t>~$88</w:t>
            </w:r>
          </w:p>
        </w:tc>
      </w:tr>
      <w:tr>
        <w:tc>
          <w:tcPr>
            <w:tcW w:type="dxa" w:w="4320"/>
          </w:tcPr>
          <w:p>
            <w:r>
              <w:rPr>
                <w:sz w:val="19"/>
              </w:rPr>
            </w:r>
            <w:r>
              <w:rPr>
                <w:sz w:val="19"/>
              </w:rPr>
              <w:t xml:space="preserve">ElastiCache Valkey </w:t>
            </w:r>
            <w:r>
              <w:rPr>
                <w:rFonts w:ascii="Consolas" w:hAnsi="Consolas"/>
                <w:sz w:val="19"/>
              </w:rPr>
              <w:t>cache.t4g.micro</w:t>
            </w:r>
            <w:r>
              <w:rPr>
                <w:sz w:val="19"/>
              </w:rPr>
              <w:t xml:space="preserve"> × 2</w:t>
            </w:r>
          </w:p>
        </w:tc>
        <w:tc>
          <w:tcPr>
            <w:tcW w:type="dxa" w:w="4320"/>
          </w:tcPr>
          <w:p>
            <w:r>
              <w:rPr>
                <w:sz w:val="19"/>
              </w:rPr>
            </w:r>
            <w:r>
              <w:rPr>
                <w:sz w:val="19"/>
              </w:rPr>
              <w:t>~$12–23</w:t>
            </w:r>
          </w:p>
        </w:tc>
      </w:tr>
      <w:tr>
        <w:tc>
          <w:tcPr>
            <w:tcW w:type="dxa" w:w="4320"/>
          </w:tcPr>
          <w:p>
            <w:r>
              <w:rPr>
                <w:sz w:val="19"/>
              </w:rPr>
            </w:r>
            <w:r>
              <w:rPr>
                <w:sz w:val="19"/>
              </w:rPr>
              <w:t>ECS Fargate, 2 services + 2 ALBs</w:t>
            </w:r>
          </w:p>
        </w:tc>
        <w:tc>
          <w:tcPr>
            <w:tcW w:type="dxa" w:w="4320"/>
          </w:tcPr>
          <w:p>
            <w:r>
              <w:rPr>
                <w:sz w:val="19"/>
              </w:rPr>
            </w:r>
            <w:r>
              <w:rPr>
                <w:sz w:val="19"/>
              </w:rPr>
              <w:t>~$56–73</w:t>
            </w:r>
          </w:p>
        </w:tc>
      </w:tr>
      <w:tr>
        <w:tc>
          <w:tcPr>
            <w:tcW w:type="dxa" w:w="4320"/>
          </w:tcPr>
          <w:p>
            <w:r>
              <w:rPr>
                <w:sz w:val="19"/>
              </w:rPr>
            </w:r>
            <w:r>
              <w:rPr>
                <w:sz w:val="19"/>
              </w:rPr>
              <w:t>Secrets Manager, ~10 secrets</w:t>
            </w:r>
          </w:p>
        </w:tc>
        <w:tc>
          <w:tcPr>
            <w:tcW w:type="dxa" w:w="4320"/>
          </w:tcPr>
          <w:p>
            <w:r>
              <w:rPr>
                <w:sz w:val="19"/>
              </w:rPr>
            </w:r>
            <w:r>
              <w:rPr>
                <w:sz w:val="19"/>
              </w:rPr>
              <w:t>~$4</w:t>
            </w:r>
          </w:p>
        </w:tc>
      </w:tr>
      <w:tr>
        <w:tc>
          <w:tcPr>
            <w:tcW w:type="dxa" w:w="4320"/>
          </w:tcPr>
          <w:p>
            <w:r>
              <w:rPr>
                <w:sz w:val="19"/>
              </w:rPr>
            </w:r>
            <w:r>
              <w:rPr>
                <w:sz w:val="19"/>
              </w:rPr>
              <w:t>KMS CMK × 3</w:t>
            </w:r>
          </w:p>
        </w:tc>
        <w:tc>
          <w:tcPr>
            <w:tcW w:type="dxa" w:w="4320"/>
          </w:tcPr>
          <w:p>
            <w:r>
              <w:rPr>
                <w:sz w:val="19"/>
              </w:rPr>
            </w:r>
            <w:r>
              <w:rPr>
                <w:sz w:val="19"/>
              </w:rPr>
              <w:t>~$3</w:t>
            </w:r>
          </w:p>
        </w:tc>
      </w:tr>
      <w:tr>
        <w:tc>
          <w:tcPr>
            <w:tcW w:type="dxa" w:w="4320"/>
          </w:tcPr>
          <w:p>
            <w:r>
              <w:rPr>
                <w:sz w:val="19"/>
              </w:rPr>
            </w:r>
            <w:r>
              <w:rPr>
                <w:sz w:val="19"/>
              </w:rPr>
              <w:t>S3 + CloudWatch + SQS</w:t>
            </w:r>
          </w:p>
        </w:tc>
        <w:tc>
          <w:tcPr>
            <w:tcW w:type="dxa" w:w="4320"/>
          </w:tcPr>
          <w:p>
            <w:r>
              <w:rPr>
                <w:sz w:val="19"/>
              </w:rPr>
            </w:r>
            <w:r>
              <w:rPr>
                <w:sz w:val="19"/>
              </w:rPr>
              <w:t>~$10–20</w:t>
            </w:r>
          </w:p>
        </w:tc>
      </w:tr>
      <w:tr>
        <w:tc>
          <w:tcPr>
            <w:tcW w:type="dxa" w:w="4320"/>
          </w:tcPr>
          <w:p>
            <w:r>
              <w:rPr>
                <w:sz w:val="19"/>
              </w:rPr>
            </w:r>
            <w:r>
              <w:rPr>
                <w:b/>
                <w:sz w:val="19"/>
              </w:rPr>
              <w:t>Infrastructure subtotal</w:t>
            </w:r>
          </w:p>
        </w:tc>
        <w:tc>
          <w:tcPr>
            <w:tcW w:type="dxa" w:w="4320"/>
          </w:tcPr>
          <w:p>
            <w:r>
              <w:rPr>
                <w:sz w:val="19"/>
              </w:rPr>
            </w:r>
            <w:r>
              <w:rPr>
                <w:b/>
                <w:sz w:val="19"/>
              </w:rPr>
              <w:t>~$175–210/month</w:t>
            </w:r>
          </w:p>
        </w:tc>
      </w:tr>
      <w:tr>
        <w:tc>
          <w:tcPr>
            <w:tcW w:type="dxa" w:w="4320"/>
          </w:tcPr>
          <w:p>
            <w:r>
              <w:rPr>
                <w:sz w:val="19"/>
              </w:rPr>
            </w:r>
            <w:r>
              <w:rPr>
                <w:sz w:val="19"/>
              </w:rPr>
              <w:t>Inference (in-region open-weight, light beta volume)</w:t>
            </w:r>
          </w:p>
        </w:tc>
        <w:tc>
          <w:tcPr>
            <w:tcW w:type="dxa" w:w="4320"/>
          </w:tcPr>
          <w:p>
            <w:r>
              <w:rPr>
                <w:sz w:val="19"/>
              </w:rPr>
            </w:r>
            <w:r>
              <w:rPr>
                <w:sz w:val="19"/>
              </w:rPr>
              <w:t>~$20–60</w:t>
            </w:r>
          </w:p>
        </w:tc>
      </w:tr>
      <w:tr>
        <w:tc>
          <w:tcPr>
            <w:tcW w:type="dxa" w:w="4320"/>
          </w:tcPr>
          <w:p>
            <w:r>
              <w:rPr>
                <w:sz w:val="19"/>
              </w:rPr>
            </w:r>
            <w:r>
              <w:rPr>
                <w:sz w:val="19"/>
              </w:rPr>
              <w:t>Inference (Claude via mantle)</w:t>
            </w:r>
          </w:p>
        </w:tc>
        <w:tc>
          <w:tcPr>
            <w:tcW w:type="dxa" w:w="4320"/>
          </w:tcPr>
          <w:p>
            <w:r>
              <w:rPr>
                <w:sz w:val="19"/>
              </w:rPr>
            </w:r>
            <w:r>
              <w:rPr>
                <w:sz w:val="19"/>
              </w:rPr>
              <w:t xml:space="preserve">Marketplace rates, </w:t>
            </w:r>
            <w:r>
              <w:rPr>
                <w:b/>
                <w:sz w:val="19"/>
              </w:rPr>
              <w:t>not credit-eligible</w:t>
            </w:r>
          </w:p>
        </w:tc>
      </w:tr>
    </w:tbl>
    <w:p/>
    <w:p>
      <w:r>
        <w:t xml:space="preserve">Your credits cover the infrastructure line comfortably for a beta. They do </w:t>
      </w:r>
      <w:r>
        <w:rPr>
          <w:b/>
        </w:rPr>
        <w:t>not</w:t>
      </w:r>
      <w:r>
        <w:t xml:space="preserve"> cover Claude on Bedrock. That asymmetry is the single most important commercial fact in this document.</w:t>
      </w:r>
    </w:p>
    <w:p>
      <w:pPr>
        <w:pStyle w:val="Heading2"/>
      </w:pPr>
      <w:r>
        <w:t>9. Inputs and dependencies — what I need, and from whom</w:t>
      </w:r>
    </w:p>
    <w:p>
      <w:r>
        <w:t>Ordered by what blocks first. Nothing in Phase 1 starts without item 1.</w:t>
      </w:r>
    </w:p>
    <w:p>
      <w:pPr>
        <w:pStyle w:val="Heading3"/>
      </w:pPr>
      <w:r>
        <w:t>From you — blocking</w:t>
      </w:r>
    </w:p>
    <w:p>
      <w:pPr>
        <w:pStyle w:val="ListNumber"/>
      </w:pPr>
      <w:r>
        <w:rPr>
          <w:b/>
        </w:rPr>
        <w:t>AWS account access.</w:t>
      </w:r>
      <w:r>
        <w:t xml:space="preserve"> An IAM user with programmatic credentials (access key + secret) and MFA, or an SSO profile I can assume. Needs permissions to create VPC, RDS, ECS, ECR, S3, KMS, SQS, IAM, Secrets Manager, CloudWatch, Budgets. Without this, </w:t>
      </w:r>
      <w:r>
        <w:rPr>
          <w:rFonts w:ascii="Consolas" w:hAnsi="Consolas"/>
          <w:sz w:val="19"/>
        </w:rPr>
        <w:t>terraform apply</w:t>
      </w:r>
      <w:r>
        <w:t xml:space="preserve"> cannot run — it has been validated but never applied.</w:t>
      </w:r>
    </w:p>
    <w:p>
      <w:pPr>
        <w:pStyle w:val="ListNumber"/>
      </w:pPr>
      <w:r>
        <w:rPr>
          <w:b/>
        </w:rPr>
        <w:t>Confirmation of the credits</w:t>
      </w:r>
      <w:r>
        <w:t>, in writing: which programme (AWS Activate?), the amount, and its expiry. This determines whether Multi-AZ RDS and a NAT gateway are affordable from day one or whether the stack starts cheaper.</w:t>
      </w:r>
    </w:p>
    <w:p>
      <w:pPr>
        <w:pStyle w:val="ListNumber"/>
      </w:pPr>
      <w:r>
        <w:rPr>
          <w:b/>
        </w:rPr>
        <w:t>Google Play Console account</w:t>
      </w:r>
      <w:r>
        <w:t xml:space="preserve"> — created, identity-verified, payment profile complete. And one line: </w:t>
      </w:r>
      <w:r>
        <w:rPr>
          <w:b/>
        </w:rPr>
        <w:t>personal or organisation?</w:t>
      </w:r>
      <w:r>
        <w:t xml:space="preserve"> Personal means the 12-tester / 14-day clock applies. Organisation does not.</w:t>
      </w:r>
    </w:p>
    <w:p>
      <w:pPr>
        <w:pStyle w:val="ListNumber"/>
      </w:pPr>
      <w:r>
        <w:rPr>
          <w:b/>
        </w:rPr>
        <w:t>`google-services.json`</w:t>
      </w:r>
      <w:r>
        <w:t xml:space="preserve"> from the production Firebase project. Gitignored by design, so it is not in the repo, and its own example file says "get the real file from the Senior Engineer". </w:t>
      </w:r>
      <w:r>
        <w:rPr>
          <w:b/>
        </w:rPr>
        <w:t>This single file is what currently blocks the AAB build.</w:t>
      </w:r>
    </w:p>
    <w:p>
      <w:pPr>
        <w:pStyle w:val="ListNumber"/>
      </w:pPr>
      <w:r>
        <w:rPr>
          <w:b/>
        </w:rPr>
        <w:t>12+ tester Gmail addresses</w:t>
      </w:r>
      <w:r>
        <w:t xml:space="preserve"> for closed testing. Real people, opted in continuously for 14 days.</w:t>
      </w:r>
    </w:p>
    <w:p>
      <w:pPr>
        <w:pStyle w:val="ListNumber"/>
      </w:pPr>
      <w:r>
        <w:rPr>
          <w:b/>
        </w:rPr>
        <w:t>Upload keystore custody decision.</w:t>
      </w:r>
      <w:r>
        <w:t xml:space="preserve"> I generated a placeholder key so the signing path could be proven. Before the first upload you must regenerate it with your own password and store it offline — losing an upload key costs a support ticket to Google; losing a signing key without Play App Signing costs the listing.</w:t>
      </w:r>
    </w:p>
    <w:p>
      <w:pPr>
        <w:pStyle w:val="ListNumber"/>
      </w:pPr>
      <w:r>
        <w:rPr>
          <w:b/>
        </w:rPr>
        <w:t>A live privacy policy URL</w:t>
      </w:r>
      <w:r>
        <w:t xml:space="preserve"> on your own domain. The current value in the app config is a Google Docs publish link, which is not acceptable for a Play listing.</w:t>
      </w:r>
    </w:p>
    <w:p>
      <w:pPr>
        <w:pStyle w:val="ListNumber"/>
      </w:pPr>
      <w:r>
        <w:rPr>
          <w:b/>
        </w:rPr>
        <w:t>Domain/DNS access</w:t>
      </w:r>
      <w:r>
        <w:t xml:space="preserve"> for </w:t>
      </w:r>
      <w:r>
        <w:rPr>
          <w:rFonts w:ascii="Consolas" w:hAnsi="Consolas"/>
          <w:sz w:val="19"/>
        </w:rPr>
        <w:t>okuvu.in</w:t>
      </w:r>
      <w:r>
        <w:t xml:space="preserve"> at Spaceship, for the cutover.</w:t>
      </w:r>
    </w:p>
    <w:p>
      <w:pPr>
        <w:pStyle w:val="Heading3"/>
      </w:pPr>
      <w:r>
        <w:t>From Dr Shubhangi Goswami — blocking Track B only</w:t>
      </w:r>
    </w:p>
    <w:p>
      <w:pPr>
        <w:pStyle w:val="ListNumber"/>
      </w:pPr>
      <w:r>
        <w:rPr>
          <w:b/>
        </w:rPr>
        <w:t>The model acceptance bar</w:t>
      </w:r>
      <w:r>
        <w:t xml:space="preserve"> in writing: what quality threshold the safety-critical prompts must clear before an in-region open-weight model may replace Gemini. Without a signed threshold, D2 has no pass/fail criterion and the migration stalls at the last gate.</w:t>
      </w:r>
    </w:p>
    <w:p>
      <w:pPr>
        <w:pStyle w:val="ListNumber"/>
      </w:pPr>
      <w:r>
        <w:rPr>
          <w:b/>
        </w:rPr>
        <w:t>Sign-off on the crisis copy and helpline numbers</w:t>
      </w:r>
      <w:r>
        <w:t>, still outstanding from the clinical packet. This gates what the app may display in the store listing and in the crisis overlay.</w:t>
      </w:r>
    </w:p>
    <w:p>
      <w:pPr>
        <w:pStyle w:val="Heading3"/>
      </w:pPr>
      <w:r>
        <w:t>From you — needed later, not blocking week 1</w:t>
      </w:r>
    </w:p>
    <w:p>
      <w:pPr>
        <w:pStyle w:val="ListNumber"/>
      </w:pPr>
      <w:r>
        <w:rPr>
          <w:b/>
        </w:rPr>
        <w:t>LLM vendor choice for the bridge</w:t>
      </w:r>
      <w:r>
        <w:t>: OpenRouter key or Gemini API key. One of them must exist before the app can serve a real turn on AWS.</w:t>
      </w:r>
    </w:p>
    <w:p>
      <w:pPr>
        <w:pStyle w:val="ListNumber"/>
      </w:pPr>
      <w:r>
        <w:rPr>
          <w:b/>
        </w:rPr>
        <w:t>Residency tolerance, in writing.</w:t>
      </w:r>
      <w:r>
        <w:t xml:space="preserve"> If Claude is required, inference becomes India-geo (Mumbai + Hyderabad) rather than Mumbai-only. Defensible under DPDP as "India"; indefensible against the README's "asia-south1 only" claim. Choose explicitly.</w:t>
      </w:r>
    </w:p>
    <w:p>
      <w:pPr>
        <w:pStyle w:val="ListNumber"/>
      </w:pPr>
      <w:r>
        <w:rPr>
          <w:b/>
        </w:rPr>
        <w:t>Invite-email sender</w:t>
      </w:r>
      <w:r>
        <w:t xml:space="preserve"> (SES or Brevo) so the API can send therapist invites.</w:t>
      </w:r>
    </w:p>
    <w:p>
      <w:pPr>
        <w:pStyle w:val="ListNumber"/>
      </w:pPr>
      <w:r>
        <w:rPr>
          <w:b/>
        </w:rPr>
        <w:t>Voice vendor</w:t>
      </w:r>
      <w:r>
        <w:t xml:space="preserve"> (Sarvam key) if A13 voice ships in this release — otherwise it stays unavailable, as it is today.</w:t>
      </w:r>
    </w:p>
    <w:p>
      <w:pPr>
        <w:pStyle w:val="Heading2"/>
      </w:pPr>
      <w:r>
        <w:t>10. Play Store: it is an AAB, not an APK</w:t>
      </w:r>
    </w:p>
    <w:p>
      <w:r>
        <w:t xml:space="preserve">One correction to the brief. </w:t>
      </w:r>
      <w:r>
        <w:rPr>
          <w:b/>
        </w:rPr>
        <w:t>Google Play has not accepted a plain APK for new apps since August 2021.</w:t>
      </w:r>
      <w:r>
        <w:t xml:space="preserve"> New apps publish an Android App Bundle (</w:t>
      </w:r>
      <w:r>
        <w:rPr>
          <w:rFonts w:ascii="Consolas" w:hAnsi="Consolas"/>
          <w:sz w:val="19"/>
        </w:rPr>
        <w:t>.aab</w:t>
      </w:r>
      <w:r>
        <w:t>), and you must be enrolled in Play App Signing. An APK is for direct install and internal testing only — useful for giving someone a file to sideload, not for the store.</w:t>
      </w:r>
    </w:p>
    <w:p>
      <w:r>
        <w:t>Verified today, from Google's own documentation:</w:t>
      </w:r>
    </w:p>
    <w:p>
      <w:pPr>
        <w:pStyle w:val="ListBullet"/>
      </w:pPr>
      <w:r>
        <w:rPr>
          <w:b/>
        </w:rPr>
        <w:t>AAB required</w:t>
      </w:r>
      <w:r>
        <w:t xml:space="preserve"> for new apps; APK uploads survive only for legacy apps created before August 2021.</w:t>
      </w:r>
    </w:p>
    <w:p>
      <w:pPr>
        <w:pStyle w:val="ListBullet"/>
      </w:pPr>
      <w:r>
        <w:rPr>
          <w:b/>
        </w:rPr>
        <w:t>Target API 36 (Android 16) is mandatory for new apps and updates from 31 August 2026.</w:t>
      </w:r>
      <w:r>
        <w:t xml:space="preserve"> The repo now pins </w:t>
      </w:r>
      <w:r>
        <w:rPr>
          <w:rFonts w:ascii="Consolas" w:hAnsi="Consolas"/>
          <w:sz w:val="19"/>
        </w:rPr>
        <w:t>targetSdk 36</w:t>
      </w:r>
      <w:r>
        <w:t xml:space="preserve"> — it was below the requirement.</w:t>
      </w:r>
    </w:p>
    <w:p>
      <w:pPr>
        <w:pStyle w:val="ListBullet"/>
      </w:pPr>
      <w:r>
        <w:rPr>
          <w:b/>
        </w:rPr>
        <w:t>Personal accounts created after 13 Nov 2023: 12 testers opted in continuously for 14 days</w:t>
      </w:r>
      <w:r>
        <w:t xml:space="preserve"> before you may apply for production. Opting out mid-way resets the clock; the 14 days must be consecutive; 12 must still be opted in at the moment you apply. Organisation accounts skip this.</w:t>
      </w:r>
    </w:p>
    <w:p>
      <w:pPr>
        <w:pStyle w:val="ListBullet"/>
      </w:pPr>
      <w:r>
        <w:rPr>
          <w:b/>
        </w:rPr>
        <w:t>Before review you need</w:t>
      </w:r>
      <w:r>
        <w:t>: privacy policy URL, Data safety form, content rating questionnaire, app-access instructions, ads declaration, target audience, 512² icon, 1024×500 feature graphic, at least 2 screenshots.</w:t>
      </w:r>
    </w:p>
    <w:p>
      <w:pPr>
        <w:pStyle w:val="Heading3"/>
      </w:pPr>
      <w:r>
        <w:t>The three things standing between the repo and an uploaded AAB</w:t>
      </w:r>
    </w:p>
    <w:p>
      <w:pPr>
        <w:pStyle w:val="ListNumber"/>
      </w:pPr>
      <w:r>
        <w:rPr>
          <w:b/>
        </w:rPr>
        <w:t>`google-services.json` is missing.</w:t>
      </w:r>
      <w:r>
        <w:t xml:space="preserve"> Build fails with </w:t>
      </w:r>
      <w:r>
        <w:rPr>
          <w:rFonts w:ascii="Consolas" w:hAnsi="Consolas"/>
          <w:sz w:val="19"/>
        </w:rPr>
        <w:t>File google-services.json is missing</w:t>
      </w:r>
      <w:r>
        <w:t>. Everything else works — proven by building a signed 60.7 MB AAB with a temporary placeholder.</w:t>
      </w:r>
    </w:p>
    <w:p>
      <w:pPr>
        <w:pStyle w:val="ListNumber"/>
      </w:pPr>
      <w:r>
        <w:rPr>
          <w:b/>
        </w:rPr>
        <w:t>The production backend URL in the app is dead.</w:t>
      </w:r>
      <w:r>
        <w:t xml:space="preserve"> </w:t>
      </w:r>
      <w:r>
        <w:rPr>
          <w:rFonts w:ascii="Consolas" w:hAnsi="Consolas"/>
          <w:sz w:val="19"/>
        </w:rPr>
        <w:t>backend-971397352159.asia-south1.run.app</w:t>
      </w:r>
      <w:r>
        <w:t xml:space="preserve"> returns 404 on </w:t>
      </w:r>
      <w:r>
        <w:rPr>
          <w:rFonts w:ascii="Consolas" w:hAnsi="Consolas"/>
          <w:sz w:val="19"/>
        </w:rPr>
        <w:t>/health</w:t>
      </w:r>
      <w:r>
        <w:t xml:space="preserve">, </w:t>
      </w:r>
      <w:r>
        <w:rPr>
          <w:rFonts w:ascii="Consolas" w:hAnsi="Consolas"/>
          <w:sz w:val="19"/>
        </w:rPr>
        <w:t>/v1/health</w:t>
      </w:r>
      <w:r>
        <w:t xml:space="preserve">, </w:t>
      </w:r>
      <w:r>
        <w:rPr>
          <w:rFonts w:ascii="Consolas" w:hAnsi="Consolas"/>
          <w:sz w:val="19"/>
        </w:rPr>
        <w:t>/api/health</w:t>
      </w:r>
      <w:r>
        <w:t xml:space="preserve"> and </w:t>
      </w:r>
      <w:r>
        <w:rPr>
          <w:rFonts w:ascii="Consolas" w:hAnsi="Consolas"/>
          <w:sz w:val="19"/>
        </w:rPr>
        <w:t>/ws</w:t>
      </w:r>
      <w:r>
        <w:t>. Two Flutter tests fail because the test expects a *third*, older host. Shipping as-is points users at nothing. Phase C2 fixes this, and it is one of the reasons AWS staging must land first.</w:t>
      </w:r>
    </w:p>
    <w:p>
      <w:pPr>
        <w:pStyle w:val="ListNumber"/>
      </w:pPr>
      <w:r>
        <w:rPr>
          <w:b/>
        </w:rPr>
        <w:t>No real upload key</w:t>
      </w:r>
      <w:r>
        <w:t xml:space="preserve">, and </w:t>
      </w:r>
      <w:r>
        <w:rPr>
          <w:rFonts w:ascii="Consolas" w:hAnsi="Consolas"/>
          <w:sz w:val="19"/>
        </w:rPr>
        <w:t>--dart-define=FLAVOR=prod</w:t>
      </w:r>
      <w:r>
        <w:t xml:space="preserve"> is required at build time or the app throws </w:t>
      </w:r>
      <w:r>
        <w:rPr>
          <w:rFonts w:ascii="Consolas" w:hAnsi="Consolas"/>
          <w:sz w:val="19"/>
        </w:rPr>
        <w:t>FlavorNotSpecifiedException</w:t>
      </w:r>
      <w:r>
        <w:t xml:space="preserve"> at launch — a trap that would have shipped a crashing app.</w:t>
      </w:r>
    </w:p>
    <w:p>
      <w:pPr>
        <w:pStyle w:val="Heading2"/>
      </w:pPr>
      <w:r>
        <w:t>11. Risks and kill criteria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DEDED"/>
          </w:tcPr>
          <w:p>
            <w:r>
              <w:rPr>
                <w:sz w:val="19"/>
              </w:rPr>
            </w:r>
            <w:r>
              <w:rPr>
                <w:b/>
              </w:rPr>
              <w:t>ID</w:t>
            </w:r>
          </w:p>
        </w:tc>
        <w:tc>
          <w:tcPr>
            <w:tcW w:type="dxa" w:w="1728"/>
            <w:shd w:val="clear" w:color="auto" w:fill="EDEDED"/>
          </w:tcPr>
          <w:p>
            <w:r>
              <w:rPr>
                <w:sz w:val="19"/>
              </w:rPr>
            </w:r>
            <w:r>
              <w:rPr>
                <w:b/>
              </w:rPr>
              <w:t>Risk</w:t>
            </w:r>
          </w:p>
        </w:tc>
        <w:tc>
          <w:tcPr>
            <w:tcW w:type="dxa" w:w="1728"/>
            <w:shd w:val="clear" w:color="auto" w:fill="EDEDED"/>
          </w:tcPr>
          <w:p>
            <w:r>
              <w:rPr>
                <w:sz w:val="19"/>
              </w:rPr>
            </w:r>
            <w:r>
              <w:rPr>
                <w:b/>
              </w:rPr>
              <w:t>Likelihood</w:t>
            </w:r>
          </w:p>
        </w:tc>
        <w:tc>
          <w:tcPr>
            <w:tcW w:type="dxa" w:w="1728"/>
            <w:shd w:val="clear" w:color="auto" w:fill="EDEDED"/>
          </w:tcPr>
          <w:p>
            <w:r>
              <w:rPr>
                <w:sz w:val="19"/>
              </w:rPr>
            </w:r>
            <w:r>
              <w:rPr>
                <w:b/>
              </w:rPr>
              <w:t>Impact</w:t>
            </w:r>
          </w:p>
        </w:tc>
        <w:tc>
          <w:tcPr>
            <w:tcW w:type="dxa" w:w="1728"/>
            <w:shd w:val="clear" w:color="auto" w:fill="EDEDED"/>
          </w:tcPr>
          <w:p>
            <w:r>
              <w:rPr>
                <w:sz w:val="19"/>
              </w:rPr>
            </w:r>
            <w:r>
              <w:rPr>
                <w:b/>
              </w:rPr>
              <w:t>Mitigation</w:t>
            </w:r>
          </w:p>
        </w:tc>
      </w:tr>
      <w:tr>
        <w:tc>
          <w:tcPr>
            <w:tcW w:type="dxa" w:w="1728"/>
          </w:tcPr>
          <w:p>
            <w:r>
              <w:rPr>
                <w:sz w:val="19"/>
              </w:rPr>
            </w:r>
            <w:r>
              <w:rPr>
                <w:sz w:val="19"/>
              </w:rPr>
              <w:t>R1</w:t>
            </w:r>
          </w:p>
        </w:tc>
        <w:tc>
          <w:tcPr>
            <w:tcW w:type="dxa" w:w="1728"/>
          </w:tcPr>
          <w:p>
            <w:r>
              <w:rPr>
                <w:sz w:val="19"/>
              </w:rPr>
            </w:r>
            <w:r>
              <w:rPr>
                <w:sz w:val="19"/>
              </w:rPr>
              <w:t>No AWS credentials → nothing can be applied</w:t>
            </w:r>
          </w:p>
        </w:tc>
        <w:tc>
          <w:tcPr>
            <w:tcW w:type="dxa" w:w="1728"/>
          </w:tcPr>
          <w:p>
            <w:r>
              <w:rPr>
                <w:sz w:val="19"/>
              </w:rPr>
            </w:r>
            <w:r>
              <w:rPr>
                <w:sz w:val="19"/>
              </w:rPr>
              <w:t>High</w:t>
            </w:r>
          </w:p>
        </w:tc>
        <w:tc>
          <w:tcPr>
            <w:tcW w:type="dxa" w:w="1728"/>
          </w:tcPr>
          <w:p>
            <w:r>
              <w:rPr>
                <w:sz w:val="19"/>
              </w:rPr>
            </w:r>
            <w:r>
              <w:rPr>
                <w:sz w:val="19"/>
              </w:rPr>
              <w:t>Blocks everything</w:t>
            </w:r>
          </w:p>
        </w:tc>
        <w:tc>
          <w:tcPr>
            <w:tcW w:type="dxa" w:w="1728"/>
          </w:tcPr>
          <w:p>
            <w:r>
              <w:rPr>
                <w:sz w:val="19"/>
              </w:rPr>
            </w:r>
            <w:r>
              <w:rPr>
                <w:sz w:val="19"/>
              </w:rPr>
              <w:t>Terraform is written and validated; needs only credentials</w:t>
            </w:r>
          </w:p>
        </w:tc>
      </w:tr>
      <w:tr>
        <w:tc>
          <w:tcPr>
            <w:tcW w:type="dxa" w:w="1728"/>
          </w:tcPr>
          <w:p>
            <w:r>
              <w:rPr>
                <w:sz w:val="19"/>
              </w:rPr>
            </w:r>
            <w:r>
              <w:rPr>
                <w:sz w:val="19"/>
              </w:rPr>
              <w:t>R2</w:t>
            </w:r>
          </w:p>
        </w:tc>
        <w:tc>
          <w:tcPr>
            <w:tcW w:type="dxa" w:w="1728"/>
          </w:tcPr>
          <w:p>
            <w:r>
              <w:rPr>
                <w:sz w:val="19"/>
              </w:rPr>
            </w:r>
            <w:r>
              <w:rPr>
                <w:sz w:val="19"/>
              </w:rPr>
              <w:t>In-region models fail the clinical bar and Claude is Marketplace-billed</w:t>
            </w:r>
          </w:p>
        </w:tc>
        <w:tc>
          <w:tcPr>
            <w:tcW w:type="dxa" w:w="1728"/>
          </w:tcPr>
          <w:p>
            <w:r>
              <w:rPr>
                <w:sz w:val="19"/>
              </w:rPr>
            </w:r>
            <w:r>
              <w:rPr>
                <w:sz w:val="19"/>
              </w:rPr>
              <w:t>Medium</w:t>
            </w:r>
          </w:p>
        </w:tc>
        <w:tc>
          <w:tcPr>
            <w:tcW w:type="dxa" w:w="1728"/>
          </w:tcPr>
          <w:p>
            <w:r>
              <w:rPr>
                <w:sz w:val="19"/>
              </w:rPr>
            </w:r>
            <w:r>
              <w:rPr>
                <w:sz w:val="19"/>
              </w:rPr>
              <w:t>The credits argument collapses for the biggest cost line</w:t>
            </w:r>
          </w:p>
        </w:tc>
        <w:tc>
          <w:tcPr>
            <w:tcW w:type="dxa" w:w="1728"/>
          </w:tcPr>
          <w:p>
            <w:r>
              <w:rPr>
                <w:sz w:val="19"/>
              </w:rPr>
            </w:r>
            <w:r>
              <w:rPr>
                <w:sz w:val="19"/>
              </w:rPr>
              <w:t>Bridge keeps the LLM on an API key; decide with data in D2/D3</w:t>
            </w:r>
          </w:p>
        </w:tc>
      </w:tr>
      <w:tr>
        <w:tc>
          <w:tcPr>
            <w:tcW w:type="dxa" w:w="1728"/>
          </w:tcPr>
          <w:p>
            <w:r>
              <w:rPr>
                <w:sz w:val="19"/>
              </w:rPr>
            </w:r>
            <w:r>
              <w:rPr>
                <w:sz w:val="19"/>
              </w:rPr>
              <w:t>R3</w:t>
            </w:r>
          </w:p>
        </w:tc>
        <w:tc>
          <w:tcPr>
            <w:tcW w:type="dxa" w:w="1728"/>
          </w:tcPr>
          <w:p>
            <w:r>
              <w:rPr>
                <w:sz w:val="19"/>
              </w:rPr>
            </w:r>
            <w:r>
              <w:rPr>
                <w:sz w:val="19"/>
              </w:rPr>
              <w:t>Residency claim weakens to India-geo if Claude is used</w:t>
            </w:r>
          </w:p>
        </w:tc>
        <w:tc>
          <w:tcPr>
            <w:tcW w:type="dxa" w:w="1728"/>
          </w:tcPr>
          <w:p>
            <w:r>
              <w:rPr>
                <w:sz w:val="19"/>
              </w:rPr>
            </w:r>
            <w:r>
              <w:rPr>
                <w:sz w:val="19"/>
              </w:rPr>
              <w:t>Medium</w:t>
            </w:r>
          </w:p>
        </w:tc>
        <w:tc>
          <w:tcPr>
            <w:tcW w:type="dxa" w:w="1728"/>
          </w:tcPr>
          <w:p>
            <w:r>
              <w:rPr>
                <w:sz w:val="19"/>
              </w:rPr>
            </w:r>
            <w:r>
              <w:rPr>
                <w:sz w:val="19"/>
              </w:rPr>
              <w:t>DPDP position changes</w:t>
            </w:r>
          </w:p>
        </w:tc>
        <w:tc>
          <w:tcPr>
            <w:tcW w:type="dxa" w:w="1728"/>
          </w:tcPr>
          <w:p>
            <w:r>
              <w:rPr>
                <w:sz w:val="19"/>
              </w:rPr>
            </w:r>
            <w:r>
              <w:rPr>
                <w:sz w:val="19"/>
              </w:rPr>
              <w:t>Written residency decision (§9.12) before any flip</w:t>
            </w:r>
          </w:p>
        </w:tc>
      </w:tr>
      <w:tr>
        <w:tc>
          <w:tcPr>
            <w:tcW w:type="dxa" w:w="1728"/>
          </w:tcPr>
          <w:p>
            <w:r>
              <w:rPr>
                <w:sz w:val="19"/>
              </w:rPr>
            </w:r>
            <w:r>
              <w:rPr>
                <w:sz w:val="19"/>
              </w:rPr>
              <w:t>R4</w:t>
            </w:r>
          </w:p>
        </w:tc>
        <w:tc>
          <w:tcPr>
            <w:tcW w:type="dxa" w:w="1728"/>
          </w:tcPr>
          <w:p>
            <w:r>
              <w:rPr>
                <w:sz w:val="19"/>
              </w:rPr>
            </w:r>
            <w:r>
              <w:rPr>
                <w:sz w:val="19"/>
              </w:rPr>
              <w:t>14-day Play clock means store release cannot be pulled forward</w:t>
            </w:r>
          </w:p>
        </w:tc>
        <w:tc>
          <w:tcPr>
            <w:tcW w:type="dxa" w:w="1728"/>
          </w:tcPr>
          <w:p>
            <w:r>
              <w:rPr>
                <w:sz w:val="19"/>
              </w:rPr>
            </w:r>
            <w:r>
              <w:rPr>
                <w:sz w:val="19"/>
              </w:rPr>
              <w:t>Certain</w:t>
            </w:r>
          </w:p>
        </w:tc>
        <w:tc>
          <w:tcPr>
            <w:tcW w:type="dxa" w:w="1728"/>
          </w:tcPr>
          <w:p>
            <w:r>
              <w:rPr>
                <w:sz w:val="19"/>
              </w:rPr>
            </w:r>
            <w:r>
              <w:rPr>
                <w:sz w:val="19"/>
              </w:rPr>
              <w:t>~4 weeks minimum</w:t>
            </w:r>
          </w:p>
        </w:tc>
        <w:tc>
          <w:tcPr>
            <w:tcW w:type="dxa" w:w="1728"/>
          </w:tcPr>
          <w:p>
            <w:r>
              <w:rPr>
                <w:sz w:val="19"/>
              </w:rPr>
            </w:r>
            <w:r>
              <w:rPr>
                <w:sz w:val="19"/>
              </w:rPr>
              <w:t>Start the clock the day staging is live</w:t>
            </w:r>
          </w:p>
        </w:tc>
      </w:tr>
      <w:tr>
        <w:tc>
          <w:tcPr>
            <w:tcW w:type="dxa" w:w="1728"/>
          </w:tcPr>
          <w:p>
            <w:r>
              <w:rPr>
                <w:sz w:val="19"/>
              </w:rPr>
            </w:r>
            <w:r>
              <w:rPr>
                <w:sz w:val="19"/>
              </w:rPr>
              <w:t>R5</w:t>
            </w:r>
          </w:p>
        </w:tc>
        <w:tc>
          <w:tcPr>
            <w:tcW w:type="dxa" w:w="1728"/>
          </w:tcPr>
          <w:p>
            <w:r>
              <w:rPr>
                <w:sz w:val="19"/>
              </w:rPr>
            </w:r>
            <w:r>
              <w:rPr>
                <w:sz w:val="19"/>
              </w:rPr>
              <w:t>Forced password resets if Cognito migration happens post-launch</w:t>
            </w:r>
          </w:p>
        </w:tc>
        <w:tc>
          <w:tcPr>
            <w:tcW w:type="dxa" w:w="1728"/>
          </w:tcPr>
          <w:p>
            <w:r>
              <w:rPr>
                <w:sz w:val="19"/>
              </w:rPr>
            </w:r>
            <w:r>
              <w:rPr>
                <w:sz w:val="19"/>
              </w:rPr>
              <w:t>Certain if deferred</w:t>
            </w:r>
          </w:p>
        </w:tc>
        <w:tc>
          <w:tcPr>
            <w:tcW w:type="dxa" w:w="1728"/>
          </w:tcPr>
          <w:p>
            <w:r>
              <w:rPr>
                <w:sz w:val="19"/>
              </w:rPr>
            </w:r>
            <w:r>
              <w:rPr>
                <w:sz w:val="19"/>
              </w:rPr>
              <w:t>Churn</w:t>
            </w:r>
          </w:p>
        </w:tc>
        <w:tc>
          <w:tcPr>
            <w:tcW w:type="dxa" w:w="1728"/>
          </w:tcPr>
          <w:p>
            <w:r>
              <w:rPr>
                <w:sz w:val="19"/>
              </w:rPr>
            </w:r>
            <w:r>
              <w:rPr>
                <w:sz w:val="19"/>
              </w:rPr>
              <w:t>Do identity migration before public launch, or never</w:t>
            </w:r>
          </w:p>
        </w:tc>
      </w:tr>
      <w:tr>
        <w:tc>
          <w:tcPr>
            <w:tcW w:type="dxa" w:w="1728"/>
          </w:tcPr>
          <w:p>
            <w:r>
              <w:rPr>
                <w:sz w:val="19"/>
              </w:rPr>
            </w:r>
            <w:r>
              <w:rPr>
                <w:sz w:val="19"/>
              </w:rPr>
              <w:t>R6</w:t>
            </w:r>
          </w:p>
        </w:tc>
        <w:tc>
          <w:tcPr>
            <w:tcW w:type="dxa" w:w="1728"/>
          </w:tcPr>
          <w:p>
            <w:r>
              <w:rPr>
                <w:sz w:val="19"/>
              </w:rPr>
            </w:r>
            <w:r>
              <w:rPr>
                <w:sz w:val="19"/>
              </w:rPr>
              <w:t>Model-quality regression is invisible because recall is unmeasured</w:t>
            </w:r>
          </w:p>
        </w:tc>
        <w:tc>
          <w:tcPr>
            <w:tcW w:type="dxa" w:w="1728"/>
          </w:tcPr>
          <w:p>
            <w:r>
              <w:rPr>
                <w:sz w:val="19"/>
              </w:rPr>
            </w:r>
            <w:r>
              <w:rPr>
                <w:sz w:val="19"/>
              </w:rPr>
              <w:t>High</w:t>
            </w:r>
          </w:p>
        </w:tc>
        <w:tc>
          <w:tcPr>
            <w:tcW w:type="dxa" w:w="1728"/>
          </w:tcPr>
          <w:p>
            <w:r>
              <w:rPr>
                <w:sz w:val="19"/>
              </w:rPr>
            </w:r>
            <w:r>
              <w:rPr>
                <w:sz w:val="19"/>
              </w:rPr>
              <w:t>Safety</w:t>
            </w:r>
          </w:p>
        </w:tc>
        <w:tc>
          <w:tcPr>
            <w:tcW w:type="dxa" w:w="1728"/>
          </w:tcPr>
          <w:p>
            <w:r>
              <w:rPr>
                <w:sz w:val="19"/>
              </w:rPr>
            </w:r>
            <w:r>
              <w:rPr>
                <w:sz w:val="19"/>
              </w:rPr>
              <w:t>D1/D2 require an eval set; this is the same gap flagged in the agent evaluation</w:t>
            </w:r>
          </w:p>
        </w:tc>
      </w:tr>
    </w:tbl>
    <w:p/>
    <w:p>
      <w:r>
        <w:rPr>
          <w:b/>
        </w:rPr>
        <w:t>Kill criteria.</w:t>
      </w:r>
      <w:r>
        <w:t xml:space="preserve"> Stop the migration and revert to GCP if: AWS credits turn out to exclude Bedrock inference *and* in-region open-weight models fail the clinical bar *and* you decline Marketplace billing. In that case the credits buy you infrastructure you do not need while the model — the thing that costs money at scale — stays outside them.</w:t>
      </w:r>
    </w:p>
    <w:p>
      <w:pPr>
        <w:pStyle w:val="Heading2"/>
      </w:pPr>
      <w:r>
        <w:t>12. What this plan does not claim</w:t>
      </w:r>
    </w:p>
    <w:p>
      <w:pPr>
        <w:pStyle w:val="ListBullet"/>
      </w:pPr>
      <w:r>
        <w:rPr>
          <w:b/>
        </w:rPr>
        <w:t>Nothing has been deployed.</w:t>
      </w:r>
      <w:r>
        <w:t xml:space="preserve"> The Terraform validates; it has never been applied, because there are no AWS credentials on the build host.</w:t>
      </w:r>
    </w:p>
    <w:p>
      <w:pPr>
        <w:pStyle w:val="ListBullet"/>
      </w:pPr>
      <w:r>
        <w:rPr>
          <w:b/>
        </w:rPr>
        <w:t>No Bedrock call has ever succeeded against a live endpoint.</w:t>
      </w:r>
      <w:r>
        <w:t xml:space="preserve"> The client is written and its tests mock the SDK; a real call without credentials fails closed with a fallback, which is the correct behaviour but is not a demonstration.</w:t>
      </w:r>
    </w:p>
    <w:p>
      <w:pPr>
        <w:pStyle w:val="ListBullet"/>
      </w:pPr>
      <w:r>
        <w:rPr>
          <w:b/>
        </w:rPr>
        <w:t>The migration is not seven days.</w:t>
      </w:r>
      <w:r>
        <w:t xml:space="preserve"> Track A is 50 dev-days; the full programme is 88. The seven-day build plan is superseded by this document.</w:t>
      </w:r>
    </w:p>
    <w:p>
      <w:pPr>
        <w:pStyle w:val="ListBullet"/>
      </w:pPr>
      <w:r>
        <w:rPr>
          <w:b/>
        </w:rPr>
        <w:t>The Android app has never run against a live backend</w:t>
      </w:r>
      <w:r>
        <w:t>, because the configured backend is dead. 209 Flutter tests pass; 2 fail on that stale URL.</w:t>
      </w:r>
    </w:p>
    <w:p>
      <w:pPr>
        <w:pStyle w:val="ListBullet"/>
      </w:pPr>
      <w:r>
        <w:rPr>
          <w:b/>
        </w:rPr>
        <w:t>Classifier recall is still unmeasured</w:t>
      </w:r>
      <w:r>
        <w:t>, in both codebases. Adding agents and moving clouds does not make the pipeline safer; only measurement does.</w:t>
      </w:r>
    </w:p>
    <w:p>
      <w:r>
        <w:t xml:space="preserve">*Prepared 27 October 2026. Every figure in this document was produced by running something today: </w:t>
      </w:r>
      <w:r>
        <w:rPr>
          <w:rFonts w:ascii="Consolas" w:hAnsi="Consolas"/>
          <w:sz w:val="19"/>
        </w:rPr>
        <w:t>terraform validate</w:t>
      </w:r>
      <w:r>
        <w:t xml:space="preserve">, the four test suites, a signed AAB build, HTTP probes against the production host, and AWS documentation pages cited in </w:t>
      </w:r>
      <w:r>
        <w:rPr>
          <w:rFonts w:ascii="Consolas" w:hAnsi="Consolas"/>
          <w:sz w:val="19"/>
        </w:rPr>
        <w:t>GCP-to-AWS-mapping-ap-south-1.md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