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AYUSH (Ministry of Ayush)</w:t>
      </w:r>
    </w:p>
    <w:p>
      <w:r>
        <w:rPr>
          <w:b/>
        </w:rPr>
        <w:t>In terms of implementing a Bounded Browser Pool -&gt; enhances CPU/Memory utilization -&gt; provides zero-crash scraping of Angular SPAs.</w:t>
      </w:r>
    </w:p>
    <w:p>
      <w:pPr>
        <w:pStyle w:val="Heading2"/>
      </w:pPr>
      <w:r>
        <w:t>Architecture Diagram - Scraping Details</w:t>
      </w:r>
    </w:p>
    <w:p>
      <w:r>
        <w:drawing>
          <wp:inline xmlns:a="http://schemas.openxmlformats.org/drawingml/2006/main" xmlns:pic="http://schemas.openxmlformats.org/drawingml/2006/picture">
            <wp:extent cx="5029200" cy="7451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5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Introduction</w:t>
      </w:r>
    </w:p>
    <w:p>
      <w:r>
        <w:t>The Ministry of Ayush portal acts as the centralized digital repository for Ayurveda, Yoga, Unani, Siddha, and Homoeopathy. It utilizes a dynamic Angular frontend which necessitates browser rendering for scraping.</w:t>
      </w:r>
    </w:p>
    <w:p>
      <w:pPr>
        <w:pStyle w:val="Heading2"/>
      </w:pPr>
      <w:r>
        <w:t>What website provides</w:t>
      </w:r>
    </w:p>
    <w:p>
      <w:r>
        <w:t>Official notifications, Ayurveda Aahara regulations, schemes, guidelines, and PDF publications.</w:t>
      </w:r>
    </w:p>
    <w:p>
      <w:pPr>
        <w:pStyle w:val="Heading2"/>
      </w:pPr>
      <w:r>
        <w:t>How retrieval works</w:t>
      </w:r>
    </w:p>
    <w:p>
      <w:r>
        <w:t>LangGraph queries the AYUSH Retrieval Adapter, which queues the request to a bounded Playwright browser pool. The browser fully renders the Angular SPA, extracts the dynamic PDF links, downloads them asynchronously, and returns normalized evidence.</w:t>
      </w:r>
    </w:p>
    <w:p>
      <w:pPr>
        <w:pStyle w:val="Heading2"/>
      </w:pPr>
      <w:r>
        <w:t>Conclusion (Efficiency &amp; Optimization)</w:t>
      </w:r>
    </w:p>
    <w:p>
      <w:r>
        <w:t>This architecture is highly efficient because it hides the complex, memory-heavy headless browser execution behind an Adapter. By restricting concurrent browser instances, our LangGraph orchestrator remains extremely stable (avoiding OOM errors) and is fully decoupled from frontend layout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