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FSSAI (Food Safety and Standards Authority)</w:t>
      </w:r>
    </w:p>
    <w:p>
      <w:r>
        <w:rPr>
          <w:b/>
        </w:rPr>
        <w:t>In terms of implementing a Split Rendering/HTTP Pipeline -&gt; enhances legacy server stability -&gt; provides uninterrupted retrieval of food safety rules.</w:t>
      </w:r>
    </w:p>
    <w:p>
      <w:pPr>
        <w:pStyle w:val="Heading2"/>
      </w:pPr>
      <w:r>
        <w:t>Architecture Diagram - Scraping Details</w:t>
      </w:r>
    </w:p>
    <w:p>
      <w:r>
        <w:drawing>
          <wp:inline xmlns:a="http://schemas.openxmlformats.org/drawingml/2006/main" xmlns:pic="http://schemas.openxmlformats.org/drawingml/2006/picture">
            <wp:extent cx="5029200" cy="116830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683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Introduction</w:t>
      </w:r>
    </w:p>
    <w:p>
      <w:r>
        <w:t>The FSSAI portal provides mandatory food safety regulations for India. It operates via a modern React frontend paired with highly fragile legacy backend servers hosting the documents.</w:t>
      </w:r>
    </w:p>
    <w:p>
      <w:pPr>
        <w:pStyle w:val="Heading2"/>
      </w:pPr>
      <w:r>
        <w:t>What website provides</w:t>
      </w:r>
    </w:p>
    <w:p>
      <w:r>
        <w:t>Food Safety and Standards Act (2006), Ayurveda Aahara rules, gazette notifications, hygiene ratings, and licensing directives.</w:t>
      </w:r>
    </w:p>
    <w:p>
      <w:pPr>
        <w:pStyle w:val="Heading2"/>
      </w:pPr>
      <w:r>
        <w:t>How retrieval works</w:t>
      </w:r>
    </w:p>
    <w:p>
      <w:r>
        <w:t>The FSSAI Retrieval Adapter intercepts the query, checking a cache first. On a miss, it uses a lightweight Playwright instance to map the React routing and extract legacy PDF URLs. These URLs are then downloaded using a strictly rate-limited HTTP pool to avoid server bans.</w:t>
      </w:r>
    </w:p>
    <w:p>
      <w:pPr>
        <w:pStyle w:val="Heading2"/>
      </w:pPr>
      <w:r>
        <w:t>Conclusion (Efficiency &amp; Optimization)</w:t>
      </w:r>
    </w:p>
    <w:p>
      <w:r>
        <w:t>This approach optimizes the current architecture by isolating the fragile government legacy servers from the rapid execution of the LLM. It prevents catastrophic IP bans (bot-blocking) while ensuring fast retrieval via caching, significantly improving overall system reliability.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