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WIPO Lex (IP Country)</w:t>
      </w:r>
    </w:p>
    <w:p>
      <w:r>
        <w:rPr>
          <w:b/>
        </w:rPr>
        <w:t>In terms of implementing Shadow DOM Injection -&gt; enhances CloudFront WAF bypass -&gt; provides uninterrupted access to international IP treaties.</w:t>
      </w:r>
    </w:p>
    <w:p>
      <w:pPr>
        <w:pStyle w:val="Heading2"/>
      </w:pPr>
      <w:r>
        <w:t>Architecture Diagram - Scraping Details</w:t>
      </w:r>
    </w:p>
    <w:p>
      <w:r>
        <w:drawing>
          <wp:inline xmlns:a="http://schemas.openxmlformats.org/drawingml/2006/main" xmlns:pic="http://schemas.openxmlformats.org/drawingml/2006/picture">
            <wp:extent cx="5029200" cy="9795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9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Introduction</w:t>
      </w:r>
    </w:p>
    <w:p>
      <w:r>
        <w:t>WIPO Lex is the global database for intellectual property laws and treaties. It leverages complex web components (Shadow DOM) and strict AWS CloudFront rate limiting.</w:t>
      </w:r>
    </w:p>
    <w:p>
      <w:pPr>
        <w:pStyle w:val="Heading2"/>
      </w:pPr>
      <w:r>
        <w:t>What website provides</w:t>
      </w:r>
    </w:p>
    <w:p>
      <w:r>
        <w:t>National IP laws, international patent treaties, trademarks, copyright acts, and IP judgments.</w:t>
      </w:r>
    </w:p>
    <w:p>
      <w:pPr>
        <w:pStyle w:val="Heading2"/>
      </w:pPr>
      <w:r>
        <w:t>How retrieval works</w:t>
      </w:r>
    </w:p>
    <w:p>
      <w:r>
        <w:t>The WipoLex Retrieval Adapter receives the country/IP query and executes a heavily rate-limited (jittered) Playwright script. It injects JS directly into the Shadow DOM to trigger searches, parses the generated tables, and downloads the relevant PDFs.</w:t>
      </w:r>
    </w:p>
    <w:p>
      <w:pPr>
        <w:pStyle w:val="Heading2"/>
      </w:pPr>
      <w:r>
        <w:t>Conclusion (Efficiency &amp; Optimization)</w:t>
      </w:r>
    </w:p>
    <w:p>
      <w:r>
        <w:t>This is a critical optimization for international queries. By abstracting the Shadow DOM complexities and enforcing strict delays, the architecture guarantees we do not get blocked by AWS WAF, maintaining a high-fidelity pipeline for international legal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