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NBA (National Biodiversity Authority)</w:t>
      </w:r>
    </w:p>
    <w:p>
      <w:r>
        <w:rPr>
          <w:b/>
        </w:rPr>
        <w:t>In terms of implementing lightweight LXML parsing -&gt; enhances request throughput -&gt; provides near-instant access to ABS rules.</w:t>
      </w:r>
    </w:p>
    <w:p>
      <w:pPr>
        <w:pStyle w:val="Heading2"/>
      </w:pPr>
      <w:r>
        <w:t>Architecture Diagram - Scraping Details</w:t>
      </w:r>
    </w:p>
    <w:p>
      <w:r>
        <w:drawing>
          <wp:inline xmlns:a="http://schemas.openxmlformats.org/drawingml/2006/main" xmlns:pic="http://schemas.openxmlformats.org/drawingml/2006/picture">
            <wp:extent cx="5029200" cy="12157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15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Introduction</w:t>
      </w:r>
    </w:p>
    <w:p>
      <w:r>
        <w:t>The NBA portal manages India's Biological Diversity Act and ABS (Access and Benefit Sharing) e-filing resources. It uses a traditional server-rendered Drupal 10 CMS.</w:t>
      </w:r>
    </w:p>
    <w:p>
      <w:pPr>
        <w:pStyle w:val="Heading2"/>
      </w:pPr>
      <w:r>
        <w:t>What website provides</w:t>
      </w:r>
    </w:p>
    <w:p>
      <w:r>
        <w:t>Biological Diversity Act sections, ABS guidelines, People's Biodiversity Register formats, and SBB circulars.</w:t>
      </w:r>
    </w:p>
    <w:p>
      <w:pPr>
        <w:pStyle w:val="Heading2"/>
      </w:pPr>
      <w:r>
        <w:t>How retrieval works</w:t>
      </w:r>
    </w:p>
    <w:p>
      <w:r>
        <w:t>The NBA Retrieval Adapter uses standard, fast asynchronous HTTP clients to fetch the server-rendered HTML. It utilizes BeautifulSoup with an LXML parser to instantly extract document links, resolves them into absolute URLs, and downloads the evidence.</w:t>
      </w:r>
    </w:p>
    <w:p>
      <w:pPr>
        <w:pStyle w:val="Heading2"/>
      </w:pPr>
      <w:r>
        <w:t>Conclusion (Efficiency &amp; Optimization)</w:t>
      </w:r>
    </w:p>
    <w:p>
      <w:r>
        <w:t>This approach is exceptionally fast and resource-efficient. Since Drupal provides fully formed HTML, stripping away browser automation reduces compute overhead by 90%, allowing the orchestrator to scale effortlessly to support 20k+ concurrent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