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lantai kamar mandi Penyebab kebocoran plavon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54CC" w14:textId="77777777" w:rsidR="002C58CD" w:rsidRDefault="002C58CD" w:rsidP="00620BCD">
      <w:r>
        <w:separator/>
      </w:r>
    </w:p>
  </w:endnote>
  <w:endnote w:type="continuationSeparator" w:id="0">
    <w:p w14:paraId="677167FB" w14:textId="77777777" w:rsidR="002C58CD" w:rsidRDefault="002C58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C667" w14:textId="77777777" w:rsidR="002C58CD" w:rsidRDefault="002C58CD" w:rsidP="00620BCD">
      <w:r>
        <w:separator/>
      </w:r>
    </w:p>
  </w:footnote>
  <w:footnote w:type="continuationSeparator" w:id="0">
    <w:p w14:paraId="37250474" w14:textId="77777777" w:rsidR="002C58CD" w:rsidRDefault="002C58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2025-08-20T06:23:00Z</dcterms:created>
  <dcterms:modified xsi:type="dcterms:W3CDTF">2025-08-20T06:23:00Z</dcterms:modified>
  <dc:language>en-US</dc:language>
</cp:coreProperties>
</file>