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RS'ASF/482/MI-UMUM/IT/2025</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1</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Segera</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Okyanto Agung Kurniawan S. Kom</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Kasubag Sistem Informasi</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sz w:val="20"/>
          <w:szCs w:val="20"/>
          <w:lang w:eastAsia="en-US"/>
        </w:rPr>
      </w:pPr>
      <w:r>
        <w:rPr>
          <w:rFonts w:ascii="Times New Roman" w:hAnsi="Times New Roman" w:cs="Times New Roman"/>
          <w:b/>
          <w:color w:val="000000"/>
          <w:sz w:val="20"/>
          <w:szCs w:val="20"/>
          <w:lang w:eastAsia="en-US"/>
        </w:rPr>
      </w:r>
      <w:r>
        <w:rPr>
          <w:rFonts w:ascii="Times New Roman" w:hAnsi="Times New Roman" w:cs="Times New Roman"/>
          <w:b/>
          <w:color w:val="000000"/>
          <w:sz w:val="20"/>
          <w:szCs w:val="2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03 September 2025</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Permohonan Pengadaan Kebutuhan Jaringan di Selasar dan Kebutuhan Penjung Kerja Unit</w:t>
            </w:r>
            <w:r>
              <w:rPr>
                <w:rFonts w:ascii="Times New Roman" w:hAnsi="Times New Roman" w:cs="Times New Roman"/>
              </w:rPr>
            </w:r>
          </w:p>
        </w:tc>
      </w:tr>
    </w:tbl>
    <w:p>
      <w:pPr>
        <w:pBdr/>
        <w:spacing w:after="160"/>
        <w:ind/>
        <w:contextualSpacing w:val="true"/>
        <w:jc w:val="both"/>
        <w:rPr>
          <w:rFonts w:ascii="Times New Roman" w:hAnsi="Times New Roman" w:cs="Times New Roman"/>
          <w:b/>
          <w:sz w:val="16"/>
          <w:szCs w:val="16"/>
          <w:lang w:eastAsia="en-US"/>
        </w:rPr>
      </w:pPr>
      <w:r>
        <w:rPr>
          <w:rFonts w:ascii="Times New Roman" w:hAnsi="Times New Roman" w:cs="Times New Roman"/>
          <w:b/>
          <w:lang w:eastAsia="en-US"/>
        </w:rPr>
      </w:r>
      <w:r>
        <w:rPr>
          <w:rFonts w:ascii="Times New Roman" w:hAnsi="Times New Roman" w:cs="Times New Roman"/>
          <w:b/>
          <w:sz w:val="16"/>
          <w:szCs w:val="16"/>
          <w:lang w:eastAsia="en-US"/>
        </w:rPr>
      </w:r>
      <w:r>
        <w:rPr>
          <w:rFonts w:ascii="Times New Roman" w:hAnsi="Times New Roman" w:cs="Times New Roman"/>
          <w:b/>
          <w:sz w:val="16"/>
          <w:szCs w:val="16"/>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sz w:val="12"/>
          <w:szCs w:val="12"/>
          <w:lang w:eastAsia="en-US"/>
        </w:rPr>
      </w:pPr>
      <w:r>
        <w:rPr>
          <w:rFonts w:ascii="Times New Roman" w:hAnsi="Times New Roman" w:eastAsia="Times New Roman" w:cs="Times New Roman"/>
          <w:b/>
          <w:lang w:eastAsia="en-US"/>
        </w:rPr>
      </w:r>
      <w:r>
        <w:rPr>
          <w:rFonts w:ascii="Times New Roman" w:hAnsi="Times New Roman" w:eastAsia="Times New Roman" w:cs="Times New Roman"/>
          <w:b/>
          <w:sz w:val="12"/>
          <w:szCs w:val="12"/>
          <w:lang w:eastAsia="en-US"/>
        </w:rPr>
      </w:r>
      <w:r>
        <w:rPr>
          <w:rFonts w:ascii="Times New Roman" w:hAnsi="Times New Roman" w:eastAsia="Times New Roman" w:cs="Times New Roman"/>
          <w:b/>
          <w:sz w:val="12"/>
          <w:szCs w:val="12"/>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untuk memastikan kelancaran proses administrasi dan pelayanan pasien tanpa hambatan. Perangkat dan pasokan ini diharapkan dapat mendukung produktivitas kerja dan menjaga kelancaran alur operasional.</w:t>
      </w:r>
      <w:r>
        <w:rPr>
          <w:rFonts w:ascii="Times New Roman" w:hAnsi="Times New Roman" w:eastAsia="Times New Roman" w:cs="Times New Roman"/>
          <w:lang w:eastAsia="en-US"/>
        </w:rPr>
      </w:r>
      <w:r>
        <w:rPr>
          <w:rFonts w:ascii="Times New Roman" w:hAnsi="Times New Roman" w:eastAsia="Times New Roman" w:cs="Times New Roman"/>
          <w:lang w:eastAsia="en-US"/>
        </w:rPr>
      </w: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r>
        <w:rPr>
          <w:rFonts w:ascii="Times New Roman" w:hAnsi="Times New Roman" w:eastAsia="Times New Roman" w:cs="Times New Roman"/>
          <w:lang w:eastAsia="en-US"/>
        </w:rPr>
      </w:r>
    </w:p>
    <w:p>
      <w:pPr>
        <w:pBdr/>
        <w:spacing w:after="120"/>
        <w:ind/>
        <w:jc w:val="both"/>
        <w:rPr>
          <w:rFonts w:ascii="Times New Roman" w:hAnsi="Times New Roman" w:cs="Times New Roman"/>
          <w:sz w:val="10"/>
          <w:szCs w:val="10"/>
        </w:rPr>
      </w:pPr>
      <w:r>
        <w:rPr>
          <w:rFonts w:ascii="Times New Roman" w:hAnsi="Times New Roman" w:cs="Times New Roman"/>
          <w:b/>
          <w:highlight w:val="none"/>
          <w:lang w:eastAsia="en-US"/>
        </w:rPr>
      </w:r>
      <w:r>
        <w:rPr>
          <w:rFonts w:ascii="Times New Roman" w:hAnsi="Times New Roman" w:cs="Times New Roman"/>
          <w:b/>
          <w:sz w:val="10"/>
          <w:szCs w:val="10"/>
          <w:highlight w:val="none"/>
          <w:lang w:eastAsia="en-US"/>
        </w:rPr>
      </w:r>
      <w:r>
        <w:rPr>
          <w:rFonts w:ascii="Times New Roman" w:hAnsi="Times New Roman" w:cs="Times New Roman"/>
          <w:sz w:val="10"/>
          <w:szCs w:val="10"/>
        </w:rPr>
      </w:r>
    </w:p>
    <w:p>
      <w:pPr>
        <w:pBdr/>
        <w:spacing w:after="120"/>
        <w:ind/>
        <w:jc w:val="both"/>
        <w:rPr>
          <w:rFonts w:ascii="Times New Roman" w:hAnsi="Times New Roman" w:cs="Times New Roman"/>
          <w:b/>
          <w:bCs/>
          <w:highlight w:val="none"/>
          <w:lang w:eastAsia="en-US"/>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r>
        <w:rPr>
          <w:rFonts w:ascii="Times New Roman" w:hAnsi="Times New Roman" w:cs="Times New Roman"/>
          <w:b/>
          <w:color w:val="000000"/>
          <w:lang w:eastAsia="en-US"/>
        </w:rPr>
      </w:r>
      <w:r>
        <w:rPr>
          <w:rFonts w:ascii="Times New Roman" w:hAnsi="Times New Roman" w:cs="Times New Roman"/>
          <w:b/>
          <w:color w:val="000000"/>
          <w:lang w:eastAsia="en-US"/>
        </w:rPr>
      </w:r>
      <w:r>
        <w:rPr>
          <w:rFonts w:ascii="Times New Roman" w:hAnsi="Times New Roman" w:cs="Times New Roman"/>
        </w:rPr>
      </w:r>
    </w:p>
    <w:tbl>
      <w:tblPr>
        <w:tblInd w:w="81" w:type="dxa"/>
        <w:tblW w:w="9558" w:type="dxa"/>
        <w:tblCellMar>
          <w:left w:w="113" w:type="dxa"/>
        </w:tblCellMar>
        <w:tblBorders/>
        <w:tblLayout w:type="fixed"/>
        <w:tblLook w:val="04A0" w:firstRow="1" w:lastRow="0" w:firstColumn="1" w:lastColumn="0" w:noHBand="0" w:noVBand="1"/>
      </w:tblPr>
      <w:tblGrid>
        <w:gridCol w:w="3746"/>
        <w:gridCol w:w="5812"/>
      </w:tblGrid>
      <w:tr>
        <w:trPr>
          <w:trHeight w:val="1253"/>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1" o:title=""/>
                </v:shape>
              </w:pict>
              <w:t xml:space="preserve"/>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0" o:title=""/>
                </v:shape>
              </w:pict>
              <w:t xml:space="preserve"/>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9" o:title=""/>
                </v:shape>
              </w:pict>
              <w:t xml:space="preserve"/>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RS'ASF/482/MI-UMUM/IT/2025</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