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RS'ASF/483/MI-UMUM/IT/2025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Amat Segera/Kilat</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lang w:eastAsia="en-US"/>
        </w:rPr>
      </w:pPr>
      <w:r>
        <w:rPr>
          <w:rFonts w:ascii="Times New Roman" w:hAnsi="Times New Roman" w:cs="Times New Roman"/>
          <w:b/>
          <w:color w:val="000000"/>
          <w:lang w:eastAsia="en-US"/>
        </w:rPr>
      </w:r>
      <w:r>
        <w:rPr>
          <w:rFonts w:ascii="Times New Roman" w:hAnsi="Times New Roman" w:cs="Times New Roman"/>
          <w:b/>
          <w:color w:val="00000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Selasar untuk Relokasi Unit Pelayanan dan Penunjang Kerja</w:t>
            </w:r>
            <w:r>
              <w:rPr>
                <w:rFonts w:ascii="Times New Roman" w:hAnsi="Times New Roman" w:cs="Times New Roman"/>
              </w:rPr>
            </w:r>
          </w:p>
        </w:tc>
      </w:tr>
    </w:tbl>
    <w:p>
      <w:pPr>
        <w:pBdr/>
        <w:spacing w:after="160"/>
        <w:ind/>
        <w:contextualSpacing w:val="true"/>
        <w:jc w:val="both"/>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lang w:eastAsia="en-US"/>
        </w:rPr>
      </w:pPr>
      <w:r>
        <w:rPr>
          <w:rFonts w:ascii="Times New Roman" w:hAnsi="Times New Roman" w:eastAsia="Times New Roman" w:cs="Times New Roman"/>
          <w:b/>
          <w:lang w:eastAsia="en-US"/>
        </w:rPr>
      </w:r>
      <w:r>
        <w:rPr>
          <w:rFonts w:ascii="Times New Roman" w:hAnsi="Times New Roman" w:eastAsia="Times New Roman" w:cs="Times New Roman"/>
          <w:b/>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sangat krusial untuk memastikan kelancaran proses administrasi dan pelayanan pasien tanpa hambatan. Perangkat dan pasokan ini diharapkan dapat mendukung produktivitas kerja dan menjaga kelancaran alur operasional, Pengajuan Terlampir</w:t>
      </w:r>
      <w:r>
        <w:rPr>
          <w:rFonts w:ascii="Times New Roman" w:hAnsi="Times New Roman" w:eastAsia="Times New Roman" w:cs="Times New Roman"/>
          <w:lang w:eastAsia="en-US"/>
        </w:rPr>
      </w:r>
      <w:r>
        <w:rPr>
          <w:rFonts w:ascii="Times New Roman" w:hAnsi="Times New Roman" w:eastAsia="Times New Roman" w:cs="Times New Roman"/>
          <w:lang w:eastAsia="en-US"/>
        </w:rPr>
      </w:r>
    </w:p>
    <w:p>
      <w:pPr>
        <w:pBdr/>
        <w:spacing/>
        <w:ind/>
        <w:jc w:val="both"/>
        <w:rPr>
          <w:rFonts w:ascii="Times New Roman" w:hAnsi="Times New Roman" w:cs="Times New Roman"/>
        </w:rPr>
      </w:pP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Nashrun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Minallah</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Wa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Fathun</w:t>
      </w:r>
      <w:r>
        <w:rPr>
          <w:rFonts w:ascii="Times New Roman" w:hAnsi="Times New Roman" w:eastAsia="Times New Roman" w:cs="Times New Roman"/>
          <w:lang w:eastAsia="en-US"/>
        </w:rPr>
        <w:t xml:space="preserve"> Qorib</w:t>
      </w:r>
      <w:r>
        <w:rPr>
          <w:rFonts w:ascii="Times New Roman" w:hAnsi="Times New Roman" w:eastAsia="Times New Roman" w:cs="Times New Roman"/>
          <w:lang w:eastAsia="en-US"/>
        </w:rPr>
      </w:r>
    </w:p>
    <w:p>
      <w:pPr>
        <w:pBdr/>
        <w:spacing w:after="120"/>
        <w:ind/>
        <w:jc w:val="both"/>
        <w:rPr>
          <w:rFonts w:ascii="Times New Roman" w:hAnsi="Times New Roman" w:cs="Times New Roman"/>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after="120"/>
        <w:ind/>
        <w:jc w:val="both"/>
        <w:rPr>
          <w:rFonts w:ascii="Times New Roman" w:hAnsi="Times New Roman" w:cs="Times New Roman"/>
          <w:b/>
          <w:color w:val="000000"/>
          <w:lang w:eastAsia="en-US"/>
        </w:rPr>
      </w:pPr>
      <w:r>
        <w:rPr>
          <w:rFonts w:ascii="Times New Roman" w:hAnsi="Times New Roman" w:cs="Times New Roman"/>
          <w:b/>
          <w:color w:val="000000"/>
          <w:lang w:eastAsia="en-US"/>
        </w:rPr>
      </w:r>
      <w:r>
        <w:rPr>
          <w:rFonts w:ascii="Times New Roman" w:hAnsi="Times New Roman" w:cs="Times New Roman"/>
          <w:b/>
          <w:color w:val="000000"/>
          <w:lang w:eastAsia="en-US"/>
        </w:rPr>
      </w:r>
    </w:p>
    <w:tbl>
      <w:tblPr>
        <w:tblInd w:w="81" w:type="dxa"/>
        <w:tblW w:w="9558" w:type="dxa"/>
        <w:tblCellMar>
          <w:left w:w="113" w:type="dxa"/>
        </w:tblCellMar>
        <w:tblBorders/>
        <w:tblLayout w:type="fixed"/>
        <w:tblLook w:val="04A0" w:firstRow="1" w:lastRow="0" w:firstColumn="1" w:lastColumn="0" w:noHBand="0" w:noVBand="1"/>
      </w:tblPr>
      <w:tblGrid>
        <w:gridCol w:w="4597"/>
        <w:gridCol w:w="4961"/>
      </w:tblGrid>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RS'ASF/483/MI-UMUM/IT/2025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