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Qiao</w:t>
      </w:r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CE8144F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3B199B" w:rsidRPr="003B199B">
        <w:rPr>
          <w:rFonts w:eastAsia="黑体" w:hint="eastAsia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bookmarkStart w:id="0" w:name="_GoBack"/>
      <w:bookmarkEnd w:id="0"/>
      <w:r w:rsidR="003B199B" w:rsidRPr="003B199B">
        <w:rPr>
          <w:rFonts w:eastAsia="黑体"/>
          <w:i/>
          <w:iCs/>
          <w:noProof/>
          <w:sz w:val="24"/>
          <w:szCs w:val="24"/>
        </w:rPr>
        <w:t>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35E4CFB6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>accuracy of 83.7%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3F1AB" w14:textId="77777777" w:rsidR="00FF72F1" w:rsidRDefault="00FF72F1">
      <w:pPr>
        <w:spacing w:after="0"/>
      </w:pPr>
      <w:r>
        <w:separator/>
      </w:r>
    </w:p>
  </w:endnote>
  <w:endnote w:type="continuationSeparator" w:id="0">
    <w:p w14:paraId="13F0AD39" w14:textId="77777777" w:rsidR="00FF72F1" w:rsidRDefault="00FF7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A57FC" w14:textId="77777777" w:rsidR="00FF72F1" w:rsidRDefault="00FF72F1">
      <w:pPr>
        <w:spacing w:after="0"/>
      </w:pPr>
      <w:r>
        <w:separator/>
      </w:r>
    </w:p>
  </w:footnote>
  <w:footnote w:type="continuationSeparator" w:id="0">
    <w:p w14:paraId="23DBD42F" w14:textId="77777777" w:rsidR="00FF72F1" w:rsidRDefault="00FF72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0FAHf1SYI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09E"/>
    <w:rsid w:val="00DE5F32"/>
    <w:rsid w:val="00E532D9"/>
    <w:rsid w:val="00E83E4B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B11EC-0835-4E7D-8FC1-BF29ADB8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536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30</cp:revision>
  <cp:lastPrinted>2019-08-22T15:05:00Z</cp:lastPrinted>
  <dcterms:created xsi:type="dcterms:W3CDTF">2019-06-13T00:56:00Z</dcterms:created>
  <dcterms:modified xsi:type="dcterms:W3CDTF">2019-08-24T03:10:00Z</dcterms:modified>
  <cp:version/>
</cp:coreProperties>
</file>