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项目内容</w:t>
      </w:r>
    </w:p>
    <w:p>
      <w:pPr>
        <w:pStyle w:val="1"/>
        <w:spacing w:before="380" w:after="140" w:line="288" w:lineRule="auto"/>
        <w:ind w:left="0"/>
        <w:jc w:val="left"/>
        <w:outlineLvl w:val="0"/>
      </w:pPr>
      <w:bookmarkStart w:name="heading_0" w:id="0"/>
      <w:r>
        <w:rPr>
          <w:rFonts w:eastAsia="等线" w:ascii="Arial" w:cs="Arial" w:hAnsi="Arial"/>
          <w:b w:val="true"/>
          <w:color w:val="245bdb"/>
          <w:sz w:val="36"/>
        </w:rPr>
        <w:t>1. 系统宏观架构定义</w:t>
      </w:r>
      <w:bookmarkEnd w:id="0"/>
    </w:p>
    <w:p>
      <w:pPr>
        <w:spacing w:before="120" w:after="120" w:line="288" w:lineRule="auto"/>
        <w:ind w:left="0"/>
        <w:jc w:val="left"/>
      </w:pPr>
      <w:r>
        <w:rPr>
          <w:rFonts w:eastAsia="等线" w:ascii="Arial" w:cs="Arial" w:hAnsi="Arial"/>
          <w:sz w:val="22"/>
        </w:rPr>
        <w:t>本方案提供一套基于激光 SLAM 导航定位、单视觉节点识别与坐标拟合算法的复合型机器人底盘方案。系统采用分层解耦架构，确保底盘导航与上层作业逻辑高效协同。</w:t>
      </w:r>
    </w:p>
    <w:p>
      <w:pPr>
        <w:spacing w:before="120" w:after="120" w:line="288" w:lineRule="auto"/>
        <w:ind w:left="0"/>
        <w:jc w:val="left"/>
      </w:pPr>
      <w:r>
        <w:rPr>
          <w:rFonts w:eastAsia="等线" w:ascii="Arial" w:cs="Arial" w:hAnsi="Arial"/>
          <w:b w:val="true"/>
          <w:sz w:val="22"/>
        </w:rPr>
        <w:t>•感知层：</w:t>
      </w:r>
      <w:r>
        <w:rPr>
          <w:rFonts w:eastAsia="等线" w:ascii="Arial" w:cs="Arial" w:hAnsi="Arial"/>
          <w:sz w:val="22"/>
        </w:rPr>
        <w:t>集成 2D 激光雷达、六轴 IMU、编码器及单台高分辨率 RGB 相机，实现环境与关键标定点感知。</w:t>
      </w:r>
    </w:p>
    <w:p>
      <w:pPr>
        <w:spacing w:before="120" w:after="120" w:line="288" w:lineRule="auto"/>
        <w:ind w:left="0"/>
        <w:jc w:val="left"/>
      </w:pPr>
      <w:r>
        <w:rPr>
          <w:rFonts w:eastAsia="等线" w:ascii="Arial" w:cs="Arial" w:hAnsi="Arial"/>
          <w:b w:val="true"/>
          <w:sz w:val="22"/>
        </w:rPr>
        <w:t>•决策层：</w:t>
      </w:r>
      <w:r>
        <w:rPr>
          <w:rFonts w:eastAsia="等线" w:ascii="Arial" w:cs="Arial" w:hAnsi="Arial"/>
          <w:sz w:val="22"/>
        </w:rPr>
        <w:t>NEST-A 导航控制器负责全局路径规划、动态避障及多源数据融合定位。</w:t>
      </w:r>
    </w:p>
    <w:p>
      <w:pPr>
        <w:spacing w:before="120" w:after="120" w:line="288" w:lineRule="auto"/>
        <w:ind w:left="0"/>
        <w:jc w:val="left"/>
      </w:pPr>
      <w:r>
        <w:rPr>
          <w:rFonts w:eastAsia="等线" w:ascii="Arial" w:cs="Arial" w:hAnsi="Arial"/>
          <w:b w:val="true"/>
          <w:sz w:val="22"/>
        </w:rPr>
        <w:t>•控制层：</w:t>
      </w:r>
      <w:r>
        <w:rPr>
          <w:rFonts w:eastAsia="等线" w:ascii="Arial" w:cs="Arial" w:hAnsi="Arial"/>
          <w:sz w:val="22"/>
        </w:rPr>
        <w:t>双舵轮全向运动模型，支持直行、横向平移及原地转向。</w:t>
      </w:r>
    </w:p>
    <w:p>
      <w:pPr>
        <w:spacing w:before="120" w:after="120" w:line="288" w:lineRule="auto"/>
        <w:ind w:left="0"/>
        <w:jc w:val="left"/>
      </w:pPr>
      <w:r>
        <w:rPr>
          <w:rFonts w:eastAsia="等线" w:ascii="Arial" w:cs="Arial" w:hAnsi="Arial"/>
          <w:b w:val="true"/>
          <w:sz w:val="22"/>
        </w:rPr>
        <w:t>•交互层：</w:t>
      </w:r>
      <w:r>
        <w:rPr>
          <w:rFonts w:eastAsia="等线" w:ascii="Arial" w:cs="Arial" w:hAnsi="Arial"/>
          <w:sz w:val="22"/>
        </w:rPr>
        <w:t>通过配套 APP 实现任务状态监控、位姿显示及坐标校准画面可视化。</w:t>
      </w:r>
    </w:p>
    <w:p>
      <w:pPr>
        <w:pStyle w:val="1"/>
        <w:spacing w:before="380" w:after="140" w:line="288" w:lineRule="auto"/>
        <w:ind w:left="0"/>
        <w:jc w:val="left"/>
        <w:outlineLvl w:val="0"/>
      </w:pPr>
      <w:bookmarkStart w:name="heading_1" w:id="1"/>
      <w:r>
        <w:rPr>
          <w:rFonts w:eastAsia="等线" w:ascii="Arial" w:cs="Arial" w:hAnsi="Arial"/>
          <w:b w:val="true"/>
          <w:color w:val="245bdb"/>
          <w:sz w:val="36"/>
        </w:rPr>
        <w:t>2. 机器人本体硬件配置</w:t>
      </w:r>
      <w:bookmarkEnd w:id="1"/>
    </w:p>
    <w:p>
      <w:pPr>
        <w:spacing w:before="120" w:after="120" w:line="288" w:lineRule="auto"/>
        <w:ind w:left="0"/>
        <w:jc w:val="left"/>
      </w:pPr>
      <w:r>
        <w:rPr>
          <w:rFonts w:eastAsia="等线" w:ascii="Arial" w:cs="Arial" w:hAnsi="Arial"/>
          <w:sz w:val="22"/>
        </w:rPr>
        <w:t>底盘采用铝合金整体结构，兼顾高强度与轻量化特征，适合长期工业环境使用。</w:t>
      </w:r>
    </w:p>
    <w:p>
      <w:pPr>
        <w:pStyle w:val="2"/>
        <w:spacing w:before="320" w:after="120" w:line="288" w:lineRule="auto"/>
        <w:ind w:left="0"/>
        <w:jc w:val="left"/>
        <w:outlineLvl w:val="1"/>
      </w:pPr>
      <w:bookmarkStart w:name="heading_2" w:id="2"/>
      <w:r>
        <w:rPr>
          <w:rFonts w:eastAsia="等线" w:ascii="Arial" w:cs="Arial" w:hAnsi="Arial"/>
          <w:b w:val="true"/>
          <w:sz w:val="32"/>
        </w:rPr>
        <w:t>2.1 底盘技术参数</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15"/>
        <w:gridCol w:w="3360"/>
        <w:gridCol w:w="3360"/>
      </w:tblGrid>
      <w:t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参数项</w:t>
            </w:r>
          </w:p>
        </w:tc>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靶球车</w:t>
            </w:r>
          </w:p>
        </w:tc>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扫描车</w:t>
            </w:r>
          </w:p>
        </w:tc>
      </w:tr>
      <w:t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车体尺寸</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910 mm × 505 mm × 275 mm</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605 mm × 505 mm × 275 mm</w:t>
            </w:r>
          </w:p>
        </w:tc>
      </w:tr>
      <w:t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额定载重</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 kg</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 kg</w:t>
            </w:r>
          </w:p>
        </w:tc>
      </w:tr>
      <w:t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底盘形式</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双舵轮驱动 + 双万向轮支撑</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双舵轮驱动 + 双万向轮支撑</w:t>
            </w:r>
          </w:p>
        </w:tc>
      </w:tr>
      <w:t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动力电机</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行走 200W 轮毂电机 / 转向 100W 伺服</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行走 200W 轮毂电机 / 转向 100W 伺服</w:t>
            </w:r>
          </w:p>
        </w:tc>
      </w:tr>
      <w:t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能源系统</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V 24 Ah 磷酸铁锂电池</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 V 30 Ah 磷酸铁锂电池</w:t>
            </w:r>
          </w:p>
        </w:tc>
      </w:tr>
      <w:t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导航控制器</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NEST-A 工业级控制器</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NEST-A 工业级控制器</w:t>
            </w:r>
          </w:p>
        </w:tc>
      </w:tr>
      <w:t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照明系统</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工业级高亮度补光灯</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3" w:id="3"/>
      <w:r>
        <w:rPr>
          <w:rFonts w:eastAsia="等线" w:ascii="Arial" w:cs="Arial" w:hAnsi="Arial"/>
          <w:b w:val="true"/>
          <w:sz w:val="32"/>
        </w:rPr>
        <w:t>2.2 核心传感器布局</w:t>
      </w:r>
      <w:bookmarkEnd w:id="3"/>
    </w:p>
    <w:p>
      <w:pPr>
        <w:spacing w:before="120" w:after="120" w:line="288" w:lineRule="auto"/>
        <w:ind w:left="0"/>
        <w:jc w:val="left"/>
      </w:pPr>
      <w:r>
        <w:rPr>
          <w:rFonts w:eastAsia="等线" w:ascii="Arial" w:cs="Arial" w:hAnsi="Arial"/>
          <w:b w:val="true"/>
          <w:sz w:val="22"/>
        </w:rPr>
        <w:t>•激光雷达：</w:t>
      </w:r>
      <w:r>
        <w:rPr>
          <w:rFonts w:eastAsia="等线" w:ascii="Arial" w:cs="Arial" w:hAnsi="Arial"/>
          <w:sz w:val="22"/>
        </w:rPr>
        <w:t>2D 单线激光雷达，量程 50 m，用于环境建图与实时定位。</w:t>
      </w:r>
    </w:p>
    <w:p>
      <w:pPr>
        <w:spacing w:before="120" w:after="120" w:line="288" w:lineRule="auto"/>
        <w:ind w:left="0"/>
        <w:jc w:val="left"/>
      </w:pPr>
      <w:r>
        <w:rPr>
          <w:rFonts w:eastAsia="等线" w:ascii="Arial" w:cs="Arial" w:hAnsi="Arial"/>
          <w:b w:val="true"/>
          <w:sz w:val="22"/>
        </w:rPr>
        <w:t>•绝对值编码器：</w:t>
      </w:r>
      <w:r>
        <w:rPr>
          <w:rFonts w:eastAsia="等线" w:ascii="Arial" w:cs="Arial" w:hAnsi="Arial"/>
          <w:sz w:val="22"/>
        </w:rPr>
        <w:t>转向电机配置带电池记忆的多圈绝对值编码器，支持断电角度记忆，无需上电回零。</w:t>
      </w:r>
    </w:p>
    <w:p>
      <w:pPr>
        <w:spacing w:before="120" w:after="120" w:line="288" w:lineRule="auto"/>
        <w:ind w:left="0"/>
        <w:jc w:val="left"/>
      </w:pPr>
      <w:r>
        <w:rPr>
          <w:rFonts w:eastAsia="等线" w:ascii="Arial" w:cs="Arial" w:hAnsi="Arial"/>
          <w:sz w:val="22"/>
        </w:rPr>
        <w:t>•RGB 相机：靶球车配置单台 RGB 相机，并配合补光灯使用，用于识别工件“入口通孔”，为坐标校准提供视觉定向基准。</w:t>
      </w:r>
    </w:p>
    <w:p>
      <w:pPr>
        <w:pStyle w:val="1"/>
        <w:spacing w:before="380" w:after="140" w:line="288" w:lineRule="auto"/>
        <w:ind w:left="0"/>
        <w:jc w:val="left"/>
        <w:outlineLvl w:val="0"/>
      </w:pPr>
      <w:bookmarkStart w:name="heading_4" w:id="4"/>
      <w:r>
        <w:rPr>
          <w:rFonts w:eastAsia="等线" w:ascii="Arial" w:cs="Arial" w:hAnsi="Arial"/>
          <w:b w:val="true"/>
          <w:color w:val="245bdb"/>
          <w:sz w:val="36"/>
        </w:rPr>
        <w:t>3. 核心算法系统方案</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3.1 激光 SLAM 导航算法</w:t>
      </w:r>
      <w:bookmarkEnd w:id="5"/>
    </w:p>
    <w:p>
      <w:pPr>
        <w:spacing w:before="120" w:after="120" w:line="288" w:lineRule="auto"/>
        <w:ind w:left="0"/>
        <w:jc w:val="left"/>
      </w:pPr>
      <w:r>
        <w:rPr>
          <w:rFonts w:eastAsia="等线" w:ascii="Arial" w:cs="Arial" w:hAnsi="Arial"/>
          <w:sz w:val="22"/>
        </w:rPr>
        <w:t>- 建图与定位：基于激光扫描数据，融合里程计与惯性信息实现建图，并具备回环检测机制以降低累计漂移。</w:t>
      </w:r>
    </w:p>
    <w:p>
      <w:pPr>
        <w:spacing w:before="120" w:after="120" w:line="288" w:lineRule="auto"/>
        <w:ind w:left="0"/>
        <w:jc w:val="left"/>
      </w:pPr>
      <w:r>
        <w:rPr>
          <w:rFonts w:eastAsia="等线" w:ascii="Arial" w:cs="Arial" w:hAnsi="Arial"/>
          <w:sz w:val="22"/>
        </w:rPr>
        <w:t>- 路径执行：系统依据任务点生成全局路径，控制层实施速度与加速度约束，确保行驶平顺，并保障上层机构运转安全。</w:t>
      </w:r>
    </w:p>
    <w:p>
      <w:pPr>
        <w:pStyle w:val="2"/>
        <w:spacing w:before="320" w:after="120" w:line="288" w:lineRule="auto"/>
        <w:ind w:left="0"/>
        <w:jc w:val="left"/>
        <w:outlineLvl w:val="1"/>
      </w:pPr>
      <w:bookmarkStart w:name="heading_6" w:id="6"/>
      <w:r>
        <w:rPr>
          <w:rFonts w:eastAsia="等线" w:ascii="Arial" w:cs="Arial" w:hAnsi="Arial"/>
          <w:b w:val="true"/>
          <w:sz w:val="32"/>
        </w:rPr>
        <w:t>3.2 AMR 地图与顶盖图纸拟合校准（单相机逻辑）</w:t>
      </w:r>
      <w:bookmarkEnd w:id="6"/>
    </w:p>
    <w:p>
      <w:pPr>
        <w:spacing w:before="120" w:after="120" w:line="288" w:lineRule="auto"/>
        <w:ind w:left="0"/>
        <w:jc w:val="left"/>
      </w:pPr>
      <w:r>
        <w:rPr>
          <w:rFonts w:eastAsia="等线" w:ascii="Arial" w:cs="Arial" w:hAnsi="Arial"/>
          <w:sz w:val="22"/>
        </w:rPr>
        <w:t>由于顶盖可旋转，且本方案配置单台 RGB 相机，系统通过“基准点位 + 单视觉特征”的方式在线解算目标坐标。</w:t>
      </w:r>
    </w:p>
    <w:p>
      <w:pPr>
        <w:spacing w:before="120" w:after="120" w:line="288" w:lineRule="auto"/>
        <w:ind w:left="0"/>
        <w:jc w:val="left"/>
      </w:pPr>
      <w:r>
        <w:rPr>
          <w:rFonts w:eastAsia="等线" w:ascii="Arial" w:cs="Arial" w:hAnsi="Arial"/>
          <w:b w:val="true"/>
          <w:sz w:val="22"/>
        </w:rPr>
        <w:t>•基准定位：</w:t>
      </w:r>
      <w:r>
        <w:rPr>
          <w:rFonts w:eastAsia="等线" w:ascii="Arial" w:cs="Arial" w:hAnsi="Arial"/>
          <w:sz w:val="22"/>
        </w:rPr>
        <w:t>激光 SLAM 导航算法控制车体精确行驶至环境地图中已知的基座圆心或对接点附近。</w:t>
      </w:r>
    </w:p>
    <w:p>
      <w:pPr>
        <w:spacing w:before="120" w:after="120" w:line="288" w:lineRule="auto"/>
        <w:ind w:left="0"/>
        <w:jc w:val="left"/>
      </w:pPr>
      <w:r>
        <w:rPr>
          <w:rFonts w:eastAsia="等线" w:ascii="Arial" w:cs="Arial" w:hAnsi="Arial"/>
          <w:b w:val="true"/>
          <w:sz w:val="22"/>
        </w:rPr>
        <w:t>•视觉定向（特征识别）：</w:t>
      </w:r>
      <w:r>
        <w:rPr>
          <w:rFonts w:eastAsia="等线" w:ascii="Arial" w:cs="Arial" w:hAnsi="Arial"/>
          <w:sz w:val="22"/>
        </w:rPr>
        <w:t>开启补光灯，利用单台 RGB 相机在视野内识别“入口通孔”。由于基座中心坐标已知，系统通过识别到入口通孔的空间相对位置，计算顶盖相对 AMR 坐标系的旋转偏移角 θ。</w:t>
      </w:r>
    </w:p>
    <w:p>
      <w:pPr>
        <w:spacing w:before="120" w:after="120" w:line="288" w:lineRule="auto"/>
        <w:ind w:left="0"/>
        <w:jc w:val="left"/>
      </w:pPr>
      <w:r>
        <w:rPr>
          <w:rFonts w:eastAsia="等线" w:ascii="Arial" w:cs="Arial" w:hAnsi="Arial"/>
          <w:b w:val="true"/>
          <w:sz w:val="22"/>
        </w:rPr>
        <w:t>•坐标变换映射：</w:t>
      </w:r>
      <w:r>
        <w:rPr>
          <w:rFonts w:eastAsia="等线" w:ascii="Arial" w:cs="Arial" w:hAnsi="Arial"/>
          <w:sz w:val="22"/>
        </w:rPr>
        <w:t>基于已知的平移基准与解算出的旋转角 θ，系统将二维图纸进行矩阵变换，自动拟合出顶盖上所有靶球喇叭口在当前 AMR 地图中的全局绝对坐标，并下发给上位机供后续调用。</w:t>
      </w:r>
    </w:p>
    <w:p>
      <w:pPr>
        <w:pStyle w:val="1"/>
        <w:spacing w:before="380" w:after="140" w:line="288" w:lineRule="auto"/>
        <w:ind w:left="0"/>
        <w:jc w:val="left"/>
        <w:outlineLvl w:val="0"/>
      </w:pPr>
      <w:bookmarkStart w:name="heading_7" w:id="7"/>
      <w:r>
        <w:rPr>
          <w:rFonts w:eastAsia="等线" w:ascii="Arial" w:cs="Arial" w:hAnsi="Arial"/>
          <w:b w:val="true"/>
          <w:color w:val="245bdb"/>
          <w:sz w:val="36"/>
        </w:rPr>
        <w:t>4. 移动端 APP 交付功能</w:t>
      </w:r>
      <w:bookmarkEnd w:id="7"/>
    </w:p>
    <w:p>
      <w:pPr>
        <w:spacing w:before="120" w:after="120" w:line="288" w:lineRule="auto"/>
        <w:ind w:left="0"/>
        <w:jc w:val="left"/>
      </w:pPr>
      <w:r>
        <w:rPr>
          <w:rFonts w:eastAsia="等线" w:ascii="Arial" w:cs="Arial" w:hAnsi="Arial"/>
          <w:sz w:val="22"/>
        </w:rPr>
        <w:t>随系统提供工业级 APP 交互界面，功能涵盖任务监控、位姿显示及坐标校准结果可视化。</w:t>
      </w:r>
    </w:p>
    <w:p>
      <w:pPr>
        <w:spacing w:before="120" w:after="120" w:line="288" w:lineRule="auto"/>
        <w:ind w:left="0"/>
        <w:jc w:val="left"/>
      </w:pPr>
      <w:r>
        <w:rPr>
          <w:rFonts w:eastAsia="等线" w:ascii="Arial" w:cs="Arial" w:hAnsi="Arial"/>
          <w:sz w:val="22"/>
        </w:rPr>
        <w:t>- 位姿监控：实时查看激光 SLAM 构建地图以及底盘在地图中的实时位姿。</w:t>
      </w:r>
    </w:p>
    <w:p>
      <w:pPr>
        <w:spacing w:before="120" w:after="120" w:line="288" w:lineRule="auto"/>
        <w:ind w:left="0"/>
        <w:jc w:val="left"/>
      </w:pPr>
      <w:r>
        <w:rPr>
          <w:rFonts w:eastAsia="等线" w:ascii="Arial" w:cs="Arial" w:hAnsi="Arial"/>
          <w:sz w:val="22"/>
        </w:rPr>
        <w:t>- 任务管理：显示当前作业任务进行状态，如自主导航、姿态调整、入口通孔识别等。</w:t>
      </w:r>
    </w:p>
    <w:p>
      <w:pPr>
        <w:spacing w:before="120" w:after="120" w:line="288" w:lineRule="auto"/>
        <w:ind w:left="0"/>
        <w:jc w:val="left"/>
      </w:pPr>
      <w:r>
        <w:rPr>
          <w:rFonts w:eastAsia="等线" w:ascii="Arial" w:cs="Arial" w:hAnsi="Arial"/>
          <w:sz w:val="22"/>
        </w:rPr>
        <w:t>- 坐标校准可视化：包含相机视频流回传、补光灯开关控制、入口通孔 AI 圈注结果与识别状态展示。</w:t>
      </w:r>
    </w:p>
    <w:p>
      <w:pPr>
        <w:spacing w:before="120" w:after="120" w:line="288" w:lineRule="auto"/>
        <w:ind w:left="0"/>
        <w:jc w:val="left"/>
      </w:pPr>
      <w:r>
        <w:rPr>
          <w:rFonts w:eastAsia="等线" w:ascii="Arial" w:cs="Arial" w:hAnsi="Arial"/>
          <w:sz w:val="22"/>
        </w:rPr>
        <w:t>- 数据呈现：直观展示经算法解算后映射在 AMR 地图上的所有喇叭口坐标列表。</w:t>
      </w:r>
    </w:p>
    <w:p>
      <w:pPr>
        <w:pStyle w:val="1"/>
        <w:spacing w:before="380" w:after="140" w:line="288" w:lineRule="auto"/>
        <w:ind w:left="0"/>
        <w:jc w:val="left"/>
        <w:outlineLvl w:val="0"/>
      </w:pPr>
      <w:bookmarkStart w:name="heading_8" w:id="8"/>
      <w:r>
        <w:rPr>
          <w:rFonts w:eastAsia="等线" w:ascii="Arial" w:cs="Arial" w:hAnsi="Arial"/>
          <w:b w:val="true"/>
          <w:color w:val="245bdb"/>
          <w:sz w:val="36"/>
        </w:rPr>
        <w:t>5. 任务逻辑</w:t>
      </w:r>
      <w:bookmarkEnd w:id="8"/>
    </w:p>
    <w:p>
      <w:pPr>
        <w:spacing w:before="120" w:after="120" w:line="288" w:lineRule="auto"/>
        <w:ind w:left="0"/>
        <w:jc w:val="center"/>
      </w:pPr>
      <w:r>
        <w:drawing>
          <wp:inline distT="0" distR="0" distB="0" distL="0">
            <wp:extent cx="5257800" cy="5257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5257800"/>
                    </a:xfrm>
                    <a:prstGeom prst="rect">
                      <a:avLst/>
                    </a:prstGeom>
                  </pic:spPr>
                </pic:pic>
              </a:graphicData>
            </a:graphic>
          </wp:inline>
        </w:drawing>
      </w:r>
    </w:p>
    <w:p>
      <w:pPr>
        <w:pStyle w:val="1"/>
        <w:spacing w:before="380" w:after="140" w:line="288" w:lineRule="auto"/>
        <w:ind w:left="0"/>
        <w:jc w:val="left"/>
        <w:outlineLvl w:val="0"/>
      </w:pPr>
      <w:bookmarkStart w:name="heading_9" w:id="9"/>
      <w:r>
        <w:rPr>
          <w:rFonts w:eastAsia="等线" w:ascii="Arial" w:cs="Arial" w:hAnsi="Arial"/>
          <w:b w:val="true"/>
          <w:color w:val="245bdb"/>
          <w:sz w:val="36"/>
        </w:rPr>
        <w:t>6. 系统架构</w:t>
      </w:r>
      <w:bookmarkEnd w:id="9"/>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2026-04-20T05:53:00Z</dcterms:created>
  <dc:creator>Apache POI</dc:creator>
</cp:coreProperties>
</file>