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32"/>
          <w:szCs w:val="32"/>
        </w:rPr>
        <w:t xml:space="preserve">CONCEPT NOTE</w:t>
      </w:r>
    </w:p>
    <w:p>
      <w:pPr>
        <w:spacing w:after="60"/>
        <w:jc w:val="center"/>
      </w:pPr>
      <w:r>
        <w:rPr>
          <w:rFonts w:ascii="Arial" w:cs="Arial" w:eastAsia="Arial" w:hAnsi="Arial"/>
          <w:b/>
          <w:bCs/>
          <w:color w:val="2E75B6"/>
          <w:sz w:val="26"/>
          <w:szCs w:val="26"/>
        </w:rPr>
        <w:t xml:space="preserve">Reinforcement Learning-Optimised Sequential Intervention</w:t>
      </w:r>
    </w:p>
    <w:p>
      <w:pPr>
        <w:spacing w:after="60"/>
        <w:jc w:val="center"/>
      </w:pPr>
      <w:r>
        <w:rPr>
          <w:rFonts w:ascii="Arial" w:cs="Arial" w:eastAsia="Arial" w:hAnsi="Arial"/>
          <w:b/>
          <w:bCs/>
          <w:color w:val="2E75B6"/>
          <w:sz w:val="26"/>
          <w:szCs w:val="26"/>
        </w:rPr>
        <w:t xml:space="preserve">for Reducing DTP1-to-DTP3 Vaccine Dropout in Nigeria</w:t>
      </w:r>
    </w:p>
    <w:p>
      <w:pPr>
        <w:spacing w:after="200"/>
        <w:jc w:val="center"/>
      </w:pPr>
      <w:r>
        <w:rPr>
          <w:rFonts w:ascii="Arial" w:cs="Arial" w:eastAsia="Arial" w:hAnsi="Arial"/>
          <w:sz w:val="20"/>
          <w:szCs w:val="20"/>
        </w:rPr>
        <w:t xml:space="preserve">Ola Uthman • Warwick Applied Health, Warwick Medical School • University of Warwick</w:t>
      </w:r>
    </w:p>
    <w:p>
      <w:pPr>
        <w:pStyle w:val="Heading1"/>
      </w:pPr>
      <w:r>
        <w:t xml:space="preserve">Background</w:t>
      </w:r>
    </w:p>
    <w:p>
      <w:pPr>
        <w:spacing w:after="120"/>
        <w:jc w:val="both"/>
      </w:pPr>
      <w:r>
        <w:rPr>
          <w:rFonts w:ascii="Arial" w:cs="Arial" w:eastAsia="Arial" w:hAnsi="Arial"/>
          <w:sz w:val="22"/>
          <w:szCs w:val="22"/>
        </w:rPr>
        <w:t xml:space="preserve">DTP1-to-DTP3 dropout is a key immunisation programme performance indicator. Children who receive DTP1 but do not complete the series have entered the system but were not retained. In Nigeria, with DTP1 coverage at approximately 67% and DTP3 at 56%, the implied dropout rate is roughly 16%, exceeding 25% in northern zones. Existing interventions (SMS reminders, community health worker follow-up, defaulter tracing) are deployed uniformly without considering optimal sequencing or timing across the schedule. No study has applied reinforcement learning to vaccination dropout.</w:t>
      </w:r>
    </w:p>
    <w:p>
      <w:pPr>
        <w:pStyle w:val="Heading1"/>
      </w:pPr>
      <w:r>
        <w:t xml:space="preserve">Theoretical Framework</w:t>
      </w:r>
    </w:p>
    <w:p>
      <w:pPr>
        <w:spacing w:after="120"/>
        <w:jc w:val="both"/>
      </w:pPr>
      <w:r>
        <w:rPr>
          <w:rFonts w:ascii="Arial" w:cs="Arial" w:eastAsia="Arial" w:hAnsi="Arial"/>
          <w:sz w:val="22"/>
          <w:szCs w:val="22"/>
        </w:rPr>
        <w:t xml:space="preserve">Predictor variables are organised according to Andersen’s Behavioural Model of Health Services Use (Andersen, 1995), which categorises determinants of utilisation into predisposing factors (demographics, social structure, health beliefs including vaccine trust proxies), enabling factors (personal/family resources and community resources including travel time and geospatial covariates), and need factors (perceived need such as ANC engagement and health card possession, and evaluated need such as competing child morbidity). We extend Andersen’s static framework with a fourth domain — dynamic/temporal features — capturing the child’s evolving state within the immunisation cascade (inter-dose intervals, timeliness, delay accumulation from vaccination card dates). The Andersen-stratified SHAP decomposition tests the hypothesis that early dropout (DTP1→DTP2) is dominated by predisposing factors (beliefs, trust) while late dropout (DTP2→DTP3) is dominated by enabling and need factors (access, cost, competing morbidity).</w:t>
      </w:r>
    </w:p>
    <w:p>
      <w:pPr>
        <w:pStyle w:val="Heading1"/>
      </w:pPr>
      <w:r>
        <w:t xml:space="preserve">Research Question</w:t>
      </w:r>
    </w:p>
    <w:p>
      <w:pPr>
        <w:spacing w:after="120"/>
        <w:jc w:val="both"/>
      </w:pPr>
      <w:r>
        <w:rPr>
          <w:rFonts w:ascii="Arial" w:cs="Arial" w:eastAsia="Arial" w:hAnsi="Arial"/>
          <w:sz w:val="22"/>
          <w:szCs w:val="22"/>
        </w:rPr>
        <w:t xml:space="preserve">What is the optimal sequence and timing of interventions across the DTP vaccination schedule (6–14 weeks) to maximise DTP3 completion under resource constraints? We frame this as a Markov Decision Process and apply offline reinforcement learning to learn the optimal dynamic intervention policy from observed vaccination trajectories in the Nigeria DHS 2024.</w:t>
      </w:r>
    </w:p>
    <w:p>
      <w:pPr>
        <w:pStyle w:val="Heading1"/>
      </w:pPr>
      <w:r>
        <w:t xml:space="preserve">Study Design</w:t>
      </w:r>
    </w:p>
    <w:p>
      <w:pPr>
        <w:spacing w:after="60"/>
        <w:jc w:val="both"/>
      </w:pPr>
      <w:r>
        <w:rPr>
          <w:rFonts w:ascii="Arial" w:cs="Arial" w:eastAsia="Arial" w:hAnsi="Arial"/>
          <w:sz w:val="22"/>
          <w:szCs w:val="22"/>
        </w:rPr>
        <w:t xml:space="preserve">Four-stage analytical framework using NDHS 2024 (KR file, children 12–23 months who received DTP1, n ≈ 4,000–5,000):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13"/>
        <w:gridCol w:w="4013"/>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Stage</w:t>
            </w:r>
          </w:p>
        </w:tc>
        <w:tc>
          <w:tcPr>
            <w:tcW w:type="dxa" w:w="30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40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Key Output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2"/>
                <w:szCs w:val="22"/>
              </w:rPr>
              <w:t xml:space="preserve">1: Cascade + ML</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2"/>
                <w:szCs w:val="22"/>
              </w:rPr>
              <w:t xml:space="preserve">Transition-specific XGBoost + Andersen-stratified SHAP; temporal trajectory reconstruction from card dates</w:t>
            </w:r>
          </w:p>
        </w:tc>
        <w:tc>
          <w:tcPr>
            <w:tcW w:type="dxa" w:w="4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2"/>
                <w:szCs w:val="22"/>
              </w:rPr>
              <w:t xml:space="preserve">Cascade metrics; predisposing/enabling/need profiles per transition; MDP state space; trajectory dataset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2"/>
                <w:szCs w:val="22"/>
              </w:rPr>
              <w:t xml:space="preserve">2: Offline RL</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2"/>
                <w:szCs w:val="22"/>
              </w:rPr>
              <w:t xml:space="preserve">MDP formulation; Fitted Q-Iteration + Conservative Q-Learning (d3rlpy); off-policy evaluation</w:t>
            </w:r>
          </w:p>
        </w:tc>
        <w:tc>
          <w:tcPr>
            <w:tcW w:type="dxa" w:w="4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2"/>
                <w:szCs w:val="22"/>
              </w:rPr>
              <w:t xml:space="preserve">Optimal sequential policy π*: what intervention, when, for whom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2"/>
                <w:szCs w:val="22"/>
              </w:rPr>
              <w:t xml:space="preserve">3: Bandit</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2"/>
                <w:szCs w:val="22"/>
              </w:rPr>
              <w:t xml:space="preserve">Contextual LinUCB multi-armed bandit under budget constraint</w:t>
            </w:r>
          </w:p>
        </w:tc>
        <w:tc>
          <w:tcPr>
            <w:tcW w:type="dxa" w:w="4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2"/>
                <w:szCs w:val="22"/>
              </w:rPr>
              <w:t xml:space="preserve">LGA-level adaptive intervention allocation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2"/>
                <w:szCs w:val="22"/>
              </w:rPr>
              <w:t xml:space="preserve">4: Microsimulation</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2"/>
                <w:szCs w:val="22"/>
              </w:rPr>
              <w:t xml:space="preserve">Synthetic population simulation: 6 scenarios (status quo, uniform SMS/CHW, risk-targeted, RL-optimised, bandit-allocated)</w:t>
            </w:r>
          </w:p>
        </w:tc>
        <w:tc>
          <w:tcPr>
            <w:tcW w:type="dxa" w:w="4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2"/>
                <w:szCs w:val="22"/>
              </w:rPr>
              <w:t xml:space="preserve">DTP3 completion gains; ICER per scenario; equity impact; RL vs static policy improvement</w:t>
            </w:r>
          </w:p>
        </w:tc>
      </w:tr>
    </w:tbl>
    <w:p>
      <w:pPr>
        <w:spacing w:before="200"/>
      </w:pPr>
    </w:p>
    <w:p>
      <w:pPr>
        <w:pStyle w:val="Heading1"/>
      </w:pPr>
      <w:r>
        <w:t xml:space="preserve">Methodological Innovation</w:t>
      </w:r>
    </w:p>
    <w:p>
      <w:pPr>
        <w:spacing w:after="120"/>
        <w:jc w:val="both"/>
      </w:pPr>
      <w:r>
        <w:rPr>
          <w:rFonts w:ascii="Arial" w:cs="Arial" w:eastAsia="Arial" w:hAnsi="Arial"/>
          <w:sz w:val="22"/>
          <w:szCs w:val="22"/>
        </w:rPr>
        <w:t xml:space="preserve">This study introduces dynamic treatment regime thinking to immunisation programming. Six first-in-literature contributions: (1) framing vaccine dropout as a Markov Decision Process with states evolving across the dose schedule; (2) applying offline reinforcement learning (fitted Q-iteration, conservative Q-learning) to vaccination data; (3) using DHS vaccination card dates to reconstruct temporal trajectories for MDP state transitions; (4) organising predictors by Andersen’s Behavioural Model and performing Andersen-stratified SHAP decomposition by cascade transition, revealing that DTP1→DTP2 and DTP2→DTP3 dropout have distinct predisposing, enabling, and need predictor profiles; (5) multi-armed bandit formulation for budget-constrained community-level intervention allocation; (6) microsimulation validation comparing RL-optimised sequential policy against standard static approaches. The approach optimises not just what intervention to deliver but when and to whom across the schedule.</w:t>
      </w:r>
    </w:p>
    <w:p>
      <w:pPr>
        <w:pStyle w:val="Heading1"/>
      </w:pPr>
      <w:r>
        <w:t xml:space="preserve">Timeline and Target</w:t>
      </w:r>
    </w:p>
    <w:p>
      <w:pPr>
        <w:spacing w:after="120"/>
        <w:jc w:val="both"/>
      </w:pPr>
      <w:r>
        <w:rPr>
          <w:rFonts w:ascii="Arial" w:cs="Arial" w:eastAsia="Arial" w:hAnsi="Arial"/>
          <w:sz w:val="22"/>
          <w:szCs w:val="22"/>
        </w:rPr>
        <w:t xml:space="preserve">12-month implementation. Q1: data extraction and cascade construction. Q2: ML pipeline and RL training. Q3: bandit allocation, microsimulation validation, and dashboard. Q4: manuscript and policy brief. Target journal: Nature Machine Intelligence or The Lancet Digital Health. All code on GitHub/Zenodo (CC-BY). Policy brief for NPHCDA, Gavi, and WHO AFRO.</w:t>
      </w:r>
    </w:p>
    <w:p>
      <w:pPr>
        <w:pBdr>
          <w:top w:val="single" w:color="2E75B6" w:sz="6" w:space="1"/>
        </w:pBdr>
        <w:spacing w:before="200"/>
      </w:pPr>
    </w:p>
    <w:p>
      <w:pPr>
        <w:spacing w:before="100"/>
        <w:jc w:val="center"/>
      </w:pPr>
      <w:r>
        <w:rPr>
          <w:rFonts w:ascii="Arial" w:cs="Arial" w:eastAsia="Arial" w:hAnsi="Arial"/>
          <w:i/>
          <w:iCs/>
          <w:color w:val="666666"/>
          <w:sz w:val="20"/>
          <w:szCs w:val="20"/>
        </w:rPr>
        <w:t xml:space="preserve">Professor Ola Uthman • Warwick Applied Health • University of Warwick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2026-04-06T06:29:07.179Z</dcterms:created>
  <dcterms:modified xsi:type="dcterms:W3CDTF">2026-04-06T06:29:07.179Z</dcterms:modified>
</cp:coreProperties>
</file>

<file path=docProps/custom.xml><?xml version="1.0" encoding="utf-8"?>
<Properties xmlns="http://schemas.openxmlformats.org/officeDocument/2006/custom-properties" xmlns:vt="http://schemas.openxmlformats.org/officeDocument/2006/docPropsVTypes"/>
</file>