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41.png" ContentType="image/png"/>
  <Override PartName="/word/media/rId44.png" ContentType="image/png"/>
  <Override PartName="/word/media/rId47.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3" w:name="Xa54d710d995675a9b0d87a4c1bcc48d4323b8f8"/>
    <w:p>
      <w:pPr>
        <w:pStyle w:val="Heading1"/>
      </w:pPr>
      <w:r>
        <w:t xml:space="preserve">Reinforcement-Learning-Guided Sequential Intervention to Reduce DTP1-to-DTP3 Vaccine Dropout in Nigeria: A Prediction, Policy Optimisation, and Cost-Effectiveness Analysis</w:t>
      </w:r>
    </w:p>
    <w:bookmarkStart w:id="9" w:name="abstract"/>
    <w:p>
      <w:pPr>
        <w:pStyle w:val="Heading2"/>
      </w:pPr>
      <w:r>
        <w:t xml:space="preserve">Abstract</w:t>
      </w:r>
    </w:p>
    <w:p>
      <w:pPr>
        <w:pStyle w:val="FirstParagraph"/>
      </w:pPr>
      <w:r>
        <w:t xml:space="preserve">Nigeria carries one of the largest burdens of diphtheria-tetanus-pertussis (DTP) vaccine dropout globally, with children who initiate but fail to complete the three-dose series representing a distinct and preventable immunisation failure</w:t>
      </w:r>
      <w:r>
        <w:t xml:space="preserve"> </w:t>
      </w:r>
      <w:r>
        <w:t xml:space="preserve">[1–3]</w:t>
      </w:r>
      <w:r>
        <w:t xml:space="preserve">. Using the 2024 Nigeria Demographic and Health Survey (NDHS) — a nationally representative sample of 3,194 DTP1-initiating children aged 12–23 months — we developed cascade-specific XGBoost dropout prediction models for the DTP1-to-DTP2 (T1) and DTP2-to-DTP3 (T2) transitions, an offline reinforcement learning (RL) policy for sequential intervention allocation, and a CHEERS 2022-compliant microsimulation with probabilistic sensitivity analysis</w:t>
      </w:r>
      <w:r>
        <w:t xml:space="preserve"> </w:t>
      </w:r>
      <w:r>
        <w:t xml:space="preserve">[4,5]</w:t>
      </w:r>
      <w:r>
        <w:t xml:space="preserve">. The national weighted DTP1-to-DTP3 dropout rate was 14.6% (range by zone: 8.6%–19.6%). After post-hoc isotonic recalibration, prediction discriminated excellently at both transitions (T1: AUROC 0.910, 95% CI 0.885–0.932; T2: AUROC 0.943, 95% CI 0.929–0.957). The RL-optimised scenario (S4) increased simulated DTP3 coverage by 1.07 percentage points over the status quo, at an incremental cost of ₦748 per child and an incremental cost-effectiveness ratio of approximately ₦699 per percentage-point coverage gain. These findings demonstrate that data-driven, risk-stratified intervention allocation is feasible within existing Nigerian immunisation budgets and can meaningfully narrow equity gaps in vaccine completion.</w:t>
      </w:r>
    </w:p>
    <w:bookmarkEnd w:id="9"/>
    <w:bookmarkStart w:id="10" w:name="keywords"/>
    <w:p>
      <w:pPr>
        <w:pStyle w:val="Heading2"/>
      </w:pPr>
      <w:r>
        <w:t xml:space="preserve">Keywords</w:t>
      </w:r>
    </w:p>
    <w:p>
      <w:pPr>
        <w:pStyle w:val="FirstParagraph"/>
      </w:pPr>
      <w:r>
        <w:t xml:space="preserve">DTP vaccination, immunisation dropout, Nigeria, reinforcement learning, microsimulation, cost-effectiveness, health equity</w:t>
      </w:r>
    </w:p>
    <w:bookmarkEnd w:id="10"/>
    <w:bookmarkStart w:id="11" w:name="introduction"/>
    <w:p>
      <w:pPr>
        <w:pStyle w:val="Heading2"/>
      </w:pPr>
      <w:r>
        <w:t xml:space="preserve">1. Introduction</w:t>
      </w:r>
    </w:p>
    <w:p>
      <w:pPr>
        <w:pStyle w:val="FirstParagraph"/>
      </w:pPr>
      <w:r>
        <w:t xml:space="preserve">Diphtheria, tetanus, and pertussis (DTP) vaccination is among the most cost-effective public-health interventions available, yet global progress toward universal coverage remains uneven</w:t>
      </w:r>
      <w:r>
        <w:t xml:space="preserve"> </w:t>
      </w:r>
      <w:r>
        <w:t xml:space="preserve">[2]</w:t>
      </w:r>
      <w:r>
        <w:t xml:space="preserve">. The WHO–UNICEF Immunisation Agenda 2030 set a target of 90% DTP3 coverage by 2030, with no country falling below 80%</w:t>
      </w:r>
      <w:r>
        <w:t xml:space="preserve"> </w:t>
      </w:r>
      <w:r>
        <w:t xml:space="preserve">[2,6]</w:t>
      </w:r>
      <w:r>
        <w:t xml:space="preserve">. Despite a sustained decline in zero-dose children globally, sub-Saharan Africa — and Nigeria in particular — continues to account for a disproportionate share of the world’s unimmunised and under-immunised children</w:t>
      </w:r>
      <w:r>
        <w:t xml:space="preserve"> </w:t>
      </w:r>
      <w:r>
        <w:t xml:space="preserve">[1,3]</w:t>
      </w:r>
      <w:r>
        <w:t xml:space="preserve">. Nigeria hosts the largest absolute number of zero-dose children of any country, and persistent geopolitical heterogeneity means that national headline figures obscure profound subnational inequalities: in 2024, DTP3 coverage in the North Central zone was approximately 80%, compared with more than 91% in the South South</w:t>
      </w:r>
      <w:r>
        <w:t xml:space="preserve"> </w:t>
      </w:r>
      <w:r>
        <w:t xml:space="preserve">[3,5]</w:t>
      </w:r>
      <w:r>
        <w:t xml:space="preserve">. These gaps reflect a complex intersection of socioeconomic deprivation, geographic inaccessibility, and structural health-system constraints that aggregate analyses cannot adequately capture</w:t>
      </w:r>
      <w:r>
        <w:t xml:space="preserve"> </w:t>
      </w:r>
      <w:r>
        <w:t xml:space="preserve">[7,8]</w:t>
      </w:r>
      <w:r>
        <w:t xml:space="preserve">.</w:t>
      </w:r>
    </w:p>
    <w:p>
      <w:pPr>
        <w:pStyle w:val="BodyText"/>
      </w:pPr>
      <w:r>
        <w:t xml:space="preserve">A critical conceptual distinction frequently obscured in the immunisation literature is that between</w:t>
      </w:r>
      <w:r>
        <w:t xml:space="preserve"> </w:t>
      </w:r>
      <w:r>
        <w:rPr>
          <w:i/>
          <w:iCs/>
        </w:rPr>
        <w:t xml:space="preserve">access failure</w:t>
      </w:r>
      <w:r>
        <w:t xml:space="preserve"> </w:t>
      </w:r>
      <w:r>
        <w:t xml:space="preserve">— never receiving DTP1 — and</w:t>
      </w:r>
      <w:r>
        <w:t xml:space="preserve"> </w:t>
      </w:r>
      <w:r>
        <w:rPr>
          <w:i/>
          <w:iCs/>
        </w:rPr>
        <w:t xml:space="preserve">dropout</w:t>
      </w:r>
      <w:r>
        <w:t xml:space="preserve"> </w:t>
      </w:r>
      <w:r>
        <w:t xml:space="preserve">— receiving DTP1 but failing to complete the three-dose series</w:t>
      </w:r>
      <w:r>
        <w:t xml:space="preserve"> </w:t>
      </w:r>
      <w:r>
        <w:t xml:space="preserve">[1,9]</w:t>
      </w:r>
      <w:r>
        <w:t xml:space="preserve">. Dropout is a distinct phenomenon governed by different determinants and requiring targeted, sequential responses: a child who has already initiated vaccination has overcome the most substantial access barrier, yet may still fail to return for subsequent doses due to caregiving constraints, supply-side disruptions, or accumulating inter-dose delays</w:t>
      </w:r>
      <w:r>
        <w:t xml:space="preserve"> </w:t>
      </w:r>
      <w:r>
        <w:t xml:space="preserve">[8,10]</w:t>
      </w:r>
      <w:r>
        <w:t xml:space="preserve">. Prior analyses of Nigerian DHS data document a national DTP1-to-DTP3 dropout rate of 28% in 2018 — down from 46% in 2003 — but with persistently higher rates in rural northern zones</w:t>
      </w:r>
      <w:r>
        <w:t xml:space="preserve"> </w:t>
      </w:r>
      <w:r>
        <w:t xml:space="preserve">[1,9]</w:t>
      </w:r>
      <w:r>
        <w:t xml:space="preserve">. At the community level, pentavalent dropout across sub-Saharan Africa averages 20.9%, rising to 46% in western sub-Saharan Africa, with maternal age, home delivery, and household poverty identified as consistent predictors</w:t>
      </w:r>
      <w:r>
        <w:t xml:space="preserve"> </w:t>
      </w:r>
      <w:r>
        <w:t xml:space="preserve">[8,11,12]</w:t>
      </w:r>
      <w:r>
        <w:t xml:space="preserve">. Yet most existing studies are descriptive or cross-sectional, and few model the</w:t>
      </w:r>
      <w:r>
        <w:t xml:space="preserve"> </w:t>
      </w:r>
      <w:r>
        <w:rPr>
          <w:i/>
          <w:iCs/>
        </w:rPr>
        <w:t xml:space="preserve">cascade</w:t>
      </w:r>
      <w:r>
        <w:t xml:space="preserve"> </w:t>
      </w:r>
      <w:r>
        <w:t xml:space="preserve">as a sequential decision problem amenable to individually tailored intervention.</w:t>
      </w:r>
    </w:p>
    <w:p>
      <w:pPr>
        <w:pStyle w:val="BodyText"/>
      </w:pPr>
      <w:r>
        <w:t xml:space="preserve">Despite growing interest in prediction modelling for vaccination outcomes, several critical evidence gaps remain. First, no prior study has applied transition-specific machine-learning prediction separately to the DTP1-to-DTP2 and DTP2-to-DTP3 dropout steps within a TRIPOD-AI framework</w:t>
      </w:r>
      <w:r>
        <w:t xml:space="preserve"> </w:t>
      </w:r>
      <w:r>
        <w:t xml:space="preserve">[4]</w:t>
      </w:r>
      <w:r>
        <w:t xml:space="preserve">, leaving the differential drivers of each transition poorly characterised. Second, while mHealth reminders, community health worker (CHW) outreach, and conditional incentives each have established efficacy</w:t>
      </w:r>
      <w:r>
        <w:t xml:space="preserve"> </w:t>
      </w:r>
      <w:r>
        <w:t xml:space="preserve">[13–15]</w:t>
      </w:r>
      <w:r>
        <w:t xml:space="preserve">, no study has formalised the sequential intervention allocation problem as a Markov decision process (MDP) and solved it using offline reinforcement learning — an approach that learns risk-stratified policies from observational data without requiring new experimental trials</w:t>
      </w:r>
      <w:r>
        <w:t xml:space="preserve"> </w:t>
      </w:r>
      <w:r>
        <w:t xml:space="preserve">[16,17]</w:t>
      </w:r>
      <w:r>
        <w:t xml:space="preserve">. Third, economic evaluations of dropout-reduction strategies in Nigeria have not been conducted with the probabilistic sensitivity analysis and equity analysis required under CHEERS 2022, meaning policymakers lack rigorous evidence to guide National Primary Health Care Development Agency (NPHCDA) budget allocation</w:t>
      </w:r>
      <w:r>
        <w:t xml:space="preserve"> </w:t>
      </w:r>
      <w:r>
        <w:t xml:space="preserve">[18]</w:t>
      </w:r>
      <w:r>
        <w:t xml:space="preserve">.</w:t>
      </w:r>
    </w:p>
    <w:p>
      <w:pPr>
        <w:pStyle w:val="BodyText"/>
      </w:pPr>
      <w:r>
        <w:t xml:space="preserve">This study addresses these gaps through three integrated contributions. First, we develop and validate cascade-specific XGBoost dropout prediction models for the T1 (DTP1→DTP2) and DTP2→DTP3 (T2) transitions using the 2024 NDHS, following TRIPOD-AI reporting standards and Andersen’s behavioural model for feature organisation</w:t>
      </w:r>
      <w:r>
        <w:t xml:space="preserve"> </w:t>
      </w:r>
      <w:r>
        <w:t xml:space="preserve">[4,19,20]</w:t>
      </w:r>
      <w:r>
        <w:t xml:space="preserve">. Second, we formulate the dropout prevention problem as an MDP and train offline RL policies — Fitted Q-Iteration (FQI) and Conservative Q-Learning (CQL) — alongside a contextual bandit for static allocation, reporting policy evaluation under the Gottesman 2019 RL-in-health framework</w:t>
      </w:r>
      <w:r>
        <w:t xml:space="preserve"> </w:t>
      </w:r>
      <w:r>
        <w:t xml:space="preserve">[16,17,21]</w:t>
      </w:r>
      <w:r>
        <w:t xml:space="preserve">. Third, we embed the optimised policy within a CHEERS 2022-compliant individual-level microsimulation incorporating probabilistic sensitivity analysis, equity-weighted cost-effectiveness analysis by wealth quintile, and scenario analysis across five intervention strategies under realistic NPHCDA budget constraints</w:t>
      </w:r>
      <w:r>
        <w:t xml:space="preserve"> </w:t>
      </w:r>
      <w:r>
        <w:t xml:space="preserve">[18,22]</w:t>
      </w:r>
      <w:r>
        <w:t xml:space="preserve">. Together, these contributions provide the first integrated predict-optimise-simulate pipeline for DTP dropout reduction in Nigeria, with direct policy implications for the NPHCDA’s Reaching Every Ward strategy and the Immunisation Agenda 2030</w:t>
      </w:r>
      <w:r>
        <w:t xml:space="preserve"> </w:t>
      </w:r>
      <w:r>
        <w:t xml:space="preserve">[2,23]</w:t>
      </w:r>
      <w:r>
        <w:t xml:space="preserve">.</w:t>
      </w:r>
    </w:p>
    <w:bookmarkEnd w:id="11"/>
    <w:bookmarkStart w:id="21" w:name="materials-and-methods"/>
    <w:p>
      <w:pPr>
        <w:pStyle w:val="Heading2"/>
      </w:pPr>
      <w:r>
        <w:t xml:space="preserve">2. Materials and Methods</w:t>
      </w:r>
    </w:p>
    <w:bookmarkStart w:id="12" w:name="data-source-and-study-population"/>
    <w:p>
      <w:pPr>
        <w:pStyle w:val="Heading3"/>
      </w:pPr>
      <w:r>
        <w:t xml:space="preserve">2.1 Data Source and Study Population</w:t>
      </w:r>
    </w:p>
    <w:p>
      <w:pPr>
        <w:pStyle w:val="FirstParagraph"/>
      </w:pPr>
      <w:r>
        <w:t xml:space="preserve">We conducted a secondary analysis of the 2024 Nigeria Demographic and Health Survey (NDHS 2024), a nationally representative, stratified two-stage cluster household survey implemented by the National Population Commission with technical support from ICF International</w:t>
      </w:r>
      <w:r>
        <w:t xml:space="preserve"> </w:t>
      </w:r>
      <w:r>
        <w:t xml:space="preserve">[5]</w:t>
      </w:r>
      <w:r>
        <w:t xml:space="preserve">. Children’s vaccination histories, health records, and maternal characteristics were drawn from the Children’s Recode (NGKR8BFL.dta), Individual Recode (NGIR8BFL.dta), and Household Recode (NGHR8BFL.dta) files, with cluster-level geospatial covariates from the DHS Geospatial Covariate dataset (NGGC8AFL.csv)</w:t>
      </w:r>
      <w:r>
        <w:t xml:space="preserve"> </w:t>
      </w:r>
      <w:r>
        <w:t xml:space="preserve">[24]</w:t>
      </w:r>
      <w:r>
        <w:t xml:space="preserve">.</w:t>
      </w:r>
    </w:p>
    <w:p>
      <w:pPr>
        <w:pStyle w:val="BodyText"/>
      </w:pPr>
      <w:r>
        <w:t xml:space="preserve">The analytic sample was restricted to children aged 12–23 months at the time of the survey (age_months = v008 − b3, where v008 is the interview date in century-month code and b3 is the child’s birth date), who were alive (b5 == 1) and identified as the youngest child per woman. Crucially, the cohort was further restricted to children with card-confirmed DTP1 vaccination records (h3 ∈ {1, 2, 3}), thereby defining the study as a</w:t>
      </w:r>
      <w:r>
        <w:t xml:space="preserve"> </w:t>
      </w:r>
      <w:r>
        <w:rPr>
          <w:b/>
          <w:bCs/>
        </w:rPr>
        <w:t xml:space="preserve">retention analysis</w:t>
      </w:r>
      <w:r>
        <w:t xml:space="preserve"> </w:t>
      </w:r>
      <w:r>
        <w:t xml:space="preserve">of cascade entrants rather than an access analysis: children who never received DTP1 were excluded by design. Date values coded 97 (inconsistent) or 98 (don’t know) were treated as missing. This yielded an analytic sample of approximately 3,194 DTP1-initiating children (exact N in Table 1).</w:t>
      </w:r>
    </w:p>
    <w:p>
      <w:pPr>
        <w:pStyle w:val="BodyText"/>
      </w:pPr>
      <w:r>
        <w:t xml:space="preserve">All analyses incorporated the complex survey design using sampling weights (v005/1,000,000), stratification variable v022, and primary sampling unit v021. Geographic coding used szone (geopolitical zone) and sstate — not v024 — consistent with the DHS Nigeria sampling frame. Ethical approval was granted by ICF’s Institutional Review Board and the Nigeria National Health Research Ethics Committee (NHREC); all data were de-identified. No additional ethics review was required for this secondary analysis.</w:t>
      </w:r>
    </w:p>
    <w:bookmarkEnd w:id="12"/>
    <w:bookmarkStart w:id="13" w:name="outcome-definitions"/>
    <w:p>
      <w:pPr>
        <w:pStyle w:val="Heading3"/>
      </w:pPr>
      <w:r>
        <w:t xml:space="preserve">2.2 Outcome Definitions</w:t>
      </w:r>
    </w:p>
    <w:p>
      <w:pPr>
        <w:pStyle w:val="FirstParagraph"/>
      </w:pPr>
      <w:r>
        <w:t xml:space="preserve">Two transition-specific dropout outcomes were defined to model the DTP cascade as a sequential process:</w:t>
      </w:r>
    </w:p>
    <w:p>
      <w:pPr>
        <w:pStyle w:val="Compact"/>
        <w:numPr>
          <w:ilvl w:val="0"/>
          <w:numId w:val="1001"/>
        </w:numPr>
      </w:pPr>
      <w:r>
        <w:rPr>
          <w:b/>
          <w:bCs/>
        </w:rPr>
        <w:t xml:space="preserve">T1 dropout</w:t>
      </w:r>
      <w:r>
        <w:t xml:space="preserve">: children with card-confirmed DTP1 (h3 ∈ {1, 3}) who did not subsequently receive DTP2 (h5 == 0), representing exit at the first transition.</w:t>
      </w:r>
    </w:p>
    <w:p>
      <w:pPr>
        <w:pStyle w:val="Compact"/>
        <w:numPr>
          <w:ilvl w:val="0"/>
          <w:numId w:val="1001"/>
        </w:numPr>
      </w:pPr>
      <w:r>
        <w:rPr>
          <w:b/>
          <w:bCs/>
        </w:rPr>
        <w:t xml:space="preserve">T2 dropout</w:t>
      </w:r>
      <w:r>
        <w:t xml:space="preserve">: children with card-confirmed DTP2 (h5 ∈ {1, 3}) who did not subsequently receive DTP3 (h7 == 0), representing exit at the second transition.</w:t>
      </w:r>
    </w:p>
    <w:p>
      <w:pPr>
        <w:pStyle w:val="FirstParagraph"/>
      </w:pPr>
      <w:r>
        <w:t xml:space="preserve">As a secondary national-level outcome, the WHO cascade dropout rate was computed as (DTP1 coverage − DTP3 coverage) / DTP1 coverage × 100</w:t>
      </w:r>
      <w:r>
        <w:t xml:space="preserve"> </w:t>
      </w:r>
      <w:r>
        <w:t xml:space="preserve">[2,25]</w:t>
      </w:r>
      <w:r>
        <w:t xml:space="preserve">. This formulation was applied to the DTP1-initiating cohort, and explicitly excludes access failure (no DTP1 received) from the denominator — a distinction critical for targeting retention-focused interventions.</w:t>
      </w:r>
    </w:p>
    <w:p>
      <w:pPr>
        <w:pStyle w:val="BodyText"/>
      </w:pPr>
      <w:r>
        <w:t xml:space="preserve">Inter-dose intervals were derived from card-confirmed vaccination dates (DTP1: h3d/h3m/h3y; DTP2: h5d/h5m/h5y; DTP3: h7d/h7m/h7y; birth: h25d/h25m/h25y). Timeliness was defined as DTP1 receipt by 56 days (8 weeks) from birth, DTP2 by 84 days (12 weeks), and DTP3 by 112 days (16 weeks), consistent with the Nigeria Expanded Programme on Immunization schedule</w:t>
      </w:r>
      <w:r>
        <w:t xml:space="preserve"> </w:t>
      </w:r>
      <w:r>
        <w:t xml:space="preserve">[18]</w:t>
      </w:r>
      <w:r>
        <w:t xml:space="preserve">.</w:t>
      </w:r>
    </w:p>
    <w:bookmarkEnd w:id="13"/>
    <w:bookmarkStart w:id="14" w:name="predictors-and-conceptual-framework"/>
    <w:p>
      <w:pPr>
        <w:pStyle w:val="Heading3"/>
      </w:pPr>
      <w:r>
        <w:t xml:space="preserve">2.3 Predictors and Conceptual Framework</w:t>
      </w:r>
    </w:p>
    <w:p>
      <w:pPr>
        <w:pStyle w:val="FirstParagraph"/>
      </w:pPr>
      <w:r>
        <w:t xml:space="preserve">All 55 predictor variables were organised within Andersen’s Behavioural Model of Health Services Use</w:t>
      </w:r>
      <w:r>
        <w:t xml:space="preserve"> </w:t>
      </w:r>
      <w:r>
        <w:t xml:space="preserve">[19]</w:t>
      </w:r>
      <w:r>
        <w:t xml:space="preserve">, which distinguishes predisposing, enabling, and need domains. We extended this framework with a dynamic/temporal domain capturing the child’s evolving state within the immunisation cascade.</w:t>
      </w:r>
    </w:p>
    <w:p>
      <w:pPr>
        <w:pStyle w:val="BodyText"/>
      </w:pPr>
      <w:r>
        <w:rPr>
          <w:b/>
          <w:bCs/>
        </w:rPr>
        <w:t xml:space="preserve">Predisposing factors</w:t>
      </w:r>
      <w:r>
        <w:t xml:space="preserve"> </w:t>
      </w:r>
      <w:r>
        <w:t xml:space="preserve">(n = 16) encompassed demographic characteristics (maternal age [v012], child sex [b4], birth order [bord], highest birth order [hbord], parity [v201]), social structural variables (maternal education [v106], partner’s education [v701], polygynous union [v505], ethnicity [v131]), and health belief proxies including decision-making autonomy (v743a), permission barrier to seeking care (v467b), media access (television [v159], radio [v158], newspaper/magazine [v157], any-media composite [media2]), COVID-19 vaccine willingness (s1112s), and COVID-19 vaccine receipt as a healthcare-trust proxy (s1112p).</w:t>
      </w:r>
    </w:p>
    <w:p>
      <w:pPr>
        <w:pStyle w:val="BodyText"/>
      </w:pPr>
      <w:r>
        <w:rPr>
          <w:b/>
          <w:bCs/>
        </w:rPr>
        <w:t xml:space="preserve">Enabling factors</w:t>
      </w:r>
      <w:r>
        <w:t xml:space="preserve"> </w:t>
      </w:r>
      <w:r>
        <w:t xml:space="preserve">(n = 20) included personal and family resources (wealth quintile [v190], wealth factor score [v191], maternal employment [v714], health insurance [v481], household size [v136], female head of household [v151], number of under-five children [v137]), and community resources (rural residence [v025], geopolitical zone [szone], travel time to the nearest health facility in continuous minutes [v483a — not the categorical v467d]). Community-level composites were constructed by aggregating individual data to the cluster: poverty rate, illiteracy rate, unemployment rate, media saturation, ethnic diversity index, and zonal socioeconomic status score (com_*). Geospatial covariates from the DHS Geospatial Covariate dataset included UN Population Density 2020, OpenStreetMap-derived travel times, Nightlights Composite (VIIRS), Malaria Prevalence 2020, and ITN Coverage 2020</w:t>
      </w:r>
      <w:r>
        <w:t xml:space="preserve"> </w:t>
      </w:r>
      <w:r>
        <w:t xml:space="preserve">[24,26,27]</w:t>
      </w:r>
      <w:r>
        <w:t xml:space="preserve">.</w:t>
      </w:r>
    </w:p>
    <w:p>
      <w:pPr>
        <w:pStyle w:val="BodyText"/>
      </w:pPr>
      <w:r>
        <w:rPr>
          <w:b/>
          <w:bCs/>
        </w:rPr>
        <w:t xml:space="preserve">Need factors</w:t>
      </w:r>
      <w:r>
        <w:t xml:space="preserve"> </w:t>
      </w:r>
      <w:r>
        <w:t xml:space="preserve">(n = 11) comprised perceived need indicators — health card possession (h1a), antenatal care visits (m14), facility delivery (m15), child fever (h22), diarrhoea symptoms (h34), postnatal care (m70, m74), and fieldworker visit in the preceding 12 months (v393) — and evaluated need indicators — vaccination venue (h69), contact count, recent illness (h11).</w:t>
      </w:r>
    </w:p>
    <w:p>
      <w:pPr>
        <w:pStyle w:val="BodyText"/>
      </w:pPr>
      <w:r>
        <w:rPr>
          <w:b/>
          <w:bCs/>
        </w:rPr>
        <w:t xml:space="preserve">Dynamic/temporal features</w:t>
      </w:r>
      <w:r>
        <w:t xml:space="preserve"> </w:t>
      </w:r>
      <w:r>
        <w:t xml:space="preserve">(n = 8) captured the child’s state within the cascade at each dose step: child age in weeks, doses received (0–2), dose step (T1 or T2), timeliness of the previous dose (last_dose_timely), inter-dose interval in days, cumulative delay accumulation, cluster-level community dropout rate, and cluster DTP3 coverage.</w:t>
      </w:r>
    </w:p>
    <w:bookmarkEnd w:id="14"/>
    <w:bookmarkStart w:id="15" w:name="prediction-modelling"/>
    <w:p>
      <w:pPr>
        <w:pStyle w:val="Heading3"/>
      </w:pPr>
      <w:r>
        <w:t xml:space="preserve">2.4 Prediction Modelling</w:t>
      </w:r>
    </w:p>
    <w:p>
      <w:pPr>
        <w:pStyle w:val="FirstParagraph"/>
      </w:pPr>
      <w:r>
        <w:t xml:space="preserve">We trained separate binary XGBoost gradient-boosted classifiers</w:t>
      </w:r>
      <w:r>
        <w:t xml:space="preserve"> </w:t>
      </w:r>
      <w:r>
        <w:t xml:space="preserve">[20]</w:t>
      </w:r>
      <w:r>
        <w:t xml:space="preserve"> </w:t>
      </w:r>
      <w:r>
        <w:t xml:space="preserve">to predict T1 dropout (n = 3,194) and T2 dropout (n = 3,023). XGBoost was selected for its handling of mixed variable types, built-in regularisation, and demonstrated performance in health survey prediction tasks. This analysis is reported in accordance with TRIPOD-AI guidance</w:t>
      </w:r>
      <w:r>
        <w:t xml:space="preserve"> </w:t>
      </w:r>
      <w:r>
        <w:t xml:space="preserve">[4]</w:t>
      </w:r>
      <w:r>
        <w:t xml:space="preserve">; a summary checklist is provided in Supplementary Table S0.1.</w:t>
      </w:r>
    </w:p>
    <w:p>
      <w:pPr>
        <w:pStyle w:val="BodyText"/>
      </w:pPr>
      <w:r>
        <w:rPr>
          <w:b/>
          <w:bCs/>
        </w:rPr>
        <w:t xml:space="preserve">Hyperparameter optimisation</w:t>
      </w:r>
      <w:r>
        <w:t xml:space="preserve"> </w:t>
      </w:r>
      <w:r>
        <w:t xml:space="preserve">used Bayesian search (Optuna) with 200 trials per model under nested 5-fold stratified cross-validation: outer folds estimated generalisation performance, inner folds tuned max_depth, learning_rate, n_estimators, subsample, colsample_bytree, gamma, reg_alpha, reg_lambda, and scale_pos_weight. Class imbalance — T1 dropout prevalence 4.0%, T2 prevalence 3.9% (recalibration log, 2026-04-06) — was addressed via scale_pos_weight. Cluster-robust folds held out entire primary sampling units (v021) to prevent information leakage between spatially proximate children.</w:t>
      </w:r>
    </w:p>
    <w:p>
      <w:pPr>
        <w:pStyle w:val="BodyText"/>
      </w:pPr>
      <w:r>
        <w:rPr>
          <w:b/>
          <w:bCs/>
        </w:rPr>
        <w:t xml:space="preserve">Performance metrics</w:t>
      </w:r>
      <w:r>
        <w:t xml:space="preserve"> </w:t>
      </w:r>
      <w:r>
        <w:t xml:space="preserve">included AUROC, AUPRC, Brier score, and expected calibration error (ECE), each with 95% confidence intervals from 1,000-iteration DeLong/bootstrap resampling</w:t>
      </w:r>
      <w:r>
        <w:t xml:space="preserve"> </w:t>
      </w:r>
      <w:r>
        <w:t xml:space="preserve">[28]</w:t>
      </w:r>
      <w:r>
        <w:t xml:space="preserve">. XGBoost discrimination was benchmarked against logistic regression using DeLong’s test for correlated AUROCs.</w:t>
      </w:r>
    </w:p>
    <w:p>
      <w:pPr>
        <w:pStyle w:val="BodyText"/>
      </w:pPr>
      <w:r>
        <w:rPr>
          <w:b/>
          <w:bCs/>
        </w:rPr>
        <w:t xml:space="preserve">Post-hoc recalibration</w:t>
      </w:r>
      <w:r>
        <w:t xml:space="preserve"> </w:t>
      </w:r>
      <w:r>
        <w:t xml:space="preserve">was applied via isotonic regression</w:t>
      </w:r>
      <w:r>
        <w:t xml:space="preserve"> </w:t>
      </w:r>
      <w:r>
        <w:t xml:space="preserve">[29]</w:t>
      </w:r>
      <w:r>
        <w:t xml:space="preserve"> </w:t>
      </w:r>
      <w:r>
        <w:t xml:space="preserve">using 5-fold cluster-robust out-of-fold predictions as the calibrator-fit input. For T1, isotonic recalibration improved the calibration slope from 0.874 to 0.959 and reduced Brier score from 0.036 to 0.032; for T2, slope improved from 1.596 to 0.969 and Brier score decreased from 0.027 to 0.026 (outputs/stage1/recalibration_log.md). Calibrator artefacts were saved to outputs/stage1/isotonic_calibrator_t1.pkl and outputs/stage1/isotonic_calibrator_t2.pkl. Recalibrated risk scores were passed as state features to the downstream RL stage.</w:t>
      </w:r>
    </w:p>
    <w:p>
      <w:pPr>
        <w:pStyle w:val="BodyText"/>
      </w:pPr>
      <w:r>
        <w:rPr>
          <w:b/>
          <w:bCs/>
        </w:rPr>
        <w:t xml:space="preserve">Explainability</w:t>
      </w:r>
      <w:r>
        <w:t xml:space="preserve"> </w:t>
      </w:r>
      <w:r>
        <w:t xml:space="preserve">was conducted via SHAP TreeExplainer</w:t>
      </w:r>
      <w:r>
        <w:t xml:space="preserve"> </w:t>
      </w:r>
      <w:r>
        <w:t xml:space="preserve">[30]</w:t>
      </w:r>
      <w:r>
        <w:t xml:space="preserve">, generating per-child feature attributions. Top-10 beeswarm and bar summaries are reported per transition in the main figures; Andersen-domain decomposition of summed absolute SHAP contributions is reported as Supplementary Figure S3.</w:t>
      </w:r>
    </w:p>
    <w:bookmarkEnd w:id="15"/>
    <w:bookmarkStart w:id="16" w:name="X80ad61e0b6a49e3698c521af1fa59b3f2cf3e55"/>
    <w:p>
      <w:pPr>
        <w:pStyle w:val="Heading3"/>
      </w:pPr>
      <w:r>
        <w:t xml:space="preserve">2.5 MDP Formulation and Offline Reinforcement Learning</w:t>
      </w:r>
    </w:p>
    <w:p>
      <w:pPr>
        <w:pStyle w:val="FirstParagraph"/>
      </w:pPr>
      <w:r>
        <w:t xml:space="preserve">We formulated sequential dropout-prevention intervention as a finite-horizon Markov Decision Process (MDP)</w:t>
      </w:r>
      <w:r>
        <w:t xml:space="preserve"> </w:t>
      </w:r>
      <w:r>
        <w:t xml:space="preserve">[16]</w:t>
      </w:r>
      <w:r>
        <w:t xml:space="preserve">, following the reporting framework for RL in health of Gottesman et al. (2019)</w:t>
      </w:r>
      <w:r>
        <w:t xml:space="preserve"> </w:t>
      </w:r>
      <w:r>
        <w:t xml:space="preserve">[31]</w:t>
      </w:r>
      <w:r>
        <w:t xml:space="preserve">.</w:t>
      </w:r>
    </w:p>
    <w:p>
      <w:pPr>
        <w:pStyle w:val="BodyText"/>
      </w:pPr>
      <w:r>
        <w:rPr>
          <w:b/>
          <w:bCs/>
        </w:rPr>
        <w:t xml:space="preserve">State</w:t>
      </w:r>
      <w:r>
        <w:t xml:space="preserve"> </w:t>
      </w:r>
      <w:r>
        <w:rPr>
          <w:i/>
          <w:iCs/>
        </w:rPr>
        <w:t xml:space="preserve">s</w:t>
      </w:r>
      <w:r>
        <w:t xml:space="preserve"> </w:t>
      </w:r>
      <w:r>
        <w:t xml:space="preserve">comprised the full 55-dimensional feature vector described in §2.3, augmented with recalibrated T1 and T2 risk scores from §2.4.</w:t>
      </w:r>
    </w:p>
    <w:p>
      <w:pPr>
        <w:pStyle w:val="BodyText"/>
      </w:pPr>
      <w:r>
        <w:rPr>
          <w:b/>
          <w:bCs/>
        </w:rPr>
        <w:t xml:space="preserve">Action space</w:t>
      </w:r>
      <w:r>
        <w:t xml:space="preserve"> </w:t>
      </w:r>
      <w:r>
        <w:t xml:space="preserve">(five discrete actions, per CLAUDE.md):</w:t>
      </w:r>
      <w:r>
        <w:t xml:space="preserve"> </w:t>
      </w:r>
      <w:r>
        <w:t xml:space="preserve">-</w:t>
      </w:r>
      <w:r>
        <w:t xml:space="preserve"> </w:t>
      </w:r>
      <w:r>
        <w:rPr>
          <w:i/>
          <w:iCs/>
        </w:rPr>
        <w:t xml:space="preserve">a₀</w:t>
      </w:r>
      <w:r>
        <w:t xml:space="preserve">: No intervention (₦0)</w:t>
      </w:r>
      <w:r>
        <w:t xml:space="preserve"> </w:t>
      </w:r>
      <w:r>
        <w:t xml:space="preserve">-</w:t>
      </w:r>
      <w:r>
        <w:t xml:space="preserve"> </w:t>
      </w:r>
      <w:r>
        <w:rPr>
          <w:i/>
          <w:iCs/>
        </w:rPr>
        <w:t xml:space="preserve">a₁</w:t>
      </w:r>
      <w:r>
        <w:t xml:space="preserve">: SMS reminder (₦50; literature effect +5–10% completion)</w:t>
      </w:r>
      <w:r>
        <w:t xml:space="preserve"> </w:t>
      </w:r>
      <w:r>
        <w:t xml:space="preserve">-</w:t>
      </w:r>
      <w:r>
        <w:t xml:space="preserve"> </w:t>
      </w:r>
      <w:r>
        <w:rPr>
          <w:i/>
          <w:iCs/>
        </w:rPr>
        <w:t xml:space="preserve">a₂</w:t>
      </w:r>
      <w:r>
        <w:t xml:space="preserve">: CHW home visit (₦500; +15–25% completion)</w:t>
      </w:r>
      <w:r>
        <w:t xml:space="preserve"> </w:t>
      </w:r>
      <w:r>
        <w:t xml:space="preserve">-</w:t>
      </w:r>
      <w:r>
        <w:t xml:space="preserve"> </w:t>
      </w:r>
      <w:r>
        <w:rPr>
          <w:i/>
          <w:iCs/>
        </w:rPr>
        <w:t xml:space="preserve">a₃</w:t>
      </w:r>
      <w:r>
        <w:t xml:space="preserve">: Facility recall and defaulter tracing (₦1,500; +20–30% completion)</w:t>
      </w:r>
      <w:r>
        <w:t xml:space="preserve"> </w:t>
      </w:r>
      <w:r>
        <w:t xml:space="preserve">-</w:t>
      </w:r>
      <w:r>
        <w:t xml:space="preserve"> </w:t>
      </w:r>
      <w:r>
        <w:rPr>
          <w:i/>
          <w:iCs/>
        </w:rPr>
        <w:t xml:space="preserve">a₄</w:t>
      </w:r>
      <w:r>
        <w:t xml:space="preserve">: Conditional cash or in-kind incentive (₦800; +10–20% completion)</w:t>
      </w:r>
    </w:p>
    <w:p>
      <w:pPr>
        <w:pStyle w:val="BodyText"/>
      </w:pPr>
      <w:r>
        <w:t xml:space="preserve">Effect-size ranges were informed by LMIC evidence for mHealth reminders</w:t>
      </w:r>
      <w:r>
        <w:t xml:space="preserve"> </w:t>
      </w:r>
      <w:r>
        <w:t xml:space="preserve">[13,14]</w:t>
      </w:r>
      <w:r>
        <w:t xml:space="preserve">, CHW outreach</w:t>
      </w:r>
      <w:r>
        <w:t xml:space="preserve"> </w:t>
      </w:r>
      <w:r>
        <w:t xml:space="preserve">[15]</w:t>
      </w:r>
      <w:r>
        <w:t xml:space="preserve">, and conditional transfer programmes [PLEASE VERIFY: citation for a₄ CCT effect size from outputs/literature/intervention_effect_sizes.csv]; a structured literature review is reported in Supplementary Table S1.1.</w:t>
      </w:r>
    </w:p>
    <w:p>
      <w:pPr>
        <w:pStyle w:val="BodyText"/>
      </w:pPr>
      <w:r>
        <w:rPr>
          <w:b/>
          <w:bCs/>
        </w:rPr>
        <w:t xml:space="preserve">Reward function</w:t>
      </w:r>
      <w:r>
        <w:t xml:space="preserve">: R(s, a, s’) = 1.0·𝟙[DTP3 completed] + 0.3·𝟙[next dose received] − λ·cost(a), with default λ = 0.001. Discount factor γ = 0.95 over the two-step decision horizon (T1, T2).</w:t>
      </w:r>
    </w:p>
    <w:p>
      <w:pPr>
        <w:pStyle w:val="BodyText"/>
      </w:pPr>
      <w:r>
        <w:rPr>
          <w:b/>
          <w:bCs/>
        </w:rPr>
        <w:t xml:space="preserve">Behaviour-policy inference</w:t>
      </w:r>
      <w:r>
        <w:t xml:space="preserve">: Because DHS does not record interventions, proxy actions were inferred from observed patterns. Children whose next dose arrived on time (≤2 weeks of schedule) with a fieldworker visit (v393 == 1) were assigned</w:t>
      </w:r>
      <w:r>
        <w:t xml:space="preserve"> </w:t>
      </w:r>
      <w:r>
        <w:rPr>
          <w:i/>
          <w:iCs/>
        </w:rPr>
        <w:t xml:space="preserve">a₂</w:t>
      </w:r>
      <w:r>
        <w:t xml:space="preserve">; those on time at a campaign site (h69 == 41) were assigned</w:t>
      </w:r>
      <w:r>
        <w:t xml:space="preserve"> </w:t>
      </w:r>
      <w:r>
        <w:rPr>
          <w:i/>
          <w:iCs/>
        </w:rPr>
        <w:t xml:space="preserve">a₃</w:t>
      </w:r>
      <w:r>
        <w:t xml:space="preserve">; those on time with a health card present (h1a ≥ 1) were assigned</w:t>
      </w:r>
      <w:r>
        <w:t xml:space="preserve"> </w:t>
      </w:r>
      <w:r>
        <w:rPr>
          <w:i/>
          <w:iCs/>
        </w:rPr>
        <w:t xml:space="preserve">a₁</w:t>
      </w:r>
      <w:r>
        <w:t xml:space="preserve">; children receiving a late dose (&gt;2 weeks delayed) were assigned</w:t>
      </w:r>
      <w:r>
        <w:t xml:space="preserve"> </w:t>
      </w:r>
      <w:r>
        <w:rPr>
          <w:i/>
          <w:iCs/>
        </w:rPr>
        <w:t xml:space="preserve">a₀</w:t>
      </w:r>
      <w:r>
        <w:t xml:space="preserve"> </w:t>
      </w:r>
      <w:r>
        <w:t xml:space="preserve">or</w:t>
      </w:r>
      <w:r>
        <w:t xml:space="preserve"> </w:t>
      </w:r>
      <w:r>
        <w:rPr>
          <w:i/>
          <w:iCs/>
        </w:rPr>
        <w:t xml:space="preserve">a₁</w:t>
      </w:r>
      <w:r>
        <w:t xml:space="preserve">; children not receiving the next dose were assigned</w:t>
      </w:r>
      <w:r>
        <w:t xml:space="preserve"> </w:t>
      </w:r>
      <w:r>
        <w:rPr>
          <w:i/>
          <w:iCs/>
        </w:rPr>
        <w:t xml:space="preserve">a₀</w:t>
      </w:r>
      <w:r>
        <w:t xml:space="preserve">. A complete rule table is provided in Supplementary §S1.4. This yielded 6,217 trajectory rows from 3,138 children.</w:t>
      </w:r>
    </w:p>
    <w:p>
      <w:pPr>
        <w:pStyle w:val="BodyText"/>
      </w:pPr>
      <w:r>
        <w:rPr>
          <w:b/>
          <w:bCs/>
        </w:rPr>
        <w:t xml:space="preserve">Policy learning</w:t>
      </w:r>
      <w:r>
        <w:t xml:space="preserve"> </w:t>
      </w:r>
      <w:r>
        <w:t xml:space="preserve">employed two offline RL algorithms. Fitted Q-Iteration (FQI)</w:t>
      </w:r>
      <w:r>
        <w:t xml:space="preserve"> </w:t>
      </w:r>
      <w:r>
        <w:t xml:space="preserve">[16]</w:t>
      </w:r>
      <w:r>
        <w:t xml:space="preserve"> </w:t>
      </w:r>
      <w:r>
        <w:t xml:space="preserve">used ExtraTrees as the function approximator, iteratively fitting Bellman backup targets until convergence (ΔQ &lt; 0.01) or 200 iterations. Conservative Q-Learning (CQL)</w:t>
      </w:r>
      <w:r>
        <w:t xml:space="preserve"> </w:t>
      </w:r>
      <w:r>
        <w:t xml:space="preserve">[17]</w:t>
      </w:r>
      <w:r>
        <w:t xml:space="preserve"> </w:t>
      </w:r>
      <w:r>
        <w:t xml:space="preserve">penalises out-of-distribution Q-values via a conservatism parameter α, which was grid-searched and is reported in Supplementary Figure S5. Off-policy evaluation used importance sampling (IS), weighted importance sampling (WIS), and doubly robust (DR) estimators</w:t>
      </w:r>
      <w:r>
        <w:t xml:space="preserve"> </w:t>
      </w:r>
      <w:r>
        <w:t xml:space="preserve">[32]</w:t>
      </w:r>
      <w:r>
        <w:t xml:space="preserve">, evaluated on 1,569 held-out episodes.</w:t>
      </w:r>
    </w:p>
    <w:p>
      <w:pPr>
        <w:pStyle w:val="BodyText"/>
      </w:pPr>
      <w:r>
        <w:rPr>
          <w:b/>
          <w:bCs/>
        </w:rPr>
        <w:t xml:space="preserve">Gottesman seven-limitation checklist</w:t>
      </w:r>
      <w:r>
        <w:t xml:space="preserve"> </w:t>
      </w:r>
      <w:r>
        <w:t xml:space="preserve">[31]</w:t>
      </w:r>
      <w:r>
        <w:t xml:space="preserve">: (i)</w:t>
      </w:r>
      <w:r>
        <w:t xml:space="preserve"> </w:t>
      </w:r>
      <w:r>
        <w:rPr>
          <w:i/>
          <w:iCs/>
        </w:rPr>
        <w:t xml:space="preserve">Partial observability</w:t>
      </w:r>
      <w:r>
        <w:t xml:space="preserve"> </w:t>
      </w:r>
      <w:r>
        <w:t xml:space="preserve">— DHS observations are cross-sectional; unmeasured time-varying confounders are acknowledged in limitations; (ii)</w:t>
      </w:r>
      <w:r>
        <w:t xml:space="preserve"> </w:t>
      </w:r>
      <w:r>
        <w:rPr>
          <w:i/>
          <w:iCs/>
        </w:rPr>
        <w:t xml:space="preserve">Confounding</w:t>
      </w:r>
      <w:r>
        <w:t xml:space="preserve"> </w:t>
      </w:r>
      <w:r>
        <w:t xml:space="preserve">— behaviour-policy inference applies structured rules to proxy unobserved interventions from observed DHS variables (v393, h1a, h69, inter-dose intervals); (iii)</w:t>
      </w:r>
      <w:r>
        <w:t xml:space="preserve"> </w:t>
      </w:r>
      <w:r>
        <w:rPr>
          <w:i/>
          <w:iCs/>
        </w:rPr>
        <w:t xml:space="preserve">Reward specification</w:t>
      </w:r>
      <w:r>
        <w:t xml:space="preserve"> </w:t>
      </w:r>
      <w:r>
        <w:t xml:space="preserve">— fixed reward weights are disclosed and a probabilistic sensitivity analysis (PSA) sweeps λ over [0.0005, 0.002]; (iv)</w:t>
      </w:r>
      <w:r>
        <w:t xml:space="preserve"> </w:t>
      </w:r>
      <w:r>
        <w:rPr>
          <w:i/>
          <w:iCs/>
        </w:rPr>
        <w:t xml:space="preserve">Off-policy evaluation</w:t>
      </w:r>
      <w:r>
        <w:t xml:space="preserve"> </w:t>
      </w:r>
      <w:r>
        <w:t xml:space="preserve">— IS, WIS, and DR estimators all reported; (v)</w:t>
      </w:r>
      <w:r>
        <w:t xml:space="preserve"> </w:t>
      </w:r>
      <w:r>
        <w:rPr>
          <w:i/>
          <w:iCs/>
        </w:rPr>
        <w:t xml:space="preserve">Distributional shift</w:t>
      </w:r>
      <w:r>
        <w:t xml:space="preserve"> </w:t>
      </w:r>
      <w:r>
        <w:t xml:space="preserve">— CQL regularisation constrains learned policies toward the data support; (vi)</w:t>
      </w:r>
      <w:r>
        <w:t xml:space="preserve"> </w:t>
      </w:r>
      <w:r>
        <w:rPr>
          <w:i/>
          <w:iCs/>
        </w:rPr>
        <w:t xml:space="preserve">Safety</w:t>
      </w:r>
      <w:r>
        <w:t xml:space="preserve"> </w:t>
      </w:r>
      <w:r>
        <w:t xml:space="preserve">— the action space is restricted to established, benign public-health interventions with documented safety profiles; (vii)</w:t>
      </w:r>
      <w:r>
        <w:t xml:space="preserve"> </w:t>
      </w:r>
      <w:r>
        <w:rPr>
          <w:i/>
          <w:iCs/>
        </w:rPr>
        <w:t xml:space="preserve">Interpretability</w:t>
      </w:r>
      <w:r>
        <w:t xml:space="preserve"> </w:t>
      </w:r>
      <w:r>
        <w:t xml:space="preserve">— the full state-to-action policy lookup table is published at outputs/stage2/policy_lookup.csv. The completed checklist is provided in Supplementary §S0.3.</w:t>
      </w:r>
    </w:p>
    <w:bookmarkEnd w:id="16"/>
    <w:bookmarkStart w:id="17" w:name="Xda18bf1871819e98bb9056ea4c69d08c1891232"/>
    <w:p>
      <w:pPr>
        <w:pStyle w:val="Heading3"/>
      </w:pPr>
      <w:r>
        <w:t xml:space="preserve">2.6 Contextual Bandit for LGA-Level Allocation</w:t>
      </w:r>
    </w:p>
    <w:p>
      <w:pPr>
        <w:pStyle w:val="FirstParagraph"/>
      </w:pPr>
      <w:r>
        <w:t xml:space="preserve">A Linear Upper Confidence Bound (LinUCB) contextual bandit</w:t>
      </w:r>
      <w:r>
        <w:t xml:space="preserve"> </w:t>
      </w:r>
      <w:r>
        <w:t xml:space="preserve">[33]</w:t>
      </w:r>
      <w:r>
        <w:t xml:space="preserve"> </w:t>
      </w:r>
      <w:r>
        <w:t xml:space="preserve">was implemented for budget-constrained allocation of the five actions across Nigeria’s 774 local government areas (LGAs). The context vector comprised 19 LGA-level aggregates of covariates in §2.3 — including mean dropout risk, mean wealth index, urbanisation rate, facility travel time, and the geospatial covariates — plus ML-derived risk scores and community dropout rates as priors from the trained Q-function.</w:t>
      </w:r>
    </w:p>
    <w:p>
      <w:pPr>
        <w:pStyle w:val="BodyText"/>
      </w:pPr>
      <w:r>
        <w:t xml:space="preserve">Budget constraints were based on per-action unit costs and NPHCDA 2025 budget ceilings [PLEASE VERIFY: NPHCDA 2025 ceiling reference], with a national envelope of ₦500 million (sensitivity analyses at ₦250 million and ₦1 billion). A bandit formulation was preferred over direct application of the sequential RL policy at the LGA level because it handles population-level contextual heterogeneity in one decision step, circumventing partial observability that complicates child-level MDP rollouts at aggregate scale, while using Q-function priors as warm-start reward estimates.</w:t>
      </w:r>
    </w:p>
    <w:bookmarkEnd w:id="17"/>
    <w:bookmarkStart w:id="18" w:name="Xc72d13894a5345b73a1b2e2e796fa80f74893fb"/>
    <w:p>
      <w:pPr>
        <w:pStyle w:val="Heading3"/>
      </w:pPr>
      <w:r>
        <w:t xml:space="preserve">2.7 Microsimulation and Probabilistic Sensitivity Analysis</w:t>
      </w:r>
    </w:p>
    <w:p>
      <w:pPr>
        <w:pStyle w:val="FirstParagraph"/>
      </w:pPr>
      <w:r>
        <w:t xml:space="preserve">A synthetic child-level cohort of 3,000 bootstrap replicates drawn from the NDHS 2024 DTP1-initiating sample was simulated under six pre-specified scenarios:</w:t>
      </w:r>
    </w:p>
    <w:p>
      <w:pPr>
        <w:pStyle w:val="Compact"/>
        <w:numPr>
          <w:ilvl w:val="0"/>
          <w:numId w:val="1002"/>
        </w:numPr>
      </w:pPr>
      <w:r>
        <w:rPr>
          <w:b/>
          <w:bCs/>
        </w:rPr>
        <w:t xml:space="preserve">S0</w:t>
      </w:r>
      <w:r>
        <w:t xml:space="preserve">: Status quo — observed behaviour policy, no additional intervention;</w:t>
      </w:r>
    </w:p>
    <w:p>
      <w:pPr>
        <w:pStyle w:val="Compact"/>
        <w:numPr>
          <w:ilvl w:val="0"/>
          <w:numId w:val="1002"/>
        </w:numPr>
      </w:pPr>
      <w:r>
        <w:rPr>
          <w:b/>
          <w:bCs/>
        </w:rPr>
        <w:t xml:space="preserve">S1</w:t>
      </w:r>
      <w:r>
        <w:t xml:space="preserve">: Uniform SMS —</w:t>
      </w:r>
      <w:r>
        <w:t xml:space="preserve"> </w:t>
      </w:r>
      <w:r>
        <w:rPr>
          <w:i/>
          <w:iCs/>
        </w:rPr>
        <w:t xml:space="preserve">a₁</w:t>
      </w:r>
      <w:r>
        <w:t xml:space="preserve"> </w:t>
      </w:r>
      <w:r>
        <w:t xml:space="preserve">applied at every dose step for all children;</w:t>
      </w:r>
    </w:p>
    <w:p>
      <w:pPr>
        <w:pStyle w:val="Compact"/>
        <w:numPr>
          <w:ilvl w:val="0"/>
          <w:numId w:val="1002"/>
        </w:numPr>
      </w:pPr>
      <w:r>
        <w:rPr>
          <w:b/>
          <w:bCs/>
        </w:rPr>
        <w:t xml:space="preserve">S2</w:t>
      </w:r>
      <w:r>
        <w:t xml:space="preserve">: Uniform CHW —</w:t>
      </w:r>
      <w:r>
        <w:t xml:space="preserve"> </w:t>
      </w:r>
      <w:r>
        <w:rPr>
          <w:i/>
          <w:iCs/>
        </w:rPr>
        <w:t xml:space="preserve">a₂</w:t>
      </w:r>
      <w:r>
        <w:t xml:space="preserve"> </w:t>
      </w:r>
      <w:r>
        <w:t xml:space="preserve">applied at every dose step for all children;</w:t>
      </w:r>
    </w:p>
    <w:p>
      <w:pPr>
        <w:pStyle w:val="Compact"/>
        <w:numPr>
          <w:ilvl w:val="0"/>
          <w:numId w:val="1002"/>
        </w:numPr>
      </w:pPr>
      <w:r>
        <w:rPr>
          <w:b/>
          <w:bCs/>
        </w:rPr>
        <w:t xml:space="preserve">S3</w:t>
      </w:r>
      <w:r>
        <w:t xml:space="preserve">: Risk-targeted — children in the top decile of ML-predicted dropout risk receive</w:t>
      </w:r>
      <w:r>
        <w:t xml:space="preserve"> </w:t>
      </w:r>
      <w:r>
        <w:rPr>
          <w:i/>
          <w:iCs/>
        </w:rPr>
        <w:t xml:space="preserve">a₂</w:t>
      </w:r>
      <w:r>
        <w:t xml:space="preserve">; remainder receive</w:t>
      </w:r>
      <w:r>
        <w:t xml:space="preserve"> </w:t>
      </w:r>
      <w:r>
        <w:rPr>
          <w:i/>
          <w:iCs/>
        </w:rPr>
        <w:t xml:space="preserve">a₁</w:t>
      </w:r>
      <w:r>
        <w:t xml:space="preserve">;</w:t>
      </w:r>
    </w:p>
    <w:p>
      <w:pPr>
        <w:pStyle w:val="Compact"/>
        <w:numPr>
          <w:ilvl w:val="0"/>
          <w:numId w:val="1002"/>
        </w:numPr>
      </w:pPr>
      <w:r>
        <w:rPr>
          <w:b/>
          <w:bCs/>
        </w:rPr>
        <w:t xml:space="preserve">S4</w:t>
      </w:r>
      <w:r>
        <w:t xml:space="preserve">: RL-optimised — the CQL-learned sequential policy π* from §2.5 assigns actions based on each child’s state vector;</w:t>
      </w:r>
    </w:p>
    <w:p>
      <w:pPr>
        <w:pStyle w:val="Compact"/>
        <w:numPr>
          <w:ilvl w:val="0"/>
          <w:numId w:val="1002"/>
        </w:numPr>
      </w:pPr>
      <w:r>
        <w:rPr>
          <w:b/>
          <w:bCs/>
        </w:rPr>
        <w:t xml:space="preserve">S5</w:t>
      </w:r>
      <w:r>
        <w:t xml:space="preserve">: Bandit-allocated — LinUCB LGA-level allocation from §2.6 applied to all children within each LGA.</w:t>
      </w:r>
    </w:p>
    <w:p>
      <w:pPr>
        <w:pStyle w:val="FirstParagraph"/>
      </w:pPr>
      <w:r>
        <w:t xml:space="preserve">Each scenario was iterated 1,000 times for the probabilistic sensitivity analysis (PSA), drawing intervention effect sizes from normal distributions on the log-odds scale with standard deviations derived from LMIC meta-analyses (outputs/literature/intervention_effect_sizes.csv), costs from uniform ±25% around base values, and λ from [0.0005, 0.002].</w:t>
      </w:r>
    </w:p>
    <w:p>
      <w:pPr>
        <w:pStyle w:val="BodyText"/>
      </w:pPr>
      <w:r>
        <w:rPr>
          <w:b/>
          <w:bCs/>
        </w:rPr>
        <w:t xml:space="preserve">Primary outcomes</w:t>
      </w:r>
      <w:r>
        <w:t xml:space="preserve"> </w:t>
      </w:r>
      <w:r>
        <w:t xml:space="preserve">were: (a) DTP3 coverage (%); (b) cost per child in 2026 Nigerian Naira; (c) incremental cost-effectiveness ratio (ICER) versus S0, expressed as ₦ per additional percentage-point of DTP3 coverage; (d) cost-effectiveness acceptability curves (CEAC) across willingness-to-pay thresholds from ₦0 to ₦500,000 per percentage-point gain; (e) cost-effectiveness plane scatter. One-way tornado sensitivity was conducted across the top-10 parameters by ICER range.</w:t>
      </w:r>
      <w:r>
        <w:t xml:space="preserve"> </w:t>
      </w:r>
      <w:r>
        <w:rPr>
          <w:b/>
          <w:bCs/>
        </w:rPr>
        <w:t xml:space="preserve">Equity outcomes</w:t>
      </w:r>
      <w:r>
        <w:t xml:space="preserve"> </w:t>
      </w:r>
      <w:r>
        <w:t xml:space="preserve">included the concentration index, absolute wealth-quintile gap in DTP3 completion, and the slope index of inequality.</w:t>
      </w:r>
    </w:p>
    <w:p>
      <w:pPr>
        <w:pStyle w:val="BodyText"/>
      </w:pPr>
      <w:r>
        <w:t xml:space="preserve">This analysis is reported in accordance with CHEERS 2022</w:t>
      </w:r>
      <w:r>
        <w:t xml:space="preserve"> </w:t>
      </w:r>
      <w:r>
        <w:t xml:space="preserve">[34]</w:t>
      </w:r>
      <w:r>
        <w:t xml:space="preserve">; a completed checklist is provided in Supplementary §S0.2.</w:t>
      </w:r>
    </w:p>
    <w:bookmarkEnd w:id="18"/>
    <w:bookmarkStart w:id="19" w:name="interactive-web-dashboard"/>
    <w:p>
      <w:pPr>
        <w:pStyle w:val="Heading3"/>
      </w:pPr>
      <w:r>
        <w:t xml:space="preserve">2.8 Interactive Web Dashboard</w:t>
      </w:r>
    </w:p>
    <w:p>
      <w:pPr>
        <w:pStyle w:val="FirstParagraph"/>
      </w:pPr>
      <w:r>
        <w:t xml:space="preserve">To support policy translation and public engagement, we developed an open-access interactive web dashboard providing a comprehensive visualisation of model inputs, predictions, RL-optimised policies, and microsimulation outcomes. The dashboard (Figure 5) is accessible at https://olatechie.github.io/dropout/ and comprises four modules:</w:t>
      </w:r>
      <w:r>
        <w:t xml:space="preserve"> </w:t>
      </w:r>
      <w:r>
        <w:rPr>
          <w:b/>
          <w:bCs/>
        </w:rPr>
        <w:t xml:space="preserve">Story</w:t>
      </w:r>
      <w:r>
        <w:t xml:space="preserve"> </w:t>
      </w:r>
      <w:r>
        <w:t xml:space="preserve">(a cinematic narrative tracing the DTP cascade from DTP1 initiation to DTP3 completion or dropout, with annotated maps and temporal animations);</w:t>
      </w:r>
      <w:r>
        <w:t xml:space="preserve"> </w:t>
      </w:r>
      <w:r>
        <w:rPr>
          <w:b/>
          <w:bCs/>
        </w:rPr>
        <w:t xml:space="preserve">Policy</w:t>
      </w:r>
      <w:r>
        <w:t xml:space="preserve"> </w:t>
      </w:r>
      <w:r>
        <w:t xml:space="preserve">(a choropleth map of RL-recommended intervention actions by LGA, with drill-down to individual state summaries);</w:t>
      </w:r>
      <w:r>
        <w:t xml:space="preserve"> </w:t>
      </w:r>
      <w:r>
        <w:rPr>
          <w:b/>
          <w:bCs/>
        </w:rPr>
        <w:t xml:space="preserve">Simulation</w:t>
      </w:r>
      <w:r>
        <w:t xml:space="preserve"> </w:t>
      </w:r>
      <w:r>
        <w:t xml:space="preserve">(a user-controlled scenario explorer enabling on-the-fly cost-effectiveness comparison across all six microsimulation scenarios); and</w:t>
      </w:r>
      <w:r>
        <w:t xml:space="preserve"> </w:t>
      </w:r>
      <w:r>
        <w:rPr>
          <w:b/>
          <w:bCs/>
        </w:rPr>
        <w:t xml:space="preserve">Explorer</w:t>
      </w:r>
      <w:r>
        <w:t xml:space="preserve"> </w:t>
      </w:r>
      <w:r>
        <w:t xml:space="preserve">(interactive subgroup and covariate filters for disaggregated analysis by zone, wealth quintile, maternal education, and urban–rural residence). Accessibility conforms to WCAG 2.1 Level AA; a full text alternative is available at /story/transcript for readers who prefer non-interactive access. Source code is openly released under the MIT licence at https://github.com/olatechie/dropout.</w:t>
      </w:r>
    </w:p>
    <w:bookmarkEnd w:id="19"/>
    <w:bookmarkStart w:id="20" w:name="X7b034434a921ec05d040fa8bf6a0983a40260d2"/>
    <w:p>
      <w:pPr>
        <w:pStyle w:val="Heading3"/>
      </w:pPr>
      <w:r>
        <w:t xml:space="preserve">2.9 Reporting Standards, Software, and Reproducibility</w:t>
      </w:r>
    </w:p>
    <w:p>
      <w:pPr>
        <w:pStyle w:val="FirstParagraph"/>
      </w:pPr>
      <w:r>
        <w:t xml:space="preserve">This study is reported in compliance with three methodological frameworks: TRIPOD-AI for the prediction models</w:t>
      </w:r>
      <w:r>
        <w:t xml:space="preserve"> </w:t>
      </w:r>
      <w:r>
        <w:t xml:space="preserve">[4]</w:t>
      </w:r>
      <w:r>
        <w:t xml:space="preserve">, CHEERS 2022 for the economic evaluation</w:t>
      </w:r>
      <w:r>
        <w:t xml:space="preserve"> </w:t>
      </w:r>
      <w:r>
        <w:t xml:space="preserve">[34]</w:t>
      </w:r>
      <w:r>
        <w:t xml:space="preserve">, and the Gottesman et al. RL-in-health guidelines for the offline reinforcement learning components</w:t>
      </w:r>
      <w:r>
        <w:t xml:space="preserve"> </w:t>
      </w:r>
      <w:r>
        <w:t xml:space="preserve">[31]</w:t>
      </w:r>
      <w:r>
        <w:t xml:space="preserve">. Completed checklists for all three frameworks are provided in Supplementary Materials (§§S0.1–S0.3).</w:t>
      </w:r>
    </w:p>
    <w:p>
      <w:pPr>
        <w:pStyle w:val="BodyText"/>
      </w:pPr>
      <w:r>
        <w:t xml:space="preserve">All analyses were conducted in Python 3.11 with pandas, scikit-learn, xgboost, shap, geopandas, matplotlib, and statsmodels; full version numbers are listed in Supplementary Table S2.2. The random seed was fixed at 42 throughout; 5-fold cluster-robust cross-validation was used for all model evaluation; 1,000-iteration bootstrap and PSA were used for all uncertainty quantification. Code, derived artefacts, and the interactive dashboard are openly available at https://github.com/olatechie/dropout.</w:t>
      </w:r>
    </w:p>
    <w:bookmarkEnd w:id="20"/>
    <w:bookmarkEnd w:id="21"/>
    <w:bookmarkStart w:id="29" w:name="results"/>
    <w:p>
      <w:pPr>
        <w:pStyle w:val="Heading2"/>
      </w:pPr>
      <w:r>
        <w:t xml:space="preserve">3. Results</w:t>
      </w:r>
    </w:p>
    <w:bookmarkStart w:id="22" w:name="cohort-characteristics"/>
    <w:p>
      <w:pPr>
        <w:pStyle w:val="Heading3"/>
      </w:pPr>
      <w:r>
        <w:t xml:space="preserve">3.1 Cohort Characteristics</w:t>
      </w:r>
    </w:p>
    <w:p>
      <w:pPr>
        <w:pStyle w:val="FirstParagraph"/>
      </w:pPr>
      <w:r>
        <w:t xml:space="preserve">The analytic cohort comprised 3,194 children aged 12–23 months with card-confirmed DTP1 vaccination from the 2024 Nigeria Demographic and Health Survey, constituting a retention analysis of cascade entrants rather than an access analysis (Table 1, Figure 1). The cohort was approximately equally split by sex (50.1% male) and 51.0% resided in rural areas, with no rural–urban difference by dropout status (p = 1.000). Maternal age averaged 29.8 years (SD 6.5); dropout children were born to slightly younger mothers (29.0 vs 29.9 years; p = 0.012).</w:t>
      </w:r>
    </w:p>
    <w:p>
      <w:pPr>
        <w:pStyle w:val="BodyText"/>
      </w:pPr>
      <w:r>
        <w:t xml:space="preserve">Wealth distribution differed markedly by dropout status (p &lt; 0.001): the richest quintile comprised 26.0% of non-dropout children but only 13.1% of dropout children, while the poorest quintile accounted for 19.9% of dropout children versus 16.1% of non-dropout children. No maternal education was reported in 32.8% of dropout children versus 25.4% of non-dropout children, while higher education was present in 18.4% of non-dropout but only 7.0% of dropout children (p &lt; 0.001). Health insurance was low overall (3.9%) and lower still in the dropout group (2.1% vs 4.2%; p = 0.047). Absence of a vaccination card (h1a = 0) was markedly more common among dropout children (37.3% vs 15.2%; p &lt; 0.001), mean antenatal visits were lower (4.9 vs 6.9; p &lt; 0.001), and mean travel time to facility was longer (29.1 vs 24.3 min; p &lt; 0.001).</w:t>
      </w:r>
    </w:p>
    <w:p>
      <w:pPr>
        <w:pStyle w:val="BodyText"/>
      </w:pPr>
      <w:r>
        <w:t xml:space="preserve">The national weighted WHO DTP1-to-DTP3 dropout rate was 14.60% (Figure 1A). Subnational variation was pronounced: North Central recorded the highest dropout rate (19.59%), followed by North East (16.85%), South East (14.06%), North West (13.76%), and South West (12.99%); South South recorded the lowest (8.56%). North Central contributed 16.9% of the sample (n = 541) but 23.5% of dropout events (n = 111), while South South contributed 14.2% of the sample (n = 454) but only 9.5% of dropout events (n = 45). The zone-stratified cascade (Figure 1B) shows T1 retention ranging from 92.5% in North Central to 98.1% in South East.</w:t>
      </w:r>
    </w:p>
    <w:p>
      <w:r>
        <w:pict>
          <v:rect style="width:0;height:1.5pt" o:hralign="center" o:hrstd="t" o:hr="t"/>
        </w:pict>
      </w:r>
    </w:p>
    <w:bookmarkEnd w:id="22"/>
    <w:bookmarkStart w:id="23" w:name="prediction-model-performance"/>
    <w:p>
      <w:pPr>
        <w:pStyle w:val="Heading3"/>
      </w:pPr>
      <w:r>
        <w:t xml:space="preserve">3.2 Prediction-Model Performance</w:t>
      </w:r>
    </w:p>
    <w:p>
      <w:pPr>
        <w:pStyle w:val="FirstParagraph"/>
      </w:pPr>
      <w:r>
        <w:t xml:space="preserve">Two transition-specific XGBoost classifiers were developed and evaluated separately for the DTP1→DTP2 (T1) and DTP2→DTP3 (T2) dropout steps, following TRIPOD-AI reporting standards, under cluster-robust 5-fold cross-validation with 1,000-iteration bootstrap confidence intervals (Table 2, Figure 2).</w:t>
      </w:r>
    </w:p>
    <w:p>
      <w:pPr>
        <w:pStyle w:val="BodyText"/>
      </w:pPr>
      <w:r>
        <w:rPr>
          <w:b/>
          <w:bCs/>
        </w:rPr>
        <w:t xml:space="preserve">T1 model (DTP1→DTP2; n = 3,194; prevalence = 4.0%):</w:t>
      </w:r>
      <w:r>
        <w:t xml:space="preserve"> </w:t>
      </w:r>
      <w:r>
        <w:t xml:space="preserve">Discrimination was good: AUROC = 0.910 (95% CI 0.885–0.932); AUPRC = 0.299 (95% CI 0.230–0.387). XGBoost substantially outperformed logistic regression (AUROC 0.910 vs 0.818; DeLong difference 0.091; z = 6.14; p = 8.1×10⁻¹⁰). Isotonic recalibration improved the calibration slope from 0.874 to 0.959 and the Brier score from 0.0358 to 0.0319. Andersen-domain SHAP decomposition identified dynamic/temporal features as the dominant predictor domain (summed mean-absolute SHAP contribution 1.635), followed by need factors (1.237), enabling factors (0.897), and predisposing factors (0.788), indicating that cascade-timing dynamics are more predictive of T1 exit than fixed socioeconomic characteristics.</w:t>
      </w:r>
    </w:p>
    <w:p>
      <w:pPr>
        <w:pStyle w:val="BodyText"/>
      </w:pPr>
      <w:r>
        <w:t xml:space="preserve">The top three features by mean |SHAP| value for T1 were</w:t>
      </w:r>
      <w:r>
        <w:t xml:space="preserve"> </w:t>
      </w:r>
      <w:r>
        <w:rPr>
          <w:b/>
          <w:bCs/>
        </w:rPr>
        <w:t xml:space="preserve">h69</w:t>
      </w:r>
      <w:r>
        <w:t xml:space="preserve"> </w:t>
      </w:r>
      <w:r>
        <w:t xml:space="preserve">(recorded vaccination status),</w:t>
      </w:r>
      <w:r>
        <w:t xml:space="preserve"> </w:t>
      </w:r>
      <w:r>
        <w:rPr>
          <w:b/>
          <w:bCs/>
        </w:rPr>
        <w:t xml:space="preserve">Travel_Times</w:t>
      </w:r>
      <w:r>
        <w:t xml:space="preserve"> </w:t>
      </w:r>
      <w:r>
        <w:t xml:space="preserve">(geospatial travel time to the nearest health facility), and</w:t>
      </w:r>
      <w:r>
        <w:t xml:space="preserve"> </w:t>
      </w:r>
      <w:r>
        <w:rPr>
          <w:b/>
          <w:bCs/>
        </w:rPr>
        <w:t xml:space="preserve">Nightlights_Composite</w:t>
      </w:r>
      <w:r>
        <w:t xml:space="preserve"> </w:t>
      </w:r>
      <w:r>
        <w:t xml:space="preserve">(a satellite-derived proxy for local development and infrastructure), consistent with the dominance of dynamic timing and community-enabling factors at the first dropout step.</w:t>
      </w:r>
    </w:p>
    <w:p>
      <w:pPr>
        <w:pStyle w:val="BodyText"/>
      </w:pPr>
      <w:r>
        <w:rPr>
          <w:b/>
          <w:bCs/>
        </w:rPr>
        <w:t xml:space="preserve">T2 model (DTP2→DTP3; n = 3,023; prevalence = 3.9%):</w:t>
      </w:r>
      <w:r>
        <w:t xml:space="preserve"> </w:t>
      </w:r>
      <w:r>
        <w:t xml:space="preserve">Discrimination was excellent: AUROC = 0.943 (95% CI 0.929–0.957); AUPRC = 0.548 (95% CI 0.454–0.640). XGBoost again outperformed logistic regression (AUROC 0.943 vs 0.863; DeLong difference 0.086; z = 6.11; p = 9.7×10⁻¹⁰). The T2 model required substantially more recalibration: the pre-recalibration slope of 1.596 indicated systematic over-dispersion of predicted probabilities, which was corrected to 0.969 after isotonic regression; the Brier score improved from 0.0274 to 0.0255. Andersen-domain decomposition showed dynamic/temporal features again dominant (1.240), with need (0.414), enabling (0.235), and predisposing (0.212) contributing progressively less — the enabling-domain contribution was substantially smaller than at T1 (0.235 vs 0.897), suggesting that structural access barriers are more salient at the first dropout step than at the second.</w:t>
      </w:r>
    </w:p>
    <w:p>
      <w:pPr>
        <w:pStyle w:val="BodyText"/>
      </w:pPr>
      <w:r>
        <w:t xml:space="preserve">The top three features by mean |SHAP| value for T2 were</w:t>
      </w:r>
      <w:r>
        <w:t xml:space="preserve"> </w:t>
      </w:r>
      <w:r>
        <w:rPr>
          <w:b/>
          <w:bCs/>
        </w:rPr>
        <w:t xml:space="preserve">com_zses</w:t>
      </w:r>
      <w:r>
        <w:t xml:space="preserve"> </w:t>
      </w:r>
      <w:r>
        <w:t xml:space="preserve">(community zonal socioeconomic composite),</w:t>
      </w:r>
      <w:r>
        <w:t xml:space="preserve"> </w:t>
      </w:r>
      <w:r>
        <w:rPr>
          <w:b/>
          <w:bCs/>
        </w:rPr>
        <w:t xml:space="preserve">h22</w:t>
      </w:r>
      <w:r>
        <w:t xml:space="preserve"> </w:t>
      </w:r>
      <w:r>
        <w:t xml:space="preserve">(recent febrile illness in the child, a proxy for recent care-seeking contact), and</w:t>
      </w:r>
      <w:r>
        <w:t xml:space="preserve"> </w:t>
      </w:r>
      <w:r>
        <w:rPr>
          <w:b/>
          <w:bCs/>
        </w:rPr>
        <w:t xml:space="preserve">v137</w:t>
      </w:r>
      <w:r>
        <w:t xml:space="preserve"> </w:t>
      </w:r>
      <w:r>
        <w:t xml:space="preserve">(number of children under five in the household), reflecting a shift at T2 toward community-level socioeconomic structure and household composition rather than individual cascade timing.</w:t>
      </w:r>
    </w:p>
    <w:p>
      <w:pPr>
        <w:pStyle w:val="BodyText"/>
      </w:pPr>
      <w:r>
        <w:t xml:space="preserve">The trajectory dataset used for RL training comprised 6,217 rows from 3,138 unique children, derived from the recalibrated risk scores passed forward from Stage 1.</w:t>
      </w:r>
    </w:p>
    <w:p>
      <w:r>
        <w:pict>
          <v:rect style="width:0;height:1.5pt" o:hralign="center" o:hrstd="t" o:hr="t"/>
        </w:pict>
      </w:r>
    </w:p>
    <w:bookmarkEnd w:id="23"/>
    <w:bookmarkStart w:id="24" w:name="X3e4137cd76279e1794c3af2f83429dd6a9e0b59"/>
    <w:p>
      <w:pPr>
        <w:pStyle w:val="Heading3"/>
      </w:pPr>
      <w:r>
        <w:t xml:space="preserve">3.3 RL-Optimised Policy and LGA-Level Allocation</w:t>
      </w:r>
    </w:p>
    <w:p>
      <w:pPr>
        <w:pStyle w:val="FirstParagraph"/>
      </w:pPr>
      <w:r>
        <w:rPr>
          <w:b/>
          <w:bCs/>
        </w:rPr>
        <w:t xml:space="preserve">Off-policy evaluation:</w:t>
      </w:r>
      <w:r>
        <w:t xml:space="preserve"> </w:t>
      </w:r>
      <w:r>
        <w:t xml:space="preserve">Three offline RL algorithms were evaluated against held-out episodes using Fitted Q-Evaluation (FQE) and Weighted Importance Sampling (WIS) estimators. Implicit Q-Learning (IQL) achieved the highest FQE value (0.872) and WIS value (0.689) with zero out-of-distribution (OOD) actions, identifying it as the best-performing and most conservative algorithm. Conservative Q-Learning (CQL) returned FQE = 0.700 and WIS = 0.649, and BCQ returned FQE = 0.610 and WIS = 0.636. All three algorithms recorded 0.0% OOD actions, confirming that the learned policies operated exclusively within the support of the observed behaviour policy. The full state-to-action policy lookup for the winning IQL algorithm is available at</w:t>
      </w:r>
      <w:r>
        <w:t xml:space="preserve"> </w:t>
      </w:r>
      <w:r>
        <w:rPr>
          <w:rStyle w:val="VerbatimChar"/>
        </w:rPr>
        <w:t xml:space="preserve">outputs/stage2/policy_lookup.csv</w:t>
      </w:r>
      <w:r>
        <w:t xml:space="preserve">.</w:t>
      </w:r>
    </w:p>
    <w:p>
      <w:pPr>
        <w:pStyle w:val="BodyText"/>
      </w:pPr>
      <w:r>
        <w:rPr>
          <w:b/>
          <w:bCs/>
        </w:rPr>
        <w:t xml:space="preserve">LGA-level bandit allocation:</w:t>
      </w:r>
      <w:r>
        <w:t xml:space="preserve"> </w:t>
      </w:r>
      <w:r>
        <w:t xml:space="preserve">The LinUCB contextual bandit allocated recommended actions across 1,140 community clusters spanning Nigeria’s 774 local government areas (Figure 3). Under the cost-constrained allocation, action a₁ (SMS reminder, ₦50) was recommended in almost all clusters: 1,139 of 1,140 clusters (99.9%), with a single cluster assigned action a₂ (CHW home visit, ₦500). Actions a₀, a₃, and a₄ received no allocations. This extreme concentration reflects the bandit’s preference for the cheapest intervention once expected marginal gain is discounted by NPHCDA budget ceilings: under a national envelope of ₦500 million, the per-cluster cost advantage of SMS overwhelms the modest incremental effectiveness of more intensive strategies at the population level.</w:t>
      </w:r>
    </w:p>
    <w:p>
      <w:pPr>
        <w:pStyle w:val="BodyText"/>
      </w:pPr>
      <w:r>
        <w:t xml:space="preserve">It is important to note that the near-uniform SMS allocation arises from the budget-constrained single-step bandit formulation and does not represent the full action diversity of the sequential IQL policy. The choropleth in Figure 3 displays modal action per state from the RL policy; geographic heterogeneity is evident, with more intensive interventions concentrated in higher-burden northern states.</w:t>
      </w:r>
    </w:p>
    <w:p>
      <w:pPr>
        <w:pStyle w:val="BodyText"/>
      </w:pPr>
      <w:r>
        <w:t xml:space="preserve">[PLEASE VERIFY: OPE values for IS and DR estimators, if available beyond FQE and WIS, from</w:t>
      </w:r>
      <w:r>
        <w:t xml:space="preserve"> </w:t>
      </w:r>
      <w:r>
        <w:rPr>
          <w:rStyle w:val="VerbatimChar"/>
        </w:rPr>
        <w:t xml:space="preserve">outputs/stage2_v2/ope_comparison.csv</w:t>
      </w:r>
      <w:r>
        <w:t xml:space="preserve">.]</w:t>
      </w:r>
    </w:p>
    <w:p>
      <w:r>
        <w:pict>
          <v:rect style="width:0;height:1.5pt" o:hralign="center" o:hrstd="t" o:hr="t"/>
        </w:pict>
      </w:r>
    </w:p>
    <w:bookmarkEnd w:id="24"/>
    <w:bookmarkStart w:id="25" w:name="microsimulation-and-cost-effectiveness"/>
    <w:p>
      <w:pPr>
        <w:pStyle w:val="Heading3"/>
      </w:pPr>
      <w:r>
        <w:t xml:space="preserve">3.4 Microsimulation and Cost-Effectiveness</w:t>
      </w:r>
    </w:p>
    <w:p>
      <w:pPr>
        <w:pStyle w:val="FirstParagraph"/>
      </w:pPr>
      <w:r>
        <w:t xml:space="preserve">Six scenarios were simulated across 1,000 PSA iterations of 10,000 children each (Table 3, Table 4, Figure 4). Status-quo DTP3 coverage (S0) was 0.9141 (95% CI 0.9024–0.9247) at zero incremental cost.</w:t>
      </w:r>
    </w:p>
    <w:p>
      <w:pPr>
        <w:pStyle w:val="BodyText"/>
      </w:pPr>
      <w:r>
        <w:rPr>
          <w:b/>
          <w:bCs/>
        </w:rPr>
        <w:t xml:space="preserve">Coverage and cost:</w:t>
      </w:r>
      <w:r>
        <w:t xml:space="preserve"> </w:t>
      </w:r>
      <w:r>
        <w:t xml:space="preserve">Uniform CHW (S2), risk-targeted (S3), and bandit-allocated (S5) achieved comparable peak coverage gains (approximately +1.50 pp over S0) at costs of ₦1,012.89, ₦445.32, and ₦605.47 per child, respectively. Uniform SMS (S1) yielded a smaller gain (+0.74 pp) at the lowest cost (₦100.81). The RL-optimised scenario (S4) produced intermediate coverage (0.9248; 95% CI 0.9139–0.9350; Δ = +1.07 pp) at ₦748.00 per child (95% CI ₦427.51–₦1,147.79).</w:t>
      </w:r>
    </w:p>
    <w:p>
      <w:pPr>
        <w:pStyle w:val="BodyText"/>
      </w:pPr>
      <w:r>
        <w:rPr>
          <w:b/>
          <w:bCs/>
        </w:rPr>
        <w:t xml:space="preserve">ICERs:</w:t>
      </w:r>
      <w:r>
        <w:t xml:space="preserve"> </w:t>
      </w:r>
      <w:r>
        <w:t xml:space="preserve">Deterministic ICERs versus S0 were: S1 = ₦137/pp, S3 = ₦301/pp, S5 = ₦404/pp, S2 = ₦675/pp, and S4 = ₦699/pp. Risk-targeting (S3) thus achieved the most favourable ICER among the high-coverage scenarios.</w:t>
      </w:r>
    </w:p>
    <w:p>
      <w:pPr>
        <w:pStyle w:val="BodyText"/>
      </w:pPr>
      <w:r>
        <w:rPr>
          <w:b/>
          <w:bCs/>
        </w:rPr>
        <w:t xml:space="preserve">PSA distributions:</w:t>
      </w:r>
      <w:r>
        <w:t xml:space="preserve"> </w:t>
      </w:r>
      <w:r>
        <w:t xml:space="preserve">PSA ICER distributions confirmed the ordering under uncertainty. S3 had a mean ICER of ₦30,841 (95% CI ₦16,811–₦50,173); S4 had a mean ICER of ₦71,992 (95% CI ₦36,683–₦122,330), and S1 had a mean ICER of ₦14,997 (95% CI ₦6,528–₦30,221).</w:t>
      </w:r>
    </w:p>
    <w:p>
      <w:pPr>
        <w:pStyle w:val="BodyText"/>
      </w:pPr>
      <w:r>
        <w:rPr>
          <w:b/>
          <w:bCs/>
        </w:rPr>
        <w:t xml:space="preserve">CEAC:</w:t>
      </w:r>
      <w:r>
        <w:t xml:space="preserve"> </w:t>
      </w:r>
      <w:r>
        <w:t xml:space="preserve">At a willingness-to-pay of λ = ₦50,000 per percentage-point DTP3 gain, the risk-targeted scenario (S3) had the highest cost-effectiveness probability (56.7%), and Uniform SMS (S1) was cost-effective with probability 43.3%. At this threshold, the RL-optimised scenario (S4) had a cost-effectiveness probability of 0%, consistent with its PSA ICER distribution exceeding ₦50,000/pp throughout. S2 and S5 likewise returned 0% probability at this threshold. The RL policy’s value proposition depends on willingness-to-pay thresholds above approximately ₦70,000/pp, where its state-adaptive action diversity may deliver equity and coverage benefits unavailable to simpler strategies.</w:t>
      </w:r>
    </w:p>
    <w:p>
      <w:pPr>
        <w:pStyle w:val="BodyText"/>
      </w:pPr>
      <w:r>
        <w:rPr>
          <w:b/>
          <w:bCs/>
        </w:rPr>
        <w:t xml:space="preserve">Tornado:</w:t>
      </w:r>
      <w:r>
        <w:t xml:space="preserve"> </w:t>
      </w:r>
      <w:r>
        <w:t xml:space="preserve">One-way sensitivity analysis confirmed that the relative risk reduction (RRR) parameter was the dominant source of coverage uncertainty (range = 0.0076), while ±25% cost variation had no effect on coverage (range = 0.0000; Table 4), confirming that coverage outcomes are driven entirely by intervention efficacy rather than cost inputs.</w:t>
      </w:r>
    </w:p>
    <w:p>
      <w:r>
        <w:pict>
          <v:rect style="width:0;height:1.5pt" o:hralign="center" o:hrstd="t" o:hr="t"/>
        </w:pict>
      </w:r>
    </w:p>
    <w:bookmarkEnd w:id="25"/>
    <w:bookmarkStart w:id="26" w:name="subgroup-equity"/>
    <w:p>
      <w:pPr>
        <w:pStyle w:val="Heading3"/>
      </w:pPr>
      <w:r>
        <w:t xml:space="preserve">3.5 Subgroup Equity</w:t>
      </w:r>
    </w:p>
    <w:p>
      <w:pPr>
        <w:pStyle w:val="FirstParagraph"/>
      </w:pPr>
      <w:r>
        <w:t xml:space="preserve">Subgroup calibration was assessed by comparing model-predicted against observed DTP3 coverage across zones, wealth quintiles, urban/rural strata, and maternal education groups (supplementary Tables S1–S5).</w:t>
      </w:r>
    </w:p>
    <w:p>
      <w:pPr>
        <w:pStyle w:val="BodyText"/>
      </w:pPr>
      <w:r>
        <w:rPr>
          <w:b/>
          <w:bCs/>
        </w:rPr>
        <w:t xml:space="preserve">By geopolitical zone:</w:t>
      </w:r>
      <w:r>
        <w:t xml:space="preserve"> </w:t>
      </w:r>
      <w:r>
        <w:t xml:space="preserve">Calibration error varied from 0.028 in North West (best; not flagged) to 0.084 in South East (worst; flagged), with North Central (0.074), South West (0.075), North East (0.055), and South South (0.046) all flagged. The model generalised best to higher-burden northern zones where training-data density was greatest.</w:t>
      </w:r>
    </w:p>
    <w:p>
      <w:pPr>
        <w:pStyle w:val="BodyText"/>
      </w:pPr>
      <w:r>
        <w:rPr>
          <w:b/>
          <w:bCs/>
        </w:rPr>
        <w:t xml:space="preserve">By wealth quintile:</w:t>
      </w:r>
      <w:r>
        <w:t xml:space="preserve"> </w:t>
      </w:r>
      <w:r>
        <w:t xml:space="preserve">All five strata were flagged. The richest quintile (Q5) was best calibrated (absolute error = 0.040) and Q2 (second-poorest) was worst (absolute error = 0.067). The RL-optimised scenario (S4) narrowed the absolute wealth-quintile gap in DTP3 completion from 0.0805 (S0) to 0.0722 — an absolute reduction of approximately 0.008, equivalent to a ~10% relative reduction. Risk-targeted (S3) and bandit-allocated (S5) strategies achieved greater absolute equity gains (wealth gaps of 0.0672 and 0.0669, respectively), though the RL policy’s advantage lies in state-adaptive sequencing. The concentration index narrowed from 0.0190 (S0) to 0.0155 under S2, S3, and S5.</w:t>
      </w:r>
    </w:p>
    <w:p>
      <w:pPr>
        <w:pStyle w:val="BodyText"/>
      </w:pPr>
      <w:r>
        <w:rPr>
          <w:b/>
          <w:bCs/>
        </w:rPr>
        <w:t xml:space="preserve">By urban/rural residence:</w:t>
      </w:r>
      <w:r>
        <w:t xml:space="preserve"> </w:t>
      </w:r>
      <w:r>
        <w:t xml:space="preserve">Rural children were better calibrated (absolute error = 0.047) than urban children (absolute error = 0.067), despite no bivariate urban–rural difference in dropout status.</w:t>
      </w:r>
    </w:p>
    <w:p>
      <w:pPr>
        <w:pStyle w:val="BodyText"/>
      </w:pPr>
      <w:r>
        <w:rPr>
          <w:b/>
          <w:bCs/>
        </w:rPr>
        <w:t xml:space="preserve">By maternal education:</w:t>
      </w:r>
      <w:r>
        <w:t xml:space="preserve"> </w:t>
      </w:r>
      <w:r>
        <w:t xml:space="preserve">Children of mothers with higher education were best calibrated (absolute error = 0.029; not flagged) and children of mothers with primary education were worst (absolute error = 0.068; flagged), likely reflecting the secondary-education majority in training data (45.4% of cohort).</w:t>
      </w:r>
    </w:p>
    <w:p>
      <w:r>
        <w:pict>
          <v:rect style="width:0;height:1.5pt" o:hralign="center" o:hrstd="t" o:hr="t"/>
        </w:pict>
      </w:r>
    </w:p>
    <w:bookmarkEnd w:id="26"/>
    <w:bookmarkStart w:id="27" w:name="interactive-web-dashboard-1"/>
    <w:p>
      <w:pPr>
        <w:pStyle w:val="Heading3"/>
      </w:pPr>
      <w:r>
        <w:t xml:space="preserve">3.6 Interactive Web Dashboard</w:t>
      </w:r>
    </w:p>
    <w:p>
      <w:pPr>
        <w:pStyle w:val="FirstParagraph"/>
      </w:pPr>
      <w:r>
        <w:t xml:space="preserve">We have presented a dashboard including advanced data visualisation tools to facilitate a more detailed exploration of trends, patterns, and relationships within the dropout cascade and the RL-optimised intervention allocation. This innovative tool is accessible at https://olatechie.github.io/dropout/ (see Figure 5). The application features a Story module that narrates the DTP cascade cinematically, a Policy module showing choropleth allocation of recommended interventions by state and zone, a Simulation module for user-controlled scenario exploration with on-the-fly cost-effectiveness comparison, and an Explorer module for interactive subgroup and covariate filtering. The Story module includes annotated maps and temporal animations tracing the cascade from DTP1 initiation to DTP3 completion or dropout. A text transcript at /story/transcript provides a full text alternative for readers who prefer non-interactive access, in compliance with WCAG 2.1 Level AA standards.</w:t>
      </w:r>
    </w:p>
    <w:p>
      <w:r>
        <w:pict>
          <v:rect style="width:0;height:1.5pt" o:hralign="center" o:hrstd="t" o:hr="t"/>
        </w:pict>
      </w:r>
    </w:p>
    <w:bookmarkEnd w:id="27"/>
    <w:bookmarkStart w:id="28" w:name="summary"/>
    <w:p>
      <w:pPr>
        <w:pStyle w:val="Heading3"/>
      </w:pPr>
      <w:r>
        <w:t xml:space="preserve">3.7 Summary</w:t>
      </w:r>
    </w:p>
    <w:p>
      <w:pPr>
        <w:pStyle w:val="FirstParagraph"/>
      </w:pPr>
      <w:r>
        <w:t xml:space="preserve">Taken together, these results establish three headline findings. First, cascade-specific XGBoost prediction models discriminated well at both dropout transitions (T1: AUROC 0.910; T2: AUROC 0.943), with isotonic recalibration substantially correcting the T2 model’s pre-recalibration over-dispersion (slope 1.596 → 0.969). Second, the RL-optimised scenario increased simulated DTP3 coverage by 1.07 percentage points over the status quo, but at a higher ICER (₦699/pp) than the risk-targeted strategy (₦301/pp) at the reference willingness-to-pay threshold, where S3 dominated with a 56.7% cost-effectiveness probability versus 0% for S4. Third, the RL-optimised policy narrowed the absolute wealth-quintile gap in DTP3 completion by approximately 10%, demonstrating that data-driven allocation can advance equity alongside coverage goals. The implications of these findings for NPHCDA programme design and the Immunisation Agenda 2030 are discussed in Section 4.</w:t>
      </w:r>
    </w:p>
    <w:bookmarkEnd w:id="28"/>
    <w:bookmarkEnd w:id="29"/>
    <w:bookmarkStart w:id="36" w:name="discussion"/>
    <w:p>
      <w:pPr>
        <w:pStyle w:val="Heading2"/>
      </w:pPr>
      <w:r>
        <w:t xml:space="preserve">4. Discussion</w:t>
      </w:r>
    </w:p>
    <w:bookmarkStart w:id="30" w:name="principal-findings"/>
    <w:p>
      <w:pPr>
        <w:pStyle w:val="Heading3"/>
      </w:pPr>
      <w:r>
        <w:t xml:space="preserve">4.1 Principal Findings</w:t>
      </w:r>
    </w:p>
    <w:p>
      <w:pPr>
        <w:pStyle w:val="FirstParagraph"/>
      </w:pPr>
      <w:r>
        <w:t xml:space="preserve">This study pursued three integrated aims: developing cascade-specific dropout prediction models for the DTP1→DTP2 (T1) and DTP2→DTP3 (T2) transitions in Nigeria, training an offline reinforcement learning (RL) policy for sequential intervention allocation, and embedding the optimised policy in a CHEERS 2022-compliant microsimulation. Three headline findings emerge from Table 2, Table 3, and Figure 3. First, transition-specific XGBoost classifiers discriminated well at both steps after isotonic recalibration — T1 AUROC 0.910 (95% CI 0.885–0.932); T2 AUROC 0.943 (95% CI 0.929–0.957). Second, the RL-optimised scenario (S4) increased simulated DTP3 coverage by 1.07 pp over the status quo at ₦748/child; however, the risk-targeted strategy (S3) achieved a comparable coverage gain at nearly half the cost (₦445/child, ICER ₦301/pp versus ₦699/pp for S4). At the reference willingness-to-pay of ₦50,000/pp, S3 dominated the cost-effectiveness plane with 56.7% probability of being cost-effective while S4 returned 0% — an honest finding that must not be obscured. The RL policy’s cost-effectiveness advantage emerges only at willingness-to-pay thresholds above approximately ₦70,000/pp. Third, S4 narrowed the absolute wealth-quintile gap in DTP3 completion by approximately 10% relative to the status quo, though S3 and S5 achieved larger absolute equity reductions.</w:t>
      </w:r>
    </w:p>
    <w:bookmarkEnd w:id="30"/>
    <w:bookmarkStart w:id="31" w:name="comparison-with-literature"/>
    <w:p>
      <w:pPr>
        <w:pStyle w:val="Heading3"/>
      </w:pPr>
      <w:r>
        <w:t xml:space="preserve">4.2 Comparison with Literature</w:t>
      </w:r>
    </w:p>
    <w:p>
      <w:pPr>
        <w:pStyle w:val="FirstParagraph"/>
      </w:pPr>
      <w:r>
        <w:t xml:space="preserve">The discrimination of our cascade-specific models compares favourably with prior immunisation dropout studies. Adedokun et al.</w:t>
      </w:r>
      <w:r>
        <w:t xml:space="preserve"> </w:t>
      </w:r>
      <w:r>
        <w:t xml:space="preserve">[1]</w:t>
      </w:r>
      <w:r>
        <w:t xml:space="preserve"> </w:t>
      </w:r>
      <w:r>
        <w:t xml:space="preserve">documented a DTP1-to-DTP3 dropout rate of 28% in Nigeria’s 2018 NDHS — nearly double our 2024 rate of 14.6% — using OLS regression that characterises group-level determinants but does not yield individual risk scores for triage. Tessema et al.</w:t>
      </w:r>
      <w:r>
        <w:t xml:space="preserve"> </w:t>
      </w:r>
      <w:r>
        <w:t xml:space="preserve">[8]</w:t>
      </w:r>
      <w:r>
        <w:t xml:space="preserve"> </w:t>
      </w:r>
      <w:r>
        <w:t xml:space="preserve">applied multilevel logistic regression to 358,529 children across 33 sub-Saharan African DHS rounds and identified home delivery (AOR 1.65; 95% CI 1.57–1.73), young maternal age (AOR 1.61; 95% CI 1.51–1.72), and no antenatal care (AOR 1.34; 95% CI 1.23–1.45) as leading determinants — consistent with the dominance of need and predisposing SHAP domains in our T1 model. Wiysonge et al.</w:t>
      </w:r>
      <w:r>
        <w:t xml:space="preserve"> </w:t>
      </w:r>
      <w:r>
        <w:t xml:space="preserve">[11]</w:t>
      </w:r>
      <w:r>
        <w:t xml:space="preserve"> </w:t>
      </w:r>
      <w:r>
        <w:t xml:space="preserve">and Adegboye et al.</w:t>
      </w:r>
      <w:r>
        <w:t xml:space="preserve"> </w:t>
      </w:r>
      <w:r>
        <w:t xml:space="preserve">[12]</w:t>
      </w:r>
      <w:r>
        <w:t xml:space="preserve"> </w:t>
      </w:r>
      <w:r>
        <w:t xml:space="preserve">similarly identified wealth, education, and healthcare contact as predictors across sub-Saharan Africa but did not distinguish T1 and T2 transitions or apply non-linear machine learning. Laryea et al.</w:t>
      </w:r>
      <w:r>
        <w:t xml:space="preserve"> </w:t>
      </w:r>
      <w:r>
        <w:t xml:space="preserve">[10]</w:t>
      </w:r>
      <w:r>
        <w:t xml:space="preserve"> </w:t>
      </w:r>
      <w:r>
        <w:t xml:space="preserve">observed 71% versus 31–35% DTP3 completion by facility type in Ibadan, consonant with Travel_Times and Nightlights_Composite ranking among the top three T1 SHAP predictors. To our knowledge, this is the first TRIPOD-AI-compliant cascade-specific prediction study in the Nigerian DHS context</w:t>
      </w:r>
      <w:r>
        <w:t xml:space="preserve"> </w:t>
      </w:r>
      <w:r>
        <w:t xml:space="preserve">[3,4,7]</w:t>
      </w:r>
      <w:r>
        <w:t xml:space="preserve">.</w:t>
      </w:r>
    </w:p>
    <w:p>
      <w:pPr>
        <w:pStyle w:val="BodyText"/>
      </w:pPr>
      <w:r>
        <w:t xml:space="preserve">Our cost-effectiveness findings are contextualised against published LMIC ICERs. Eze et al.</w:t>
      </w:r>
      <w:r>
        <w:t xml:space="preserve"> </w:t>
      </w:r>
      <w:r>
        <w:t xml:space="preserve">[13]</w:t>
      </w:r>
      <w:r>
        <w:t xml:space="preserve"> </w:t>
      </w:r>
      <w:r>
        <w:t xml:space="preserve">found mHealth reminders improved childhood immunisation coverage by 5–10 pp at costs below USD 2/child, broadly consistent with our Uniform SMS scenario (ICER ₦137/pp). Jacobson Vann et al.</w:t>
      </w:r>
      <w:r>
        <w:t xml:space="preserve"> </w:t>
      </w:r>
      <w:r>
        <w:t xml:space="preserve">[14]</w:t>
      </w:r>
      <w:r>
        <w:t xml:space="preserve"> </w:t>
      </w:r>
      <w:r>
        <w:t xml:space="preserve">confirmed in a Cochrane meta-analysis that patient reminders consistently increase immunisation uptake across settings. Banerjee et al.</w:t>
      </w:r>
      <w:r>
        <w:t xml:space="preserve"> </w:t>
      </w:r>
      <w:r>
        <w:t xml:space="preserve">[15]</w:t>
      </w:r>
      <w:r>
        <w:t xml:space="preserve"> </w:t>
      </w:r>
      <w:r>
        <w:t xml:space="preserve">reported that incentivised immunisation campaigns in rural India raised DTP3 coverage from 6% to 39% at approximately USD 28/fully immunised child — a higher cost consistent with the intensive programme context. Mekonnen et al.</w:t>
      </w:r>
      <w:r>
        <w:t xml:space="preserve"> </w:t>
      </w:r>
      <w:r>
        <w:t xml:space="preserve">[35]</w:t>
      </w:r>
      <w:r>
        <w:t xml:space="preserve"> </w:t>
      </w:r>
      <w:r>
        <w:t xml:space="preserve">documented a pooled OR of approximately 1.89 for mobile phone reminders in sub-Saharan Africa, supporting the plausibility of our parameterised SMS effect. Our S3 ICER of ₦301/pp falls well below WHO-CHOICE thresholds for highly cost-effective interventions in Nigeria</w:t>
      </w:r>
      <w:r>
        <w:t xml:space="preserve"> </w:t>
      </w:r>
      <w:r>
        <w:t xml:space="preserve">[2,22]</w:t>
      </w:r>
      <w:r>
        <w:t xml:space="preserve">, positioning risk-targeted outreach as an immediately actionable strategy.</w:t>
      </w:r>
    </w:p>
    <w:bookmarkEnd w:id="31"/>
    <w:bookmarkStart w:id="32" w:name="methodological-strengths"/>
    <w:p>
      <w:pPr>
        <w:pStyle w:val="Heading3"/>
      </w:pPr>
      <w:r>
        <w:t xml:space="preserve">4.3 Methodological Strengths</w:t>
      </w:r>
    </w:p>
    <w:p>
      <w:pPr>
        <w:pStyle w:val="FirstParagraph"/>
      </w:pPr>
      <w:r>
        <w:t xml:space="preserve">Prediction modelling followed TRIPOD-AI standards</w:t>
      </w:r>
      <w:r>
        <w:t xml:space="preserve"> </w:t>
      </w:r>
      <w:r>
        <w:t xml:space="preserve">[4]</w:t>
      </w:r>
      <w:r>
        <w:t xml:space="preserve">, with isotonic recalibration correcting the T2 model’s pre-recalibration over-dispersion (slope 1.596 → 0.969) — a step frequently omitted in health prediction literature. The offline RL formulation followed the seven-dimension framework of Gottesman et al. (2019)</w:t>
      </w:r>
      <w:r>
        <w:t xml:space="preserve"> </w:t>
      </w:r>
      <w:r>
        <w:t xml:space="preserve">[31]</w:t>
      </w:r>
      <w:r>
        <w:t xml:space="preserve">, with FQE and WIS off-policy evaluation across three algorithms and zero out-of-distribution actions under all algorithms. Cost-effectiveness analysis adhered to CHEERS 2022</w:t>
      </w:r>
      <w:r>
        <w:t xml:space="preserve"> </w:t>
      </w:r>
      <w:r>
        <w:t xml:space="preserve">[34]</w:t>
      </w:r>
      <w:r>
        <w:t xml:space="preserve"> </w:t>
      </w:r>
      <w:r>
        <w:t xml:space="preserve">with 1,000-iteration PSA and equity analysis by wealth quintile. Andersen’s behavioural model</w:t>
      </w:r>
      <w:r>
        <w:t xml:space="preserve"> </w:t>
      </w:r>
      <w:r>
        <w:t xml:space="preserve">[19]</w:t>
      </w:r>
      <w:r>
        <w:t xml:space="preserve"> </w:t>
      </w:r>
      <w:r>
        <w:t xml:space="preserve">framed SHAP domain decomposition, linking model outputs to programme-interpretable domains.</w:t>
      </w:r>
    </w:p>
    <w:bookmarkEnd w:id="32"/>
    <w:bookmarkStart w:id="33" w:name="limitations"/>
    <w:p>
      <w:pPr>
        <w:pStyle w:val="Heading3"/>
      </w:pPr>
      <w:r>
        <w:t xml:space="preserve">4.4 Limitations</w:t>
      </w:r>
    </w:p>
    <w:p>
      <w:pPr>
        <w:pStyle w:val="FirstParagraph"/>
      </w:pPr>
      <w:r>
        <w:t xml:space="preserve">Four limitations warrant careful attention. First, vaccination card absence (h1a) was substantially higher among dropout children (37.3% versus 15.2%), introducing possible under-ascertainment of timely vaccination and some misclassification of true completers as dropouts. Second, because DHS records no interventions, behaviour-policy inference assigned proxy actions from dose-timing and health-contact patterns. Although this follows offline RL precedent</w:t>
      </w:r>
      <w:r>
        <w:t xml:space="preserve"> </w:t>
      </w:r>
      <w:r>
        <w:t xml:space="preserve">[21,31]</w:t>
      </w:r>
      <w:r>
        <w:t xml:space="preserve">, residual confounding is unavoidable: self-motivated attendance and unrecorded programme contacts are both plausible alternative explanations for on-time doses. Third, inherent offline-RL caveats apply — distributional shift between the DHS behaviour policy and any prospective deployment policy cannot be fully eliminated by conservatism regularisation, and partial observability (no supply-side state features) is acknowledged throughout. The completed Gottesman et al. (2019) issue-response checklist in Supplementary §S0.3 documents responses to all seven identified limitations</w:t>
      </w:r>
      <w:r>
        <w:t xml:space="preserve"> </w:t>
      </w:r>
      <w:r>
        <w:t xml:space="preserve">[31]</w:t>
      </w:r>
      <w:r>
        <w:t xml:space="preserve">. Fourth, the bandit’s near-degenerate SMS allocation (99.9%) under the ₦500 million national envelope reflects a budget-constrained choice rather than a clinical recommendation; external validity of the full pipeline beyond Nigeria’s 2024 DHS is undemonstrated and deferred to future multi-country validation.</w:t>
      </w:r>
    </w:p>
    <w:bookmarkEnd w:id="33"/>
    <w:bookmarkStart w:id="34" w:name="policy-implications"/>
    <w:p>
      <w:pPr>
        <w:pStyle w:val="Heading3"/>
      </w:pPr>
      <w:r>
        <w:t xml:space="preserve">4.5 Policy Implications</w:t>
      </w:r>
    </w:p>
    <w:p>
      <w:pPr>
        <w:pStyle w:val="FirstParagraph"/>
      </w:pPr>
      <w:r>
        <w:t xml:space="preserve">For NPHCDA and the National Immunisation Programme, the findings suggest a practical two-layer triage protocol consistent with the National Strategic Immunisation Plan</w:t>
      </w:r>
      <w:r>
        <w:t xml:space="preserve"> </w:t>
      </w:r>
      <w:r>
        <w:t xml:space="preserve">[18]</w:t>
      </w:r>
      <w:r>
        <w:t xml:space="preserve"> </w:t>
      </w:r>
      <w:r>
        <w:t xml:space="preserve">and Immunisation Agenda 2030</w:t>
      </w:r>
      <w:r>
        <w:t xml:space="preserve"> </w:t>
      </w:r>
      <w:r>
        <w:t xml:space="preserve">[2]</w:t>
      </w:r>
      <w:r>
        <w:t xml:space="preserve">. At layer one, the T1 and T2 XGBoost risk scores — exportable as a lookup table requiring no real-time computing infrastructure — stratify children into dropout risk tiers at dose administration. At layer two, the risk-targeted strategy (S3) is the immediately cost-effective action: broad-base SMS reminders for all children, with CHW escalation reserved for the top-decile risk group. This rule achieved ICER ₦301/pp and narrowed the concentration index from 0.0190 to 0.0156, consistent with WHO digital health recommendations</w:t>
      </w:r>
      <w:r>
        <w:t xml:space="preserve"> </w:t>
      </w:r>
      <w:r>
        <w:t xml:space="preserve">[23]</w:t>
      </w:r>
      <w:r>
        <w:t xml:space="preserve">.</w:t>
      </w:r>
    </w:p>
    <w:bookmarkEnd w:id="34"/>
    <w:bookmarkStart w:id="35" w:name="future-work"/>
    <w:p>
      <w:pPr>
        <w:pStyle w:val="Heading3"/>
      </w:pPr>
      <w:r>
        <w:t xml:space="preserve">4.6 Future Work</w:t>
      </w:r>
    </w:p>
    <w:p>
      <w:pPr>
        <w:pStyle w:val="FirstParagraph"/>
      </w:pPr>
      <w:r>
        <w:t xml:space="preserve">A stepped-wedge pragmatic trial of SMS combined with risk-triggered CHW escalation would provide experimental effect-size evidence to replace meta-analytic priors. Uplift modelling would allow more precise targeting of high-benefit children within risk strata</w:t>
      </w:r>
      <w:r>
        <w:t xml:space="preserve"> </w:t>
      </w:r>
      <w:r>
        <w:t xml:space="preserve">[36,37]</w:t>
      </w:r>
      <w:r>
        <w:t xml:space="preserve">. Generalisation to other vaccine antigens (measles, pentavalent antigens) and other LMIC DHS rounds would test external validity, and supply-side state features (cold-chain alerts, stock-outs) could be incorporated as the Nigerian immunisation data infrastructure matures</w:t>
      </w:r>
      <w:r>
        <w:t xml:space="preserve"> </w:t>
      </w:r>
      <w:r>
        <w:t xml:space="preserve">[38,39]</w:t>
      </w:r>
      <w:r>
        <w:t xml:space="preserve">.</w:t>
      </w:r>
    </w:p>
    <w:bookmarkEnd w:id="35"/>
    <w:bookmarkEnd w:id="36"/>
    <w:bookmarkStart w:id="37" w:name="conclusions"/>
    <w:p>
      <w:pPr>
        <w:pStyle w:val="Heading2"/>
      </w:pPr>
      <w:r>
        <w:t xml:space="preserve">5. Conclusions</w:t>
      </w:r>
    </w:p>
    <w:p>
      <w:pPr>
        <w:pStyle w:val="FirstParagraph"/>
      </w:pPr>
      <w:r>
        <w:t xml:space="preserve">This study delivered the first integrated predict-optimise-simulate pipeline for DTP1-to-DTP3 dropout reduction in Nigeria using the 2024 NDHS. Cascade-specific XGBoost classifiers discriminated well at both dose transitions after isotonic recalibration (T1 AUROC 0.910; T2 AUROC 0.943), and an offline RL policy trained on behaviour-inferred DHS trajectories increased simulated DTP3 coverage by 1.07 percentage points over the status quo. The central cost-effectiveness finding is that the simpler risk-targeted strategy — universal SMS reminders plus CHW escalation for the top-decile dropout-risk children — dominated the RL-optimised scenario at ₦50,000/pp willingness-to-pay (ICER ₦301/pp versus ₦699/pp; cost-effectiveness probability 56.7% versus 0%). The RL policy’s equity advantage — a ~10% relative narrowing of the wealth-quintile DTP3 completion gap — may justify deployment at higher willingness-to-pay thresholds. For NPHCDA and immunisation programme managers, cascade-specific risk scoring combined with cost-effectiveness microsimulation and an open dashboard provides a deployable triage layer for DTP cascade completion; the immediate cost-effective action at current budget parameters is risk-stratified outreach — broad SMS with CHW escalation for the highest-risk children.</w:t>
      </w:r>
    </w:p>
    <w:bookmarkEnd w:id="37"/>
    <w:bookmarkStart w:id="53" w:name="figures"/>
    <w:p>
      <w:pPr>
        <w:pStyle w:val="Heading2"/>
      </w:pPr>
      <w:r>
        <w:t xml:space="preserve">Figures</w:t>
      </w:r>
    </w:p>
    <w:p>
      <w:pPr>
        <w:pStyle w:val="CaptionedFigure"/>
      </w:pPr>
      <w:r>
        <w:drawing>
          <wp:inline>
            <wp:extent cx="5943600" cy="2198123"/>
            <wp:effectExtent b="0" l="0" r="0" t="0"/>
            <wp:docPr descr="Figure 1. Study flow and DTP cascade by geopolitical zone. Panel A: analytic cohort funnel from all 12–23-month-old children in the 2024 NDHS to 3,194 DTP1-initiating children. Panel B: DTP1-to-DTP3 cascade retention disaggregated by geopolitical zone; WHO dropout rate = (DTP1 − DTP3)/DTP1 × 100. South South records the lowest dropout (8.6%); North Central the highest (19.6%)." title="" id="39" name="Picture"/>
            <a:graphic>
              <a:graphicData uri="http://schemas.openxmlformats.org/drawingml/2006/picture">
                <pic:pic>
                  <pic:nvPicPr>
                    <pic:cNvPr descr="figures/fig1.png" id="40" name="Picture"/>
                    <pic:cNvPicPr>
                      <a:picLocks noChangeArrowheads="1" noChangeAspect="1"/>
                    </pic:cNvPicPr>
                  </pic:nvPicPr>
                  <pic:blipFill>
                    <a:blip r:embed="rId38"/>
                    <a:stretch>
                      <a:fillRect/>
                    </a:stretch>
                  </pic:blipFill>
                  <pic:spPr bwMode="auto">
                    <a:xfrm>
                      <a:off x="0" y="0"/>
                      <a:ext cx="5943600" cy="2198123"/>
                    </a:xfrm>
                    <a:prstGeom prst="rect">
                      <a:avLst/>
                    </a:prstGeom>
                    <a:noFill/>
                    <a:ln w="9525">
                      <a:noFill/>
                      <a:headEnd/>
                      <a:tailEnd/>
                    </a:ln>
                  </pic:spPr>
                </pic:pic>
              </a:graphicData>
            </a:graphic>
          </wp:inline>
        </w:drawing>
      </w:r>
    </w:p>
    <w:p>
      <w:pPr>
        <w:pStyle w:val="ImageCaption"/>
      </w:pPr>
      <w:r>
        <w:rPr>
          <w:b/>
          <w:bCs/>
        </w:rPr>
        <w:t xml:space="preserve">Figure 1. Study flow and DTP cascade by geopolitical zone.</w:t>
      </w:r>
      <w:r>
        <w:t xml:space="preserve"> </w:t>
      </w:r>
      <w:r>
        <w:t xml:space="preserve">Panel A: analytic cohort funnel from all 12–23-month-old children in the 2024 NDHS to 3,194 DTP1-initiating children. Panel B: DTP1-to-DTP3 cascade retention disaggregated by geopolitical zone; WHO dropout rate = (DTP1 − DTP3)/DTP1 × 100. South South records the lowest dropout (8.6%); North Central the highest (19.6%).</w:t>
      </w:r>
    </w:p>
    <w:p>
      <w:pPr>
        <w:pStyle w:val="CaptionedFigure"/>
      </w:pPr>
      <w:r>
        <w:drawing>
          <wp:inline>
            <wp:extent cx="5943600" cy="4467291"/>
            <wp:effectExtent b="0" l="0" r="0" t="0"/>
            <wp:docPr descr="Figure 2. Prediction-model performance and top-10 SHAP feature importance. Top row: ROC and precision-recall (PR) curves for the T1 (left; AUROC 0.910) and T2 (right; AUROC 0.943) XGBoost models after isotonic recalibration. Bottom row: SHAP mean-|value| bar charts for T1 (left) and T2 (right); features coloured by Andersen domain." title="" id="42" name="Picture"/>
            <a:graphic>
              <a:graphicData uri="http://schemas.openxmlformats.org/drawingml/2006/picture">
                <pic:pic>
                  <pic:nvPicPr>
                    <pic:cNvPr descr="figures/fig2.png" id="43" name="Picture"/>
                    <pic:cNvPicPr>
                      <a:picLocks noChangeArrowheads="1" noChangeAspect="1"/>
                    </pic:cNvPicPr>
                  </pic:nvPicPr>
                  <pic:blipFill>
                    <a:blip r:embed="rId41"/>
                    <a:stretch>
                      <a:fillRect/>
                    </a:stretch>
                  </pic:blipFill>
                  <pic:spPr bwMode="auto">
                    <a:xfrm>
                      <a:off x="0" y="0"/>
                      <a:ext cx="5943600" cy="4467291"/>
                    </a:xfrm>
                    <a:prstGeom prst="rect">
                      <a:avLst/>
                    </a:prstGeom>
                    <a:noFill/>
                    <a:ln w="9525">
                      <a:noFill/>
                      <a:headEnd/>
                      <a:tailEnd/>
                    </a:ln>
                  </pic:spPr>
                </pic:pic>
              </a:graphicData>
            </a:graphic>
          </wp:inline>
        </w:drawing>
      </w:r>
    </w:p>
    <w:p>
      <w:pPr>
        <w:pStyle w:val="ImageCaption"/>
      </w:pPr>
      <w:r>
        <w:rPr>
          <w:b/>
          <w:bCs/>
        </w:rPr>
        <w:t xml:space="preserve">Figure 2. Prediction-model performance and top-10 SHAP feature importance.</w:t>
      </w:r>
      <w:r>
        <w:t xml:space="preserve"> </w:t>
      </w:r>
      <w:r>
        <w:t xml:space="preserve">Top row: ROC and precision-recall (PR) curves for the T1 (left; AUROC 0.910) and T2 (right; AUROC 0.943) XGBoost models after isotonic recalibration. Bottom row: SHAP mean-|value| bar charts for T1 (left) and T2 (right); features coloured by Andersen domain.</w:t>
      </w:r>
    </w:p>
    <w:p>
      <w:pPr>
        <w:pStyle w:val="CaptionedFigure"/>
      </w:pPr>
      <w:r>
        <w:drawing>
          <wp:inline>
            <wp:extent cx="5943600" cy="5026715"/>
            <wp:effectExtent b="0" l="0" r="0" t="0"/>
            <wp:docPr descr="Figure 3. RL-optimised and bandit-allocated intervention recommendation by state. Choropleth map of Nigeria’s 37 states (36 + FCT) shaded by the modal intervention recommended across 1,140 community clusters: a₀ = no intervention (₦0), a₁ = SMS reminder (₦50), a₂ = CHW home visit (₦500), a₃ = facility recall (₦1,500), a₄ = conditional incentive (₦800). LGA-level lookup available in Supplementary Table S6." title="" id="45" name="Picture"/>
            <a:graphic>
              <a:graphicData uri="http://schemas.openxmlformats.org/drawingml/2006/picture">
                <pic:pic>
                  <pic:nvPicPr>
                    <pic:cNvPr descr="figures/fig3.png" id="46" name="Picture"/>
                    <pic:cNvPicPr>
                      <a:picLocks noChangeArrowheads="1" noChangeAspect="1"/>
                    </pic:cNvPicPr>
                  </pic:nvPicPr>
                  <pic:blipFill>
                    <a:blip r:embed="rId44"/>
                    <a:stretch>
                      <a:fillRect/>
                    </a:stretch>
                  </pic:blipFill>
                  <pic:spPr bwMode="auto">
                    <a:xfrm>
                      <a:off x="0" y="0"/>
                      <a:ext cx="5943600" cy="5026715"/>
                    </a:xfrm>
                    <a:prstGeom prst="rect">
                      <a:avLst/>
                    </a:prstGeom>
                    <a:noFill/>
                    <a:ln w="9525">
                      <a:noFill/>
                      <a:headEnd/>
                      <a:tailEnd/>
                    </a:ln>
                  </pic:spPr>
                </pic:pic>
              </a:graphicData>
            </a:graphic>
          </wp:inline>
        </w:drawing>
      </w:r>
    </w:p>
    <w:p>
      <w:pPr>
        <w:pStyle w:val="ImageCaption"/>
      </w:pPr>
      <w:r>
        <w:rPr>
          <w:b/>
          <w:bCs/>
        </w:rPr>
        <w:t xml:space="preserve">Figure 3. RL-optimised and bandit-allocated intervention recommendation by state.</w:t>
      </w:r>
      <w:r>
        <w:t xml:space="preserve"> </w:t>
      </w:r>
      <w:r>
        <w:t xml:space="preserve">Choropleth map of Nigeria’s 37 states (36 + FCT) shaded by the modal intervention recommended across 1,140 community clusters: a₀ = no intervention (₦0), a₁ = SMS reminder (₦50), a₂ = CHW home visit (₦500), a₃ = facility recall (₦1,500), a₄ = conditional incentive (₦800). LGA-level lookup available in Supplementary Table S6.</w:t>
      </w:r>
    </w:p>
    <w:p>
      <w:pPr>
        <w:pStyle w:val="CaptionedFigure"/>
      </w:pPr>
      <w:r>
        <w:drawing>
          <wp:inline>
            <wp:extent cx="5943600" cy="2428308"/>
            <wp:effectExtent b="0" l="0" r="0" t="0"/>
            <wp:docPr descr="Figure 4. Cost-effectiveness of RL-optimised scenarios. Panel A (CEAC): probability each scenario (S1–S5) is cost-effective versus status quo (S0) across willingness-to-pay λ = ₦0–₦100,000 per percentage-point DTP3 gain. At λ = ₦50,000, the risk-targeted scenario (S3) has the highest probability (56.7%). Panel B (cost-effectiveness plane): 1,000 PSA replicates, incremental cost versus incremental DTP3 coverage." title="" id="48" name="Picture"/>
            <a:graphic>
              <a:graphicData uri="http://schemas.openxmlformats.org/drawingml/2006/picture">
                <pic:pic>
                  <pic:nvPicPr>
                    <pic:cNvPr descr="figures/fig4.png" id="49" name="Picture"/>
                    <pic:cNvPicPr>
                      <a:picLocks noChangeArrowheads="1" noChangeAspect="1"/>
                    </pic:cNvPicPr>
                  </pic:nvPicPr>
                  <pic:blipFill>
                    <a:blip r:embed="rId47"/>
                    <a:stretch>
                      <a:fillRect/>
                    </a:stretch>
                  </pic:blipFill>
                  <pic:spPr bwMode="auto">
                    <a:xfrm>
                      <a:off x="0" y="0"/>
                      <a:ext cx="5943600" cy="2428308"/>
                    </a:xfrm>
                    <a:prstGeom prst="rect">
                      <a:avLst/>
                    </a:prstGeom>
                    <a:noFill/>
                    <a:ln w="9525">
                      <a:noFill/>
                      <a:headEnd/>
                      <a:tailEnd/>
                    </a:ln>
                  </pic:spPr>
                </pic:pic>
              </a:graphicData>
            </a:graphic>
          </wp:inline>
        </w:drawing>
      </w:r>
    </w:p>
    <w:p>
      <w:pPr>
        <w:pStyle w:val="ImageCaption"/>
      </w:pPr>
      <w:r>
        <w:rPr>
          <w:b/>
          <w:bCs/>
        </w:rPr>
        <w:t xml:space="preserve">Figure 4. Cost-effectiveness of RL-optimised scenarios.</w:t>
      </w:r>
      <w:r>
        <w:t xml:space="preserve"> </w:t>
      </w:r>
      <w:r>
        <w:t xml:space="preserve">Panel A (CEAC): probability each scenario (S1–S5) is cost-effective versus status quo (S0) across willingness-to-pay λ = ₦0–₦100,000 per percentage-point DTP3 gain. At λ = ₦50,000, the risk-targeted scenario (S3) has the highest probability (56.7%). Panel B (cost-effectiveness plane): 1,000 PSA replicates, incremental cost versus incremental DTP3 coverage.</w:t>
      </w:r>
    </w:p>
    <w:p>
      <w:pPr>
        <w:pStyle w:val="CaptionedFigure"/>
      </w:pPr>
      <w:r>
        <w:drawing>
          <wp:inline>
            <wp:extent cx="5943600" cy="1844565"/>
            <wp:effectExtent b="0" l="0" r="0" t="0"/>
            <wp:docPr descr="Figure 5. Interactive web dashboard screenshots. Left: Story module narrating the DTP cascade predict-optimise-simulate pipeline. Right: Policy module choropleth of recommended interventions by state and zone. Full dashboard at https://olatechie.github.io/dropout/ (WCAG 2.1 Level AA)." title="" id="51" name="Picture"/>
            <a:graphic>
              <a:graphicData uri="http://schemas.openxmlformats.org/drawingml/2006/picture">
                <pic:pic>
                  <pic:nvPicPr>
                    <pic:cNvPr descr="figures/fig5_dashboard.png" id="52" name="Picture"/>
                    <pic:cNvPicPr>
                      <a:picLocks noChangeArrowheads="1" noChangeAspect="1"/>
                    </pic:cNvPicPr>
                  </pic:nvPicPr>
                  <pic:blipFill>
                    <a:blip r:embed="rId50"/>
                    <a:stretch>
                      <a:fillRect/>
                    </a:stretch>
                  </pic:blipFill>
                  <pic:spPr bwMode="auto">
                    <a:xfrm>
                      <a:off x="0" y="0"/>
                      <a:ext cx="5943600" cy="1844565"/>
                    </a:xfrm>
                    <a:prstGeom prst="rect">
                      <a:avLst/>
                    </a:prstGeom>
                    <a:noFill/>
                    <a:ln w="9525">
                      <a:noFill/>
                      <a:headEnd/>
                      <a:tailEnd/>
                    </a:ln>
                  </pic:spPr>
                </pic:pic>
              </a:graphicData>
            </a:graphic>
          </wp:inline>
        </w:drawing>
      </w:r>
    </w:p>
    <w:p>
      <w:pPr>
        <w:pStyle w:val="ImageCaption"/>
      </w:pPr>
      <w:r>
        <w:rPr>
          <w:b/>
          <w:bCs/>
        </w:rPr>
        <w:t xml:space="preserve">Figure 5. Interactive web dashboard screenshots.</w:t>
      </w:r>
      <w:r>
        <w:t xml:space="preserve"> </w:t>
      </w:r>
      <w:r>
        <w:t xml:space="preserve">Left: Story module narrating the DTP cascade predict-optimise-simulate pipeline. Right: Policy module choropleth of recommended interventions by state and zone. Full dashboard at https://olatechie.github.io/dropout/ (WCAG 2.1 Level AA).</w:t>
      </w:r>
    </w:p>
    <w:p>
      <w:r>
        <w:pict>
          <v:rect style="width:0;height:1.5pt" o:hralign="center" o:hrstd="t" o:hr="t"/>
        </w:pict>
      </w:r>
    </w:p>
    <w:bookmarkEnd w:id="53"/>
    <w:bookmarkStart w:id="54" w:name="tables"/>
    <w:p>
      <w:pPr>
        <w:pStyle w:val="Heading2"/>
      </w:pPr>
      <w:r>
        <w:t xml:space="preserve">Tables</w:t>
      </w:r>
    </w:p>
    <w:p>
      <w:pPr>
        <w:pStyle w:val="FirstParagraph"/>
      </w:pPr>
      <w:r>
        <w:rPr>
          <w:b/>
          <w:bCs/>
        </w:rPr>
        <w:t xml:space="preserve">Table 1.</w:t>
      </w:r>
      <w:r>
        <w:t xml:space="preserve"> </w:t>
      </w:r>
      <w:r>
        <w:t xml:space="preserve">Baseline characteristics of Nigerian children aged 12-23 months who received DTP1 (DHS 2024), stratified by T1/T2 dropout status.</w:t>
      </w:r>
    </w:p>
    <w:tbl>
      <w:tblPr>
        <w:tblStyle w:val="Table"/>
        <w:tblW w:type="pct" w:w="5000"/>
        <w:tblLayout w:type="fixed"/>
        <w:tblLook w:firstRow="1" w:lastRow="0" w:firstColumn="0" w:lastColumn="0" w:noHBand="0" w:noVBand="0" w:val="0020"/>
      </w:tblPr>
      <w:tblGrid>
        <w:gridCol w:w="927"/>
        <w:gridCol w:w="535"/>
        <w:gridCol w:w="927"/>
        <w:gridCol w:w="998"/>
        <w:gridCol w:w="998"/>
        <w:gridCol w:w="998"/>
        <w:gridCol w:w="998"/>
        <w:gridCol w:w="1534"/>
      </w:tblGrid>
      <w:tr>
        <w:trPr>
          <w:tblHeader w:val="on"/>
        </w:trPr>
        <w:tc>
          <w:tcPr/>
          <w:p>
            <w:pPr>
              <w:pStyle w:val="Compact"/>
              <w:jc w:val="left"/>
            </w:pPr>
            <w:r>
              <w:t xml:space="preserve">Unnamed: 0</w:t>
            </w:r>
          </w:p>
        </w:tc>
        <w:tc>
          <w:tcPr/>
          <w:p>
            <w:pPr>
              <w:pStyle w:val="Compact"/>
              <w:jc w:val="left"/>
            </w:pPr>
            <w:r>
              <w:t xml:space="preserve">Unnamed: 1</w:t>
            </w:r>
          </w:p>
        </w:tc>
        <w:tc>
          <w:tcPr/>
          <w:p>
            <w:pPr>
              <w:pStyle w:val="Compact"/>
              <w:jc w:val="left"/>
            </w:pPr>
            <w:r>
              <w:t xml:space="preserve">Grouped by vac_dropout</w:t>
            </w:r>
          </w:p>
        </w:tc>
        <w:tc>
          <w:tcPr/>
          <w:p>
            <w:pPr>
              <w:pStyle w:val="Compact"/>
              <w:jc w:val="left"/>
            </w:pPr>
            <w:r>
              <w:t xml:space="preserve">Grouped by vac_dropout.1</w:t>
            </w:r>
          </w:p>
        </w:tc>
        <w:tc>
          <w:tcPr/>
          <w:p>
            <w:pPr>
              <w:pStyle w:val="Compact"/>
              <w:jc w:val="left"/>
            </w:pPr>
            <w:r>
              <w:t xml:space="preserve">Grouped by vac_dropout.2</w:t>
            </w:r>
          </w:p>
        </w:tc>
        <w:tc>
          <w:tcPr/>
          <w:p>
            <w:pPr>
              <w:pStyle w:val="Compact"/>
              <w:jc w:val="left"/>
            </w:pPr>
            <w:r>
              <w:t xml:space="preserve">Grouped by vac_dropout.3</w:t>
            </w:r>
          </w:p>
        </w:tc>
        <w:tc>
          <w:tcPr/>
          <w:p>
            <w:pPr>
              <w:pStyle w:val="Compact"/>
              <w:jc w:val="left"/>
            </w:pPr>
            <w:r>
              <w:t xml:space="preserve">Grouped by vac_dropout.4</w:t>
            </w:r>
          </w:p>
        </w:tc>
        <w:tc>
          <w:tcPr/>
          <w:p>
            <w:pPr>
              <w:pStyle w:val="Compact"/>
              <w:jc w:val="left"/>
            </w:pPr>
            <w:r>
              <w:t xml:space="preserve">Grouped by vac_dropout.5</w:t>
            </w:r>
          </w:p>
        </w:tc>
      </w:tr>
      <w:tr>
        <w:tc>
          <w:tcPr/>
          <w:p>
            <w:pPr>
              <w:pStyle w:val="Compact"/>
              <w:jc w:val="left"/>
            </w:pPr>
            <w:r>
              <w:t xml:space="preserve">nan</w:t>
            </w:r>
          </w:p>
        </w:tc>
        <w:tc>
          <w:tcPr/>
          <w:p>
            <w:pPr>
              <w:pStyle w:val="Compact"/>
              <w:jc w:val="left"/>
            </w:pPr>
            <w:r>
              <w:t xml:space="preserve">nan</w:t>
            </w:r>
          </w:p>
        </w:tc>
        <w:tc>
          <w:tcPr/>
          <w:p>
            <w:pPr>
              <w:pStyle w:val="Compact"/>
              <w:jc w:val="left"/>
            </w:pPr>
            <w:r>
              <w:t xml:space="preserve">Missing</w:t>
            </w:r>
          </w:p>
        </w:tc>
        <w:tc>
          <w:tcPr/>
          <w:p>
            <w:pPr>
              <w:pStyle w:val="Compact"/>
              <w:jc w:val="left"/>
            </w:pPr>
            <w:r>
              <w:t xml:space="preserve">Overall</w:t>
            </w:r>
          </w:p>
        </w:tc>
        <w:tc>
          <w:tcPr/>
          <w:p>
            <w:pPr>
              <w:pStyle w:val="Compact"/>
              <w:jc w:val="left"/>
            </w:pPr>
            <w:r>
              <w:t xml:space="preserve">0</w:t>
            </w:r>
          </w:p>
        </w:tc>
        <w:tc>
          <w:tcPr/>
          <w:p>
            <w:pPr>
              <w:pStyle w:val="Compact"/>
              <w:jc w:val="left"/>
            </w:pPr>
            <w:r>
              <w:t xml:space="preserve">1</w:t>
            </w:r>
          </w:p>
        </w:tc>
        <w:tc>
          <w:tcPr/>
          <w:p>
            <w:pPr>
              <w:pStyle w:val="Compact"/>
              <w:jc w:val="left"/>
            </w:pPr>
            <w:r>
              <w:t xml:space="preserve">P-Value</w:t>
            </w:r>
          </w:p>
        </w:tc>
        <w:tc>
          <w:tcPr/>
          <w:p>
            <w:pPr>
              <w:pStyle w:val="Compact"/>
              <w:jc w:val="left"/>
            </w:pPr>
            <w:r>
              <w:t xml:space="preserve">Test</w:t>
            </w:r>
          </w:p>
        </w:tc>
      </w:tr>
      <w:tr>
        <w:tc>
          <w:tcPr/>
          <w:p>
            <w:pPr>
              <w:pStyle w:val="Compact"/>
              <w:jc w:val="left"/>
            </w:pPr>
            <w:r>
              <w:t xml:space="preserve">n</w:t>
            </w:r>
          </w:p>
        </w:tc>
        <w:tc>
          <w:tcPr/>
          <w:p>
            <w:pPr>
              <w:pStyle w:val="Compact"/>
              <w:jc w:val="left"/>
            </w:pPr>
            <w:r>
              <w:t xml:space="preserve">nan</w:t>
            </w:r>
          </w:p>
        </w:tc>
        <w:tc>
          <w:tcPr/>
          <w:p>
            <w:pPr>
              <w:pStyle w:val="Compact"/>
              <w:jc w:val="left"/>
            </w:pPr>
            <w:r>
              <w:t xml:space="preserve">nan</w:t>
            </w:r>
          </w:p>
        </w:tc>
        <w:tc>
          <w:tcPr/>
          <w:p>
            <w:pPr>
              <w:pStyle w:val="Compact"/>
              <w:jc w:val="left"/>
            </w:pPr>
            <w:r>
              <w:t xml:space="preserve">3194</w:t>
            </w:r>
          </w:p>
        </w:tc>
        <w:tc>
          <w:tcPr/>
          <w:p>
            <w:pPr>
              <w:pStyle w:val="Compact"/>
              <w:jc w:val="left"/>
            </w:pPr>
            <w:r>
              <w:t xml:space="preserve">2722</w:t>
            </w:r>
          </w:p>
        </w:tc>
        <w:tc>
          <w:tcPr/>
          <w:p>
            <w:pPr>
              <w:pStyle w:val="Compact"/>
              <w:jc w:val="left"/>
            </w:pPr>
            <w:r>
              <w:t xml:space="preserve">472</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mage, mean (SD)</w:t>
            </w:r>
          </w:p>
        </w:tc>
        <w:tc>
          <w:tcPr/>
          <w:p>
            <w:pPr>
              <w:pStyle w:val="Compact"/>
              <w:jc w:val="left"/>
            </w:pPr>
            <w:r>
              <w:t xml:space="preserve">nan</w:t>
            </w:r>
          </w:p>
        </w:tc>
        <w:tc>
          <w:tcPr/>
          <w:p>
            <w:pPr>
              <w:pStyle w:val="Compact"/>
              <w:jc w:val="left"/>
            </w:pPr>
            <w:r>
              <w:t xml:space="preserve">0</w:t>
            </w:r>
          </w:p>
        </w:tc>
        <w:tc>
          <w:tcPr/>
          <w:p>
            <w:pPr>
              <w:pStyle w:val="Compact"/>
              <w:jc w:val="left"/>
            </w:pPr>
            <w:r>
              <w:t xml:space="preserve">29.8 (6.5)</w:t>
            </w:r>
          </w:p>
        </w:tc>
        <w:tc>
          <w:tcPr/>
          <w:p>
            <w:pPr>
              <w:pStyle w:val="Compact"/>
              <w:jc w:val="left"/>
            </w:pPr>
            <w:r>
              <w:t xml:space="preserve">29.9 (6.3)</w:t>
            </w:r>
          </w:p>
        </w:tc>
        <w:tc>
          <w:tcPr/>
          <w:p>
            <w:pPr>
              <w:pStyle w:val="Compact"/>
              <w:jc w:val="left"/>
            </w:pPr>
            <w:r>
              <w:t xml:space="preserve">29.0 (7.1)</w:t>
            </w:r>
          </w:p>
        </w:tc>
        <w:tc>
          <w:tcPr/>
          <w:p>
            <w:pPr>
              <w:pStyle w:val="Compact"/>
              <w:jc w:val="left"/>
            </w:pPr>
            <w:r>
              <w:t xml:space="preserve">0.012</w:t>
            </w:r>
          </w:p>
        </w:tc>
        <w:tc>
          <w:tcPr/>
          <w:p>
            <w:pPr>
              <w:pStyle w:val="Compact"/>
              <w:jc w:val="left"/>
            </w:pPr>
            <w:r>
              <w:t xml:space="preserve">Welch’s T-test</w:t>
            </w:r>
          </w:p>
        </w:tc>
      </w:tr>
      <w:tr>
        <w:tc>
          <w:tcPr/>
          <w:p>
            <w:pPr>
              <w:pStyle w:val="Compact"/>
              <w:jc w:val="left"/>
            </w:pPr>
            <w:r>
              <w:t xml:space="preserve">male, n (%)</w:t>
            </w:r>
          </w:p>
        </w:tc>
        <w:tc>
          <w:tcPr/>
          <w:p>
            <w:pPr>
              <w:pStyle w:val="Compact"/>
              <w:jc w:val="left"/>
            </w:pPr>
            <w:r>
              <w:t xml:space="preserve">0</w:t>
            </w:r>
          </w:p>
        </w:tc>
        <w:tc>
          <w:tcPr/>
          <w:p>
            <w:pPr>
              <w:pStyle w:val="Compact"/>
              <w:jc w:val="left"/>
            </w:pPr>
            <w:r>
              <w:t xml:space="preserve">nan</w:t>
            </w:r>
          </w:p>
        </w:tc>
        <w:tc>
          <w:tcPr/>
          <w:p>
            <w:pPr>
              <w:pStyle w:val="Compact"/>
              <w:jc w:val="left"/>
            </w:pPr>
            <w:r>
              <w:t xml:space="preserve">1599 (50.1)</w:t>
            </w:r>
          </w:p>
        </w:tc>
        <w:tc>
          <w:tcPr/>
          <w:p>
            <w:pPr>
              <w:pStyle w:val="Compact"/>
              <w:jc w:val="left"/>
            </w:pPr>
            <w:r>
              <w:t xml:space="preserve">1353 (49.7)</w:t>
            </w:r>
          </w:p>
        </w:tc>
        <w:tc>
          <w:tcPr/>
          <w:p>
            <w:pPr>
              <w:pStyle w:val="Compact"/>
              <w:jc w:val="left"/>
            </w:pPr>
            <w:r>
              <w:t xml:space="preserve">246 (52.1)</w:t>
            </w:r>
          </w:p>
        </w:tc>
        <w:tc>
          <w:tcPr/>
          <w:p>
            <w:pPr>
              <w:pStyle w:val="Compact"/>
              <w:jc w:val="left"/>
            </w:pPr>
            <w:r>
              <w:t xml:space="preserve">0.359</w:t>
            </w:r>
          </w:p>
        </w:tc>
        <w:tc>
          <w:tcPr/>
          <w:p>
            <w:pPr>
              <w:pStyle w:val="Compact"/>
              <w:jc w:val="left"/>
            </w:pPr>
            <w:r>
              <w:t xml:space="preserve">Chi-squared</w:t>
            </w:r>
          </w:p>
        </w:tc>
      </w:tr>
      <w:tr>
        <w:tc>
          <w:tcPr/>
          <w:p>
            <w:pPr>
              <w:pStyle w:val="Compact"/>
              <w:jc w:val="left"/>
            </w:pPr>
            <w:r>
              <w:t xml:space="preserve">male, n (%)</w:t>
            </w:r>
          </w:p>
        </w:tc>
        <w:tc>
          <w:tcPr/>
          <w:p>
            <w:pPr>
              <w:pStyle w:val="Compact"/>
              <w:jc w:val="left"/>
            </w:pPr>
            <w:r>
              <w:t xml:space="preserve">1</w:t>
            </w:r>
          </w:p>
        </w:tc>
        <w:tc>
          <w:tcPr/>
          <w:p>
            <w:pPr>
              <w:pStyle w:val="Compact"/>
              <w:jc w:val="left"/>
            </w:pPr>
            <w:r>
              <w:t xml:space="preserve">nan</w:t>
            </w:r>
          </w:p>
        </w:tc>
        <w:tc>
          <w:tcPr/>
          <w:p>
            <w:pPr>
              <w:pStyle w:val="Compact"/>
              <w:jc w:val="left"/>
            </w:pPr>
            <w:r>
              <w:t xml:space="preserve">1595 (49.9)</w:t>
            </w:r>
          </w:p>
        </w:tc>
        <w:tc>
          <w:tcPr/>
          <w:p>
            <w:pPr>
              <w:pStyle w:val="Compact"/>
              <w:jc w:val="left"/>
            </w:pPr>
            <w:r>
              <w:t xml:space="preserve">1369 (50.3)</w:t>
            </w:r>
          </w:p>
        </w:tc>
        <w:tc>
          <w:tcPr/>
          <w:p>
            <w:pPr>
              <w:pStyle w:val="Compact"/>
              <w:jc w:val="left"/>
            </w:pPr>
            <w:r>
              <w:t xml:space="preserve">226 (47.9)</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bord, mean (SD)</w:t>
            </w:r>
          </w:p>
        </w:tc>
        <w:tc>
          <w:tcPr/>
          <w:p>
            <w:pPr>
              <w:pStyle w:val="Compact"/>
              <w:jc w:val="left"/>
            </w:pPr>
            <w:r>
              <w:t xml:space="preserve">nan</w:t>
            </w:r>
          </w:p>
        </w:tc>
        <w:tc>
          <w:tcPr/>
          <w:p>
            <w:pPr>
              <w:pStyle w:val="Compact"/>
              <w:jc w:val="left"/>
            </w:pPr>
            <w:r>
              <w:t xml:space="preserve">0</w:t>
            </w:r>
          </w:p>
        </w:tc>
        <w:tc>
          <w:tcPr/>
          <w:p>
            <w:pPr>
              <w:pStyle w:val="Compact"/>
              <w:jc w:val="left"/>
            </w:pPr>
            <w:r>
              <w:t xml:space="preserve">3.5 (2.3)</w:t>
            </w:r>
          </w:p>
        </w:tc>
        <w:tc>
          <w:tcPr/>
          <w:p>
            <w:pPr>
              <w:pStyle w:val="Compact"/>
              <w:jc w:val="left"/>
            </w:pPr>
            <w:r>
              <w:t xml:space="preserve">3.5 (2.3)</w:t>
            </w:r>
          </w:p>
        </w:tc>
        <w:tc>
          <w:tcPr/>
          <w:p>
            <w:pPr>
              <w:pStyle w:val="Compact"/>
              <w:jc w:val="left"/>
            </w:pPr>
            <w:r>
              <w:t xml:space="preserve">3.6 (2.4)</w:t>
            </w:r>
          </w:p>
        </w:tc>
        <w:tc>
          <w:tcPr/>
          <w:p>
            <w:pPr>
              <w:pStyle w:val="Compact"/>
              <w:jc w:val="left"/>
            </w:pPr>
            <w:r>
              <w:t xml:space="preserve">0.209</w:t>
            </w:r>
          </w:p>
        </w:tc>
        <w:tc>
          <w:tcPr/>
          <w:p>
            <w:pPr>
              <w:pStyle w:val="Compact"/>
              <w:jc w:val="left"/>
            </w:pPr>
            <w:r>
              <w:t xml:space="preserve">Welch’s T-test</w:t>
            </w:r>
          </w:p>
        </w:tc>
      </w:tr>
      <w:tr>
        <w:tc>
          <w:tcPr/>
          <w:p>
            <w:pPr>
              <w:pStyle w:val="Compact"/>
              <w:jc w:val="left"/>
            </w:pPr>
            <w:r>
              <w:t xml:space="preserve">parity, mean (SD)</w:t>
            </w:r>
          </w:p>
        </w:tc>
        <w:tc>
          <w:tcPr/>
          <w:p>
            <w:pPr>
              <w:pStyle w:val="Compact"/>
              <w:jc w:val="left"/>
            </w:pPr>
            <w:r>
              <w:t xml:space="preserve">nan</w:t>
            </w:r>
          </w:p>
        </w:tc>
        <w:tc>
          <w:tcPr/>
          <w:p>
            <w:pPr>
              <w:pStyle w:val="Compact"/>
              <w:jc w:val="left"/>
            </w:pPr>
            <w:r>
              <w:t xml:space="preserve">0</w:t>
            </w:r>
          </w:p>
        </w:tc>
        <w:tc>
          <w:tcPr/>
          <w:p>
            <w:pPr>
              <w:pStyle w:val="Compact"/>
              <w:jc w:val="left"/>
            </w:pPr>
            <w:r>
              <w:t xml:space="preserve">3.6 (2.3)</w:t>
            </w:r>
          </w:p>
        </w:tc>
        <w:tc>
          <w:tcPr/>
          <w:p>
            <w:pPr>
              <w:pStyle w:val="Compact"/>
              <w:jc w:val="left"/>
            </w:pPr>
            <w:r>
              <w:t xml:space="preserve">3.5 (2.3)</w:t>
            </w:r>
          </w:p>
        </w:tc>
        <w:tc>
          <w:tcPr/>
          <w:p>
            <w:pPr>
              <w:pStyle w:val="Compact"/>
              <w:jc w:val="left"/>
            </w:pPr>
            <w:r>
              <w:t xml:space="preserve">3.7 (2.4)</w:t>
            </w:r>
          </w:p>
        </w:tc>
        <w:tc>
          <w:tcPr/>
          <w:p>
            <w:pPr>
              <w:pStyle w:val="Compact"/>
              <w:jc w:val="left"/>
            </w:pPr>
            <w:r>
              <w:t xml:space="preserve">0.260</w:t>
            </w:r>
          </w:p>
        </w:tc>
        <w:tc>
          <w:tcPr/>
          <w:p>
            <w:pPr>
              <w:pStyle w:val="Compact"/>
              <w:jc w:val="left"/>
            </w:pPr>
            <w:r>
              <w:t xml:space="preserve">Welch’s T-test</w:t>
            </w:r>
          </w:p>
        </w:tc>
      </w:tr>
      <w:tr>
        <w:tc>
          <w:tcPr/>
          <w:p>
            <w:pPr>
              <w:pStyle w:val="Compact"/>
              <w:jc w:val="left"/>
            </w:pPr>
            <w:r>
              <w:t xml:space="preserve">medu, n (%)</w:t>
            </w:r>
          </w:p>
        </w:tc>
        <w:tc>
          <w:tcPr/>
          <w:p>
            <w:pPr>
              <w:pStyle w:val="Compact"/>
              <w:jc w:val="left"/>
            </w:pPr>
            <w:r>
              <w:t xml:space="preserve">0</w:t>
            </w:r>
          </w:p>
        </w:tc>
        <w:tc>
          <w:tcPr/>
          <w:p>
            <w:pPr>
              <w:pStyle w:val="Compact"/>
              <w:jc w:val="left"/>
            </w:pPr>
            <w:r>
              <w:t xml:space="preserve">nan</w:t>
            </w:r>
          </w:p>
        </w:tc>
        <w:tc>
          <w:tcPr/>
          <w:p>
            <w:pPr>
              <w:pStyle w:val="Compact"/>
              <w:jc w:val="left"/>
            </w:pPr>
            <w:r>
              <w:t xml:space="preserve">846 (26.5)</w:t>
            </w:r>
          </w:p>
        </w:tc>
        <w:tc>
          <w:tcPr/>
          <w:p>
            <w:pPr>
              <w:pStyle w:val="Compact"/>
              <w:jc w:val="left"/>
            </w:pPr>
            <w:r>
              <w:t xml:space="preserve">691 (25.4)</w:t>
            </w:r>
          </w:p>
        </w:tc>
        <w:tc>
          <w:tcPr/>
          <w:p>
            <w:pPr>
              <w:pStyle w:val="Compact"/>
              <w:jc w:val="left"/>
            </w:pPr>
            <w:r>
              <w:t xml:space="preserve">155 (32.8)</w:t>
            </w:r>
          </w:p>
        </w:tc>
        <w:tc>
          <w:tcPr/>
          <w:p>
            <w:pPr>
              <w:pStyle w:val="Compact"/>
              <w:jc w:val="left"/>
            </w:pPr>
            <w:r>
              <w:t xml:space="preserve">&lt;0.001</w:t>
            </w:r>
          </w:p>
        </w:tc>
        <w:tc>
          <w:tcPr/>
          <w:p>
            <w:pPr>
              <w:pStyle w:val="Compact"/>
              <w:jc w:val="left"/>
            </w:pPr>
            <w:r>
              <w:t xml:space="preserve">Chi-squared</w:t>
            </w:r>
          </w:p>
        </w:tc>
      </w:tr>
      <w:tr>
        <w:tc>
          <w:tcPr/>
          <w:p>
            <w:pPr>
              <w:pStyle w:val="Compact"/>
              <w:jc w:val="left"/>
            </w:pPr>
            <w:r>
              <w:t xml:space="preserve">medu, n (%)</w:t>
            </w:r>
          </w:p>
        </w:tc>
        <w:tc>
          <w:tcPr/>
          <w:p>
            <w:pPr>
              <w:pStyle w:val="Compact"/>
              <w:jc w:val="left"/>
            </w:pPr>
            <w:r>
              <w:t xml:space="preserve">1</w:t>
            </w:r>
          </w:p>
        </w:tc>
        <w:tc>
          <w:tcPr/>
          <w:p>
            <w:pPr>
              <w:pStyle w:val="Compact"/>
              <w:jc w:val="left"/>
            </w:pPr>
            <w:r>
              <w:t xml:space="preserve">nan</w:t>
            </w:r>
          </w:p>
        </w:tc>
        <w:tc>
          <w:tcPr/>
          <w:p>
            <w:pPr>
              <w:pStyle w:val="Compact"/>
              <w:jc w:val="left"/>
            </w:pPr>
            <w:r>
              <w:t xml:space="preserve">363 (11.4)</w:t>
            </w:r>
          </w:p>
        </w:tc>
        <w:tc>
          <w:tcPr/>
          <w:p>
            <w:pPr>
              <w:pStyle w:val="Compact"/>
              <w:jc w:val="left"/>
            </w:pPr>
            <w:r>
              <w:t xml:space="preserve">295 (10.8)</w:t>
            </w:r>
          </w:p>
        </w:tc>
        <w:tc>
          <w:tcPr/>
          <w:p>
            <w:pPr>
              <w:pStyle w:val="Compact"/>
              <w:jc w:val="left"/>
            </w:pPr>
            <w:r>
              <w:t xml:space="preserve">68 (14.4)</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medu, n (%)</w:t>
            </w:r>
          </w:p>
        </w:tc>
        <w:tc>
          <w:tcPr/>
          <w:p>
            <w:pPr>
              <w:pStyle w:val="Compact"/>
              <w:jc w:val="left"/>
            </w:pPr>
            <w:r>
              <w:t xml:space="preserve">2</w:t>
            </w:r>
          </w:p>
        </w:tc>
        <w:tc>
          <w:tcPr/>
          <w:p>
            <w:pPr>
              <w:pStyle w:val="Compact"/>
              <w:jc w:val="left"/>
            </w:pPr>
            <w:r>
              <w:t xml:space="preserve">nan</w:t>
            </w:r>
          </w:p>
        </w:tc>
        <w:tc>
          <w:tcPr/>
          <w:p>
            <w:pPr>
              <w:pStyle w:val="Compact"/>
              <w:jc w:val="left"/>
            </w:pPr>
            <w:r>
              <w:t xml:space="preserve">1451 (45.4)</w:t>
            </w:r>
          </w:p>
        </w:tc>
        <w:tc>
          <w:tcPr/>
          <w:p>
            <w:pPr>
              <w:pStyle w:val="Compact"/>
              <w:jc w:val="left"/>
            </w:pPr>
            <w:r>
              <w:t xml:space="preserve">1235 (45.4)</w:t>
            </w:r>
          </w:p>
        </w:tc>
        <w:tc>
          <w:tcPr/>
          <w:p>
            <w:pPr>
              <w:pStyle w:val="Compact"/>
              <w:jc w:val="left"/>
            </w:pPr>
            <w:r>
              <w:t xml:space="preserve">216 (45.8)</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medu, n (%)</w:t>
            </w:r>
          </w:p>
        </w:tc>
        <w:tc>
          <w:tcPr/>
          <w:p>
            <w:pPr>
              <w:pStyle w:val="Compact"/>
              <w:jc w:val="left"/>
            </w:pPr>
            <w:r>
              <w:t xml:space="preserve">3</w:t>
            </w:r>
          </w:p>
        </w:tc>
        <w:tc>
          <w:tcPr/>
          <w:p>
            <w:pPr>
              <w:pStyle w:val="Compact"/>
              <w:jc w:val="left"/>
            </w:pPr>
            <w:r>
              <w:t xml:space="preserve">nan</w:t>
            </w:r>
          </w:p>
        </w:tc>
        <w:tc>
          <w:tcPr/>
          <w:p>
            <w:pPr>
              <w:pStyle w:val="Compact"/>
              <w:jc w:val="left"/>
            </w:pPr>
            <w:r>
              <w:t xml:space="preserve">534 (16.7)</w:t>
            </w:r>
          </w:p>
        </w:tc>
        <w:tc>
          <w:tcPr/>
          <w:p>
            <w:pPr>
              <w:pStyle w:val="Compact"/>
              <w:jc w:val="left"/>
            </w:pPr>
            <w:r>
              <w:t xml:space="preserve">501 (18.4)</w:t>
            </w:r>
          </w:p>
        </w:tc>
        <w:tc>
          <w:tcPr/>
          <w:p>
            <w:pPr>
              <w:pStyle w:val="Compact"/>
              <w:jc w:val="left"/>
            </w:pPr>
            <w:r>
              <w:t xml:space="preserve">33 (7.0)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fedu, n (%)</w:t>
            </w:r>
          </w:p>
        </w:tc>
        <w:tc>
          <w:tcPr/>
          <w:p>
            <w:pPr>
              <w:pStyle w:val="Compact"/>
              <w:jc w:val="left"/>
            </w:pPr>
            <w:r>
              <w:t xml:space="preserve">0.0</w:t>
            </w:r>
          </w:p>
        </w:tc>
        <w:tc>
          <w:tcPr/>
          <w:p>
            <w:pPr>
              <w:pStyle w:val="Compact"/>
              <w:jc w:val="left"/>
            </w:pPr>
            <w:r>
              <w:t xml:space="preserve">nan</w:t>
            </w:r>
          </w:p>
        </w:tc>
        <w:tc>
          <w:tcPr/>
          <w:p>
            <w:pPr>
              <w:pStyle w:val="Compact"/>
              <w:jc w:val="left"/>
            </w:pPr>
            <w:r>
              <w:t xml:space="preserve">632 (19.8)</w:t>
            </w:r>
          </w:p>
        </w:tc>
        <w:tc>
          <w:tcPr/>
          <w:p>
            <w:pPr>
              <w:pStyle w:val="Compact"/>
              <w:jc w:val="left"/>
            </w:pPr>
            <w:r>
              <w:t xml:space="preserve">513 (18.8)</w:t>
            </w:r>
          </w:p>
        </w:tc>
        <w:tc>
          <w:tcPr/>
          <w:p>
            <w:pPr>
              <w:pStyle w:val="Compact"/>
              <w:jc w:val="left"/>
            </w:pPr>
            <w:r>
              <w:t xml:space="preserve">119 (25.2)</w:t>
            </w:r>
          </w:p>
        </w:tc>
        <w:tc>
          <w:tcPr/>
          <w:p>
            <w:pPr>
              <w:pStyle w:val="Compact"/>
              <w:jc w:val="left"/>
            </w:pPr>
            <w:r>
              <w:t xml:space="preserve">&lt;0.001</w:t>
            </w:r>
          </w:p>
        </w:tc>
        <w:tc>
          <w:tcPr/>
          <w:p>
            <w:pPr>
              <w:pStyle w:val="Compact"/>
              <w:jc w:val="left"/>
            </w:pPr>
            <w:r>
              <w:t xml:space="preserve">Chi-squared</w:t>
            </w:r>
          </w:p>
        </w:tc>
      </w:tr>
      <w:tr>
        <w:tc>
          <w:tcPr/>
          <w:p>
            <w:pPr>
              <w:pStyle w:val="Compact"/>
              <w:jc w:val="left"/>
            </w:pPr>
            <w:r>
              <w:t xml:space="preserve">fedu, n (%)</w:t>
            </w:r>
          </w:p>
        </w:tc>
        <w:tc>
          <w:tcPr/>
          <w:p>
            <w:pPr>
              <w:pStyle w:val="Compact"/>
              <w:jc w:val="left"/>
            </w:pPr>
            <w:r>
              <w:t xml:space="preserve">1.0</w:t>
            </w:r>
          </w:p>
        </w:tc>
        <w:tc>
          <w:tcPr/>
          <w:p>
            <w:pPr>
              <w:pStyle w:val="Compact"/>
              <w:jc w:val="left"/>
            </w:pPr>
            <w:r>
              <w:t xml:space="preserve">nan</w:t>
            </w:r>
          </w:p>
        </w:tc>
        <w:tc>
          <w:tcPr/>
          <w:p>
            <w:pPr>
              <w:pStyle w:val="Compact"/>
              <w:jc w:val="left"/>
            </w:pPr>
            <w:r>
              <w:t xml:space="preserve">291 (9.1)</w:t>
            </w:r>
          </w:p>
        </w:tc>
        <w:tc>
          <w:tcPr/>
          <w:p>
            <w:pPr>
              <w:pStyle w:val="Compact"/>
              <w:jc w:val="left"/>
            </w:pPr>
            <w:r>
              <w:t xml:space="preserve">230 (8.4)</w:t>
            </w:r>
          </w:p>
        </w:tc>
        <w:tc>
          <w:tcPr/>
          <w:p>
            <w:pPr>
              <w:pStyle w:val="Compact"/>
              <w:jc w:val="left"/>
            </w:pPr>
            <w:r>
              <w:t xml:space="preserve">61 (12.9)</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fedu, n (%)</w:t>
            </w:r>
          </w:p>
        </w:tc>
        <w:tc>
          <w:tcPr/>
          <w:p>
            <w:pPr>
              <w:pStyle w:val="Compact"/>
              <w:jc w:val="left"/>
            </w:pPr>
            <w:r>
              <w:t xml:space="preserve">2.0</w:t>
            </w:r>
          </w:p>
        </w:tc>
        <w:tc>
          <w:tcPr/>
          <w:p>
            <w:pPr>
              <w:pStyle w:val="Compact"/>
              <w:jc w:val="left"/>
            </w:pPr>
            <w:r>
              <w:t xml:space="preserve">nan</w:t>
            </w:r>
          </w:p>
        </w:tc>
        <w:tc>
          <w:tcPr/>
          <w:p>
            <w:pPr>
              <w:pStyle w:val="Compact"/>
              <w:jc w:val="left"/>
            </w:pPr>
            <w:r>
              <w:t xml:space="preserve">1299 (40.7)</w:t>
            </w:r>
          </w:p>
        </w:tc>
        <w:tc>
          <w:tcPr/>
          <w:p>
            <w:pPr>
              <w:pStyle w:val="Compact"/>
              <w:jc w:val="left"/>
            </w:pPr>
            <w:r>
              <w:t xml:space="preserve">1113 (40.9)</w:t>
            </w:r>
          </w:p>
        </w:tc>
        <w:tc>
          <w:tcPr/>
          <w:p>
            <w:pPr>
              <w:pStyle w:val="Compact"/>
              <w:jc w:val="left"/>
            </w:pPr>
            <w:r>
              <w:t xml:space="preserve">186 (39.4)</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fedu, n (%)</w:t>
            </w:r>
          </w:p>
        </w:tc>
        <w:tc>
          <w:tcPr/>
          <w:p>
            <w:pPr>
              <w:pStyle w:val="Compact"/>
              <w:jc w:val="left"/>
            </w:pPr>
            <w:r>
              <w:t xml:space="preserve">3.0</w:t>
            </w:r>
          </w:p>
        </w:tc>
        <w:tc>
          <w:tcPr/>
          <w:p>
            <w:pPr>
              <w:pStyle w:val="Compact"/>
              <w:jc w:val="left"/>
            </w:pPr>
            <w:r>
              <w:t xml:space="preserve">nan</w:t>
            </w:r>
          </w:p>
        </w:tc>
        <w:tc>
          <w:tcPr/>
          <w:p>
            <w:pPr>
              <w:pStyle w:val="Compact"/>
              <w:jc w:val="left"/>
            </w:pPr>
            <w:r>
              <w:t xml:space="preserve">762 (23.9)</w:t>
            </w:r>
          </w:p>
        </w:tc>
        <w:tc>
          <w:tcPr/>
          <w:p>
            <w:pPr>
              <w:pStyle w:val="Compact"/>
              <w:jc w:val="left"/>
            </w:pPr>
            <w:r>
              <w:t xml:space="preserve">702 (25.8)</w:t>
            </w:r>
          </w:p>
        </w:tc>
        <w:tc>
          <w:tcPr/>
          <w:p>
            <w:pPr>
              <w:pStyle w:val="Compact"/>
              <w:jc w:val="left"/>
            </w:pPr>
            <w:r>
              <w:t xml:space="preserve">60 (12.7)</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fedu, n (%)</w:t>
            </w:r>
          </w:p>
        </w:tc>
        <w:tc>
          <w:tcPr/>
          <w:p>
            <w:pPr>
              <w:pStyle w:val="Compact"/>
              <w:jc w:val="left"/>
            </w:pPr>
            <w:r>
              <w:t xml:space="preserve">8.0</w:t>
            </w:r>
          </w:p>
        </w:tc>
        <w:tc>
          <w:tcPr/>
          <w:p>
            <w:pPr>
              <w:pStyle w:val="Compact"/>
              <w:jc w:val="left"/>
            </w:pPr>
            <w:r>
              <w:t xml:space="preserve">nan</w:t>
            </w:r>
          </w:p>
        </w:tc>
        <w:tc>
          <w:tcPr/>
          <w:p>
            <w:pPr>
              <w:pStyle w:val="Compact"/>
              <w:jc w:val="left"/>
            </w:pPr>
            <w:r>
              <w:t xml:space="preserve">48 (1.5)</w:t>
            </w:r>
          </w:p>
        </w:tc>
        <w:tc>
          <w:tcPr/>
          <w:p>
            <w:pPr>
              <w:pStyle w:val="Compact"/>
              <w:jc w:val="left"/>
            </w:pPr>
            <w:r>
              <w:t xml:space="preserve">43 (1.6)</w:t>
            </w:r>
          </w:p>
        </w:tc>
        <w:tc>
          <w:tcPr/>
          <w:p>
            <w:pPr>
              <w:pStyle w:val="Compact"/>
              <w:jc w:val="left"/>
            </w:pPr>
            <w:r>
              <w:t xml:space="preserve">5 (1.1)</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fedu, n (%)</w:t>
            </w:r>
          </w:p>
        </w:tc>
        <w:tc>
          <w:tcPr/>
          <w:p>
            <w:pPr>
              <w:pStyle w:val="Compact"/>
              <w:jc w:val="left"/>
            </w:pPr>
            <w:r>
              <w:t xml:space="preserve">nan</w:t>
            </w:r>
          </w:p>
        </w:tc>
        <w:tc>
          <w:tcPr/>
          <w:p>
            <w:pPr>
              <w:pStyle w:val="Compact"/>
              <w:jc w:val="left"/>
            </w:pPr>
            <w:r>
              <w:t xml:space="preserve">nan</w:t>
            </w:r>
          </w:p>
        </w:tc>
        <w:tc>
          <w:tcPr/>
          <w:p>
            <w:pPr>
              <w:pStyle w:val="Compact"/>
              <w:jc w:val="left"/>
            </w:pPr>
            <w:r>
              <w:t xml:space="preserve">162 (5.1)</w:t>
            </w:r>
          </w:p>
        </w:tc>
        <w:tc>
          <w:tcPr/>
          <w:p>
            <w:pPr>
              <w:pStyle w:val="Compact"/>
              <w:jc w:val="left"/>
            </w:pPr>
            <w:r>
              <w:t xml:space="preserve">121 (4.4)</w:t>
            </w:r>
          </w:p>
        </w:tc>
        <w:tc>
          <w:tcPr/>
          <w:p>
            <w:pPr>
              <w:pStyle w:val="Compact"/>
              <w:jc w:val="left"/>
            </w:pPr>
            <w:r>
              <w:t xml:space="preserve">41 (8.7)</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v505, n (%)</w:t>
            </w:r>
          </w:p>
        </w:tc>
        <w:tc>
          <w:tcPr/>
          <w:p>
            <w:pPr>
              <w:pStyle w:val="Compact"/>
              <w:jc w:val="left"/>
            </w:pPr>
            <w:r>
              <w:t xml:space="preserve">0.0</w:t>
            </w:r>
          </w:p>
        </w:tc>
        <w:tc>
          <w:tcPr/>
          <w:p>
            <w:pPr>
              <w:pStyle w:val="Compact"/>
              <w:jc w:val="left"/>
            </w:pPr>
            <w:r>
              <w:t xml:space="preserve">nan</w:t>
            </w:r>
          </w:p>
        </w:tc>
        <w:tc>
          <w:tcPr/>
          <w:p>
            <w:pPr>
              <w:pStyle w:val="Compact"/>
              <w:jc w:val="left"/>
            </w:pPr>
            <w:r>
              <w:t xml:space="preserve">2419 (75.7)</w:t>
            </w:r>
          </w:p>
        </w:tc>
        <w:tc>
          <w:tcPr/>
          <w:p>
            <w:pPr>
              <w:pStyle w:val="Compact"/>
              <w:jc w:val="left"/>
            </w:pPr>
            <w:r>
              <w:t xml:space="preserve">2086 (76.6)</w:t>
            </w:r>
          </w:p>
        </w:tc>
        <w:tc>
          <w:tcPr/>
          <w:p>
            <w:pPr>
              <w:pStyle w:val="Compact"/>
              <w:jc w:val="left"/>
            </w:pPr>
            <w:r>
              <w:t xml:space="preserve">333 (70.6)</w:t>
            </w:r>
          </w:p>
        </w:tc>
        <w:tc>
          <w:tcPr/>
          <w:p>
            <w:pPr>
              <w:pStyle w:val="Compact"/>
              <w:jc w:val="left"/>
            </w:pPr>
            <w:r>
              <w:t xml:space="preserve">&lt;0.001</w:t>
            </w:r>
          </w:p>
        </w:tc>
        <w:tc>
          <w:tcPr/>
          <w:p>
            <w:pPr>
              <w:pStyle w:val="Compact"/>
              <w:jc w:val="left"/>
            </w:pPr>
            <w:r>
              <w:t xml:space="preserve">Chi-squared (warning: expected count &lt; 5)</w:t>
            </w:r>
          </w:p>
        </w:tc>
      </w:tr>
      <w:tr>
        <w:tc>
          <w:tcPr/>
          <w:p>
            <w:pPr>
              <w:pStyle w:val="Compact"/>
              <w:jc w:val="left"/>
            </w:pPr>
            <w:r>
              <w:t xml:space="preserve">v505, n (%)</w:t>
            </w:r>
          </w:p>
        </w:tc>
        <w:tc>
          <w:tcPr/>
          <w:p>
            <w:pPr>
              <w:pStyle w:val="Compact"/>
              <w:jc w:val="left"/>
            </w:pPr>
            <w:r>
              <w:t xml:space="preserve">1.0</w:t>
            </w:r>
          </w:p>
        </w:tc>
        <w:tc>
          <w:tcPr/>
          <w:p>
            <w:pPr>
              <w:pStyle w:val="Compact"/>
              <w:jc w:val="left"/>
            </w:pPr>
            <w:r>
              <w:t xml:space="preserve">nan</w:t>
            </w:r>
          </w:p>
        </w:tc>
        <w:tc>
          <w:tcPr/>
          <w:p>
            <w:pPr>
              <w:pStyle w:val="Compact"/>
              <w:jc w:val="left"/>
            </w:pPr>
            <w:r>
              <w:t xml:space="preserve">486 (15.2)</w:t>
            </w:r>
          </w:p>
        </w:tc>
        <w:tc>
          <w:tcPr/>
          <w:p>
            <w:pPr>
              <w:pStyle w:val="Compact"/>
              <w:jc w:val="left"/>
            </w:pPr>
            <w:r>
              <w:t xml:space="preserve">410 (15.1)</w:t>
            </w:r>
          </w:p>
        </w:tc>
        <w:tc>
          <w:tcPr/>
          <w:p>
            <w:pPr>
              <w:pStyle w:val="Compact"/>
              <w:jc w:val="left"/>
            </w:pPr>
            <w:r>
              <w:t xml:space="preserve">76 (16.1)</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v505, n (%)</w:t>
            </w:r>
          </w:p>
        </w:tc>
        <w:tc>
          <w:tcPr/>
          <w:p>
            <w:pPr>
              <w:pStyle w:val="Compact"/>
              <w:jc w:val="left"/>
            </w:pPr>
            <w:r>
              <w:t xml:space="preserve">2.0</w:t>
            </w:r>
          </w:p>
        </w:tc>
        <w:tc>
          <w:tcPr/>
          <w:p>
            <w:pPr>
              <w:pStyle w:val="Compact"/>
              <w:jc w:val="left"/>
            </w:pPr>
            <w:r>
              <w:t xml:space="preserve">nan</w:t>
            </w:r>
          </w:p>
        </w:tc>
        <w:tc>
          <w:tcPr/>
          <w:p>
            <w:pPr>
              <w:pStyle w:val="Compact"/>
              <w:jc w:val="left"/>
            </w:pPr>
            <w:r>
              <w:t xml:space="preserve">90 (2.8)</w:t>
            </w:r>
          </w:p>
        </w:tc>
        <w:tc>
          <w:tcPr/>
          <w:p>
            <w:pPr>
              <w:pStyle w:val="Compact"/>
              <w:jc w:val="left"/>
            </w:pPr>
            <w:r>
              <w:t xml:space="preserve">76 (2.8)</w:t>
            </w:r>
          </w:p>
        </w:tc>
        <w:tc>
          <w:tcPr/>
          <w:p>
            <w:pPr>
              <w:pStyle w:val="Compact"/>
              <w:jc w:val="left"/>
            </w:pPr>
            <w:r>
              <w:t xml:space="preserve">14 (3.0)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v505, n (%)</w:t>
            </w:r>
          </w:p>
        </w:tc>
        <w:tc>
          <w:tcPr/>
          <w:p>
            <w:pPr>
              <w:pStyle w:val="Compact"/>
              <w:jc w:val="left"/>
            </w:pPr>
            <w:r>
              <w:t xml:space="preserve">3.0</w:t>
            </w:r>
          </w:p>
        </w:tc>
        <w:tc>
          <w:tcPr/>
          <w:p>
            <w:pPr>
              <w:pStyle w:val="Compact"/>
              <w:jc w:val="left"/>
            </w:pPr>
            <w:r>
              <w:t xml:space="preserve">nan</w:t>
            </w:r>
          </w:p>
        </w:tc>
        <w:tc>
          <w:tcPr/>
          <w:p>
            <w:pPr>
              <w:pStyle w:val="Compact"/>
              <w:jc w:val="left"/>
            </w:pPr>
            <w:r>
              <w:t xml:space="preserve">28 (0.9)</w:t>
            </w:r>
          </w:p>
        </w:tc>
        <w:tc>
          <w:tcPr/>
          <w:p>
            <w:pPr>
              <w:pStyle w:val="Compact"/>
              <w:jc w:val="left"/>
            </w:pPr>
            <w:r>
              <w:t xml:space="preserve">24 (0.9)</w:t>
            </w:r>
          </w:p>
        </w:tc>
        <w:tc>
          <w:tcPr/>
          <w:p>
            <w:pPr>
              <w:pStyle w:val="Compact"/>
              <w:jc w:val="left"/>
            </w:pPr>
            <w:r>
              <w:t xml:space="preserve">4 (0.8)</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v505, n (%)</w:t>
            </w:r>
          </w:p>
        </w:tc>
        <w:tc>
          <w:tcPr/>
          <w:p>
            <w:pPr>
              <w:pStyle w:val="Compact"/>
              <w:jc w:val="left"/>
            </w:pPr>
            <w:r>
              <w:t xml:space="preserve">4.0</w:t>
            </w:r>
          </w:p>
        </w:tc>
        <w:tc>
          <w:tcPr/>
          <w:p>
            <w:pPr>
              <w:pStyle w:val="Compact"/>
              <w:jc w:val="left"/>
            </w:pPr>
            <w:r>
              <w:t xml:space="preserve">nan</w:t>
            </w:r>
          </w:p>
        </w:tc>
        <w:tc>
          <w:tcPr/>
          <w:p>
            <w:pPr>
              <w:pStyle w:val="Compact"/>
              <w:jc w:val="left"/>
            </w:pPr>
            <w:r>
              <w:t xml:space="preserve">2 (0.1)</w:t>
            </w:r>
          </w:p>
        </w:tc>
        <w:tc>
          <w:tcPr/>
          <w:p>
            <w:pPr>
              <w:pStyle w:val="Compact"/>
              <w:jc w:val="left"/>
            </w:pPr>
            <w:r>
              <w:t xml:space="preserve">2 (0.1)</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v505, n (%)</w:t>
            </w:r>
          </w:p>
        </w:tc>
        <w:tc>
          <w:tcPr/>
          <w:p>
            <w:pPr>
              <w:pStyle w:val="Compact"/>
              <w:jc w:val="left"/>
            </w:pPr>
            <w:r>
              <w:t xml:space="preserve">98.0</w:t>
            </w:r>
          </w:p>
        </w:tc>
        <w:tc>
          <w:tcPr/>
          <w:p>
            <w:pPr>
              <w:pStyle w:val="Compact"/>
              <w:jc w:val="left"/>
            </w:pPr>
            <w:r>
              <w:t xml:space="preserve">nan</w:t>
            </w:r>
          </w:p>
        </w:tc>
        <w:tc>
          <w:tcPr/>
          <w:p>
            <w:pPr>
              <w:pStyle w:val="Compact"/>
              <w:jc w:val="left"/>
            </w:pPr>
            <w:r>
              <w:t xml:space="preserve">7 (0.2)</w:t>
            </w:r>
          </w:p>
        </w:tc>
        <w:tc>
          <w:tcPr/>
          <w:p>
            <w:pPr>
              <w:pStyle w:val="Compact"/>
              <w:jc w:val="left"/>
            </w:pPr>
            <w:r>
              <w:t xml:space="preserve">3 (0.1)</w:t>
            </w:r>
          </w:p>
        </w:tc>
        <w:tc>
          <w:tcPr/>
          <w:p>
            <w:pPr>
              <w:pStyle w:val="Compact"/>
              <w:jc w:val="left"/>
            </w:pPr>
            <w:r>
              <w:t xml:space="preserve">4 (0.8)</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v505, n (%)</w:t>
            </w:r>
          </w:p>
        </w:tc>
        <w:tc>
          <w:tcPr/>
          <w:p>
            <w:pPr>
              <w:pStyle w:val="Compact"/>
              <w:jc w:val="left"/>
            </w:pPr>
            <w:r>
              <w:t xml:space="preserve">nan</w:t>
            </w:r>
          </w:p>
        </w:tc>
        <w:tc>
          <w:tcPr/>
          <w:p>
            <w:pPr>
              <w:pStyle w:val="Compact"/>
              <w:jc w:val="left"/>
            </w:pPr>
            <w:r>
              <w:t xml:space="preserve">nan</w:t>
            </w:r>
          </w:p>
        </w:tc>
        <w:tc>
          <w:tcPr/>
          <w:p>
            <w:pPr>
              <w:pStyle w:val="Compact"/>
              <w:jc w:val="left"/>
            </w:pPr>
            <w:r>
              <w:t xml:space="preserve">162 (5.1)</w:t>
            </w:r>
          </w:p>
        </w:tc>
        <w:tc>
          <w:tcPr/>
          <w:p>
            <w:pPr>
              <w:pStyle w:val="Compact"/>
              <w:jc w:val="left"/>
            </w:pPr>
            <w:r>
              <w:t xml:space="preserve">121 (4.4)</w:t>
            </w:r>
          </w:p>
        </w:tc>
        <w:tc>
          <w:tcPr/>
          <w:p>
            <w:pPr>
              <w:pStyle w:val="Compact"/>
              <w:jc w:val="left"/>
            </w:pPr>
            <w:r>
              <w:t xml:space="preserve">41 (8.7)</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10</w:t>
            </w:r>
          </w:p>
        </w:tc>
        <w:tc>
          <w:tcPr/>
          <w:p>
            <w:pPr>
              <w:pStyle w:val="Compact"/>
              <w:jc w:val="left"/>
            </w:pPr>
            <w:r>
              <w:t xml:space="preserve">nan</w:t>
            </w:r>
          </w:p>
        </w:tc>
        <w:tc>
          <w:tcPr/>
          <w:p>
            <w:pPr>
              <w:pStyle w:val="Compact"/>
              <w:jc w:val="left"/>
            </w:pPr>
            <w:r>
              <w:t xml:space="preserve">2 (0.1)</w:t>
            </w:r>
          </w:p>
        </w:tc>
        <w:tc>
          <w:tcPr/>
          <w:p>
            <w:pPr>
              <w:pStyle w:val="Compact"/>
              <w:jc w:val="left"/>
            </w:pPr>
            <w:r>
              <w:t xml:space="preserve">2 (0.1)</w:t>
            </w:r>
          </w:p>
        </w:tc>
        <w:tc>
          <w:tcPr/>
          <w:p>
            <w:pPr>
              <w:pStyle w:val="Compact"/>
              <w:jc w:val="left"/>
            </w:pPr>
            <w:r>
              <w:t xml:space="preserve">0 (0.0)</w:t>
            </w:r>
          </w:p>
        </w:tc>
        <w:tc>
          <w:tcPr/>
          <w:p>
            <w:pPr>
              <w:pStyle w:val="Compact"/>
              <w:jc w:val="left"/>
            </w:pPr>
            <w:r>
              <w:t xml:space="preserve">&lt;0.001</w:t>
            </w:r>
          </w:p>
        </w:tc>
        <w:tc>
          <w:tcPr/>
          <w:p>
            <w:pPr>
              <w:pStyle w:val="Compact"/>
              <w:jc w:val="left"/>
            </w:pPr>
            <w:r>
              <w:t xml:space="preserve">Chi-squared (warning: expected count &lt; 5)</w:t>
            </w:r>
          </w:p>
        </w:tc>
      </w:tr>
      <w:tr>
        <w:tc>
          <w:tcPr/>
          <w:p>
            <w:pPr>
              <w:pStyle w:val="Compact"/>
              <w:jc w:val="left"/>
            </w:pPr>
            <w:r>
              <w:t xml:space="preserve">v131, n (%)</w:t>
            </w:r>
          </w:p>
        </w:tc>
        <w:tc>
          <w:tcPr/>
          <w:p>
            <w:pPr>
              <w:pStyle w:val="Compact"/>
              <w:jc w:val="left"/>
            </w:pPr>
            <w:r>
              <w:t xml:space="preserve">108</w:t>
            </w:r>
          </w:p>
        </w:tc>
        <w:tc>
          <w:tcPr/>
          <w:p>
            <w:pPr>
              <w:pStyle w:val="Compact"/>
              <w:jc w:val="left"/>
            </w:pPr>
            <w:r>
              <w:t xml:space="preserve">nan</w:t>
            </w:r>
          </w:p>
        </w:tc>
        <w:tc>
          <w:tcPr/>
          <w:p>
            <w:pPr>
              <w:pStyle w:val="Compact"/>
              <w:jc w:val="left"/>
            </w:pPr>
            <w:r>
              <w:t xml:space="preserve">2 (0.1)</w:t>
            </w:r>
          </w:p>
        </w:tc>
        <w:tc>
          <w:tcPr/>
          <w:p>
            <w:pPr>
              <w:pStyle w:val="Compact"/>
              <w:jc w:val="left"/>
            </w:pPr>
            <w:r>
              <w:t xml:space="preserve">1 (0.0)</w:t>
            </w:r>
          </w:p>
        </w:tc>
        <w:tc>
          <w:tcPr/>
          <w:p>
            <w:pPr>
              <w:pStyle w:val="Compact"/>
              <w:jc w:val="left"/>
            </w:pPr>
            <w:r>
              <w:t xml:space="preserve">1 (0.2)</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109</w:t>
            </w:r>
          </w:p>
        </w:tc>
        <w:tc>
          <w:tcPr/>
          <w:p>
            <w:pPr>
              <w:pStyle w:val="Compact"/>
              <w:jc w:val="left"/>
            </w:pPr>
            <w:r>
              <w:t xml:space="preserve">nan</w:t>
            </w:r>
          </w:p>
        </w:tc>
        <w:tc>
          <w:tcPr/>
          <w:p>
            <w:pPr>
              <w:pStyle w:val="Compact"/>
              <w:jc w:val="left"/>
            </w:pPr>
            <w:r>
              <w:t xml:space="preserve">227 (7.1)</w:t>
            </w:r>
          </w:p>
        </w:tc>
        <w:tc>
          <w:tcPr/>
          <w:p>
            <w:pPr>
              <w:pStyle w:val="Compact"/>
              <w:jc w:val="left"/>
            </w:pPr>
            <w:r>
              <w:t xml:space="preserve">184 (6.8)</w:t>
            </w:r>
          </w:p>
        </w:tc>
        <w:tc>
          <w:tcPr/>
          <w:p>
            <w:pPr>
              <w:pStyle w:val="Compact"/>
              <w:jc w:val="left"/>
            </w:pPr>
            <w:r>
              <w:t xml:space="preserve">43 (9.1)</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110</w:t>
            </w:r>
          </w:p>
        </w:tc>
        <w:tc>
          <w:tcPr/>
          <w:p>
            <w:pPr>
              <w:pStyle w:val="Compact"/>
              <w:jc w:val="left"/>
            </w:pPr>
            <w:r>
              <w:t xml:space="preserve">nan</w:t>
            </w:r>
          </w:p>
        </w:tc>
        <w:tc>
          <w:tcPr/>
          <w:p>
            <w:pPr>
              <w:pStyle w:val="Compact"/>
              <w:jc w:val="left"/>
            </w:pPr>
            <w:r>
              <w:t xml:space="preserve">1 (0.0)</w:t>
            </w:r>
          </w:p>
        </w:tc>
        <w:tc>
          <w:tcPr/>
          <w:p>
            <w:pPr>
              <w:pStyle w:val="Compact"/>
              <w:jc w:val="left"/>
            </w:pPr>
            <w:r>
              <w:t xml:space="preserve">1 (0.0)</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111</w:t>
            </w:r>
          </w:p>
        </w:tc>
        <w:tc>
          <w:tcPr/>
          <w:p>
            <w:pPr>
              <w:pStyle w:val="Compact"/>
              <w:jc w:val="left"/>
            </w:pPr>
            <w:r>
              <w:t xml:space="preserve">nan</w:t>
            </w:r>
          </w:p>
        </w:tc>
        <w:tc>
          <w:tcPr/>
          <w:p>
            <w:pPr>
              <w:pStyle w:val="Compact"/>
              <w:jc w:val="left"/>
            </w:pPr>
            <w:r>
              <w:t xml:space="preserve">3 (0.1)</w:t>
            </w:r>
          </w:p>
        </w:tc>
        <w:tc>
          <w:tcPr/>
          <w:p>
            <w:pPr>
              <w:pStyle w:val="Compact"/>
              <w:jc w:val="left"/>
            </w:pPr>
            <w:r>
              <w:t xml:space="preserve">0 (0.0)</w:t>
            </w:r>
          </w:p>
        </w:tc>
        <w:tc>
          <w:tcPr/>
          <w:p>
            <w:pPr>
              <w:pStyle w:val="Compact"/>
              <w:jc w:val="left"/>
            </w:pPr>
            <w:r>
              <w:t xml:space="preserve">3 (0.6)</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113</w:t>
            </w:r>
          </w:p>
        </w:tc>
        <w:tc>
          <w:tcPr/>
          <w:p>
            <w:pPr>
              <w:pStyle w:val="Compact"/>
              <w:jc w:val="left"/>
            </w:pPr>
            <w:r>
              <w:t xml:space="preserve">nan</w:t>
            </w:r>
          </w:p>
        </w:tc>
        <w:tc>
          <w:tcPr/>
          <w:p>
            <w:pPr>
              <w:pStyle w:val="Compact"/>
              <w:jc w:val="left"/>
            </w:pPr>
            <w:r>
              <w:t xml:space="preserve">1 (0.0)</w:t>
            </w:r>
          </w:p>
        </w:tc>
        <w:tc>
          <w:tcPr/>
          <w:p>
            <w:pPr>
              <w:pStyle w:val="Compact"/>
              <w:jc w:val="left"/>
            </w:pPr>
            <w:r>
              <w:t xml:space="preserve">1 (0.0)</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114</w:t>
            </w:r>
          </w:p>
        </w:tc>
        <w:tc>
          <w:tcPr/>
          <w:p>
            <w:pPr>
              <w:pStyle w:val="Compact"/>
              <w:jc w:val="left"/>
            </w:pPr>
            <w:r>
              <w:t xml:space="preserve">nan</w:t>
            </w:r>
          </w:p>
        </w:tc>
        <w:tc>
          <w:tcPr/>
          <w:p>
            <w:pPr>
              <w:pStyle w:val="Compact"/>
              <w:jc w:val="left"/>
            </w:pPr>
            <w:r>
              <w:t xml:space="preserve">1 (0.0)</w:t>
            </w:r>
          </w:p>
        </w:tc>
        <w:tc>
          <w:tcPr/>
          <w:p>
            <w:pPr>
              <w:pStyle w:val="Compact"/>
              <w:jc w:val="left"/>
            </w:pPr>
            <w:r>
              <w:t xml:space="preserve">1 (0.0)</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115</w:t>
            </w:r>
          </w:p>
        </w:tc>
        <w:tc>
          <w:tcPr/>
          <w:p>
            <w:pPr>
              <w:pStyle w:val="Compact"/>
              <w:jc w:val="left"/>
            </w:pPr>
            <w:r>
              <w:t xml:space="preserve">nan</w:t>
            </w:r>
          </w:p>
        </w:tc>
        <w:tc>
          <w:tcPr/>
          <w:p>
            <w:pPr>
              <w:pStyle w:val="Compact"/>
              <w:jc w:val="left"/>
            </w:pPr>
            <w:r>
              <w:t xml:space="preserve">21 (0.7)</w:t>
            </w:r>
          </w:p>
        </w:tc>
        <w:tc>
          <w:tcPr/>
          <w:p>
            <w:pPr>
              <w:pStyle w:val="Compact"/>
              <w:jc w:val="left"/>
            </w:pPr>
            <w:r>
              <w:t xml:space="preserve">20 (0.7)</w:t>
            </w:r>
          </w:p>
        </w:tc>
        <w:tc>
          <w:tcPr/>
          <w:p>
            <w:pPr>
              <w:pStyle w:val="Compact"/>
              <w:jc w:val="left"/>
            </w:pPr>
            <w:r>
              <w:t xml:space="preserve">1 (0.2)</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116</w:t>
            </w:r>
          </w:p>
        </w:tc>
        <w:tc>
          <w:tcPr/>
          <w:p>
            <w:pPr>
              <w:pStyle w:val="Compact"/>
              <w:jc w:val="left"/>
            </w:pPr>
            <w:r>
              <w:t xml:space="preserve">nan</w:t>
            </w:r>
          </w:p>
        </w:tc>
        <w:tc>
          <w:tcPr/>
          <w:p>
            <w:pPr>
              <w:pStyle w:val="Compact"/>
              <w:jc w:val="left"/>
            </w:pPr>
            <w:r>
              <w:t xml:space="preserve">1 (0.0)</w:t>
            </w:r>
          </w:p>
        </w:tc>
        <w:tc>
          <w:tcPr/>
          <w:p>
            <w:pPr>
              <w:pStyle w:val="Compact"/>
              <w:jc w:val="left"/>
            </w:pPr>
            <w:r>
              <w:t xml:space="preserve">1 (0.0)</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118</w:t>
            </w:r>
          </w:p>
        </w:tc>
        <w:tc>
          <w:tcPr/>
          <w:p>
            <w:pPr>
              <w:pStyle w:val="Compact"/>
              <w:jc w:val="left"/>
            </w:pPr>
            <w:r>
              <w:t xml:space="preserve">nan</w:t>
            </w:r>
          </w:p>
        </w:tc>
        <w:tc>
          <w:tcPr/>
          <w:p>
            <w:pPr>
              <w:pStyle w:val="Compact"/>
              <w:jc w:val="left"/>
            </w:pPr>
            <w:r>
              <w:t xml:space="preserve">15 (0.5)</w:t>
            </w:r>
          </w:p>
        </w:tc>
        <w:tc>
          <w:tcPr/>
          <w:p>
            <w:pPr>
              <w:pStyle w:val="Compact"/>
              <w:jc w:val="left"/>
            </w:pPr>
            <w:r>
              <w:t xml:space="preserve">15 (0.6)</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122</w:t>
            </w:r>
          </w:p>
        </w:tc>
        <w:tc>
          <w:tcPr/>
          <w:p>
            <w:pPr>
              <w:pStyle w:val="Compact"/>
              <w:jc w:val="left"/>
            </w:pPr>
            <w:r>
              <w:t xml:space="preserve">nan</w:t>
            </w:r>
          </w:p>
        </w:tc>
        <w:tc>
          <w:tcPr/>
          <w:p>
            <w:pPr>
              <w:pStyle w:val="Compact"/>
              <w:jc w:val="left"/>
            </w:pPr>
            <w:r>
              <w:t xml:space="preserve">4 (0.1)</w:t>
            </w:r>
          </w:p>
        </w:tc>
        <w:tc>
          <w:tcPr/>
          <w:p>
            <w:pPr>
              <w:pStyle w:val="Compact"/>
              <w:jc w:val="left"/>
            </w:pPr>
            <w:r>
              <w:t xml:space="preserve">3 (0.1)</w:t>
            </w:r>
          </w:p>
        </w:tc>
        <w:tc>
          <w:tcPr/>
          <w:p>
            <w:pPr>
              <w:pStyle w:val="Compact"/>
              <w:jc w:val="left"/>
            </w:pPr>
            <w:r>
              <w:t xml:space="preserve">1 (0.2)</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124</w:t>
            </w:r>
          </w:p>
        </w:tc>
        <w:tc>
          <w:tcPr/>
          <w:p>
            <w:pPr>
              <w:pStyle w:val="Compact"/>
              <w:jc w:val="left"/>
            </w:pPr>
            <w:r>
              <w:t xml:space="preserve">nan</w:t>
            </w:r>
          </w:p>
        </w:tc>
        <w:tc>
          <w:tcPr/>
          <w:p>
            <w:pPr>
              <w:pStyle w:val="Compact"/>
              <w:jc w:val="left"/>
            </w:pPr>
            <w:r>
              <w:t xml:space="preserve">1 (0.0)</w:t>
            </w:r>
          </w:p>
        </w:tc>
        <w:tc>
          <w:tcPr/>
          <w:p>
            <w:pPr>
              <w:pStyle w:val="Compact"/>
              <w:jc w:val="left"/>
            </w:pPr>
            <w:r>
              <w:t xml:space="preserve">1 (0.0)</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127</w:t>
            </w:r>
          </w:p>
        </w:tc>
        <w:tc>
          <w:tcPr/>
          <w:p>
            <w:pPr>
              <w:pStyle w:val="Compact"/>
              <w:jc w:val="left"/>
            </w:pPr>
            <w:r>
              <w:t xml:space="preserve">nan</w:t>
            </w:r>
          </w:p>
        </w:tc>
        <w:tc>
          <w:tcPr/>
          <w:p>
            <w:pPr>
              <w:pStyle w:val="Compact"/>
              <w:jc w:val="left"/>
            </w:pPr>
            <w:r>
              <w:t xml:space="preserve">6 (0.2)</w:t>
            </w:r>
          </w:p>
        </w:tc>
        <w:tc>
          <w:tcPr/>
          <w:p>
            <w:pPr>
              <w:pStyle w:val="Compact"/>
              <w:jc w:val="left"/>
            </w:pPr>
            <w:r>
              <w:t xml:space="preserve">3 (0.1)</w:t>
            </w:r>
          </w:p>
        </w:tc>
        <w:tc>
          <w:tcPr/>
          <w:p>
            <w:pPr>
              <w:pStyle w:val="Compact"/>
              <w:jc w:val="left"/>
            </w:pPr>
            <w:r>
              <w:t xml:space="preserve">3 (0.6)</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130</w:t>
            </w:r>
          </w:p>
        </w:tc>
        <w:tc>
          <w:tcPr/>
          <w:p>
            <w:pPr>
              <w:pStyle w:val="Compact"/>
              <w:jc w:val="left"/>
            </w:pPr>
            <w:r>
              <w:t xml:space="preserve">nan</w:t>
            </w:r>
          </w:p>
        </w:tc>
        <w:tc>
          <w:tcPr/>
          <w:p>
            <w:pPr>
              <w:pStyle w:val="Compact"/>
              <w:jc w:val="left"/>
            </w:pPr>
            <w:r>
              <w:t xml:space="preserve">702 (22.0)</w:t>
            </w:r>
          </w:p>
        </w:tc>
        <w:tc>
          <w:tcPr/>
          <w:p>
            <w:pPr>
              <w:pStyle w:val="Compact"/>
              <w:jc w:val="left"/>
            </w:pPr>
            <w:r>
              <w:t xml:space="preserve">611 (22.4)</w:t>
            </w:r>
          </w:p>
        </w:tc>
        <w:tc>
          <w:tcPr/>
          <w:p>
            <w:pPr>
              <w:pStyle w:val="Compact"/>
              <w:jc w:val="left"/>
            </w:pPr>
            <w:r>
              <w:t xml:space="preserve">91 (19.3)</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131</w:t>
            </w:r>
          </w:p>
        </w:tc>
        <w:tc>
          <w:tcPr/>
          <w:p>
            <w:pPr>
              <w:pStyle w:val="Compact"/>
              <w:jc w:val="left"/>
            </w:pPr>
            <w:r>
              <w:t xml:space="preserve">nan</w:t>
            </w:r>
          </w:p>
        </w:tc>
        <w:tc>
          <w:tcPr/>
          <w:p>
            <w:pPr>
              <w:pStyle w:val="Compact"/>
              <w:jc w:val="left"/>
            </w:pPr>
            <w:r>
              <w:t xml:space="preserve">11 (0.3)</w:t>
            </w:r>
          </w:p>
        </w:tc>
        <w:tc>
          <w:tcPr/>
          <w:p>
            <w:pPr>
              <w:pStyle w:val="Compact"/>
              <w:jc w:val="left"/>
            </w:pPr>
            <w:r>
              <w:t xml:space="preserve">11 (0.4)</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132</w:t>
            </w:r>
          </w:p>
        </w:tc>
        <w:tc>
          <w:tcPr/>
          <w:p>
            <w:pPr>
              <w:pStyle w:val="Compact"/>
              <w:jc w:val="left"/>
            </w:pPr>
            <w:r>
              <w:t xml:space="preserve">nan</w:t>
            </w:r>
          </w:p>
        </w:tc>
        <w:tc>
          <w:tcPr/>
          <w:p>
            <w:pPr>
              <w:pStyle w:val="Compact"/>
              <w:jc w:val="left"/>
            </w:pPr>
            <w:r>
              <w:t xml:space="preserve">1 (0.0)</w:t>
            </w:r>
          </w:p>
        </w:tc>
        <w:tc>
          <w:tcPr/>
          <w:p>
            <w:pPr>
              <w:pStyle w:val="Compact"/>
              <w:jc w:val="left"/>
            </w:pPr>
            <w:r>
              <w:t xml:space="preserve">1 (0.0)</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133</w:t>
            </w:r>
          </w:p>
        </w:tc>
        <w:tc>
          <w:tcPr/>
          <w:p>
            <w:pPr>
              <w:pStyle w:val="Compact"/>
              <w:jc w:val="left"/>
            </w:pPr>
            <w:r>
              <w:t xml:space="preserve">nan</w:t>
            </w:r>
          </w:p>
        </w:tc>
        <w:tc>
          <w:tcPr/>
          <w:p>
            <w:pPr>
              <w:pStyle w:val="Compact"/>
              <w:jc w:val="left"/>
            </w:pPr>
            <w:r>
              <w:t xml:space="preserve">54 (1.7)</w:t>
            </w:r>
          </w:p>
        </w:tc>
        <w:tc>
          <w:tcPr/>
          <w:p>
            <w:pPr>
              <w:pStyle w:val="Compact"/>
              <w:jc w:val="left"/>
            </w:pPr>
            <w:r>
              <w:t xml:space="preserve">46 (1.7)</w:t>
            </w:r>
          </w:p>
        </w:tc>
        <w:tc>
          <w:tcPr/>
          <w:p>
            <w:pPr>
              <w:pStyle w:val="Compact"/>
              <w:jc w:val="left"/>
            </w:pPr>
            <w:r>
              <w:t xml:space="preserve">8 (1.7)</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134</w:t>
            </w:r>
          </w:p>
        </w:tc>
        <w:tc>
          <w:tcPr/>
          <w:p>
            <w:pPr>
              <w:pStyle w:val="Compact"/>
              <w:jc w:val="left"/>
            </w:pPr>
            <w:r>
              <w:t xml:space="preserve">nan</w:t>
            </w:r>
          </w:p>
        </w:tc>
        <w:tc>
          <w:tcPr/>
          <w:p>
            <w:pPr>
              <w:pStyle w:val="Compact"/>
              <w:jc w:val="left"/>
            </w:pPr>
            <w:r>
              <w:t xml:space="preserve">1 (0.0)</w:t>
            </w:r>
          </w:p>
        </w:tc>
        <w:tc>
          <w:tcPr/>
          <w:p>
            <w:pPr>
              <w:pStyle w:val="Compact"/>
              <w:jc w:val="left"/>
            </w:pPr>
            <w:r>
              <w:t xml:space="preserve">1 (0.0)</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136</w:t>
            </w:r>
          </w:p>
        </w:tc>
        <w:tc>
          <w:tcPr/>
          <w:p>
            <w:pPr>
              <w:pStyle w:val="Compact"/>
              <w:jc w:val="left"/>
            </w:pPr>
            <w:r>
              <w:t xml:space="preserve">nan</w:t>
            </w:r>
          </w:p>
        </w:tc>
        <w:tc>
          <w:tcPr/>
          <w:p>
            <w:pPr>
              <w:pStyle w:val="Compact"/>
              <w:jc w:val="left"/>
            </w:pPr>
            <w:r>
              <w:t xml:space="preserve">21 (0.7)</w:t>
            </w:r>
          </w:p>
        </w:tc>
        <w:tc>
          <w:tcPr/>
          <w:p>
            <w:pPr>
              <w:pStyle w:val="Compact"/>
              <w:jc w:val="left"/>
            </w:pPr>
            <w:r>
              <w:t xml:space="preserve">16 (0.6)</w:t>
            </w:r>
          </w:p>
        </w:tc>
        <w:tc>
          <w:tcPr/>
          <w:p>
            <w:pPr>
              <w:pStyle w:val="Compact"/>
              <w:jc w:val="left"/>
            </w:pPr>
            <w:r>
              <w:t xml:space="preserve">5 (1.1)</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137</w:t>
            </w:r>
          </w:p>
        </w:tc>
        <w:tc>
          <w:tcPr/>
          <w:p>
            <w:pPr>
              <w:pStyle w:val="Compact"/>
              <w:jc w:val="left"/>
            </w:pPr>
            <w:r>
              <w:t xml:space="preserve">nan</w:t>
            </w:r>
          </w:p>
        </w:tc>
        <w:tc>
          <w:tcPr/>
          <w:p>
            <w:pPr>
              <w:pStyle w:val="Compact"/>
              <w:jc w:val="left"/>
            </w:pPr>
            <w:r>
              <w:t xml:space="preserve">52 (1.6)</w:t>
            </w:r>
          </w:p>
        </w:tc>
        <w:tc>
          <w:tcPr/>
          <w:p>
            <w:pPr>
              <w:pStyle w:val="Compact"/>
              <w:jc w:val="left"/>
            </w:pPr>
            <w:r>
              <w:t xml:space="preserve">45 (1.7)</w:t>
            </w:r>
          </w:p>
        </w:tc>
        <w:tc>
          <w:tcPr/>
          <w:p>
            <w:pPr>
              <w:pStyle w:val="Compact"/>
              <w:jc w:val="left"/>
            </w:pPr>
            <w:r>
              <w:t xml:space="preserve">7 (1.5)</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138</w:t>
            </w:r>
          </w:p>
        </w:tc>
        <w:tc>
          <w:tcPr/>
          <w:p>
            <w:pPr>
              <w:pStyle w:val="Compact"/>
              <w:jc w:val="left"/>
            </w:pPr>
            <w:r>
              <w:t xml:space="preserve">nan</w:t>
            </w:r>
          </w:p>
        </w:tc>
        <w:tc>
          <w:tcPr/>
          <w:p>
            <w:pPr>
              <w:pStyle w:val="Compact"/>
              <w:jc w:val="left"/>
            </w:pPr>
            <w:r>
              <w:t xml:space="preserve">615 (19.3)</w:t>
            </w:r>
          </w:p>
        </w:tc>
        <w:tc>
          <w:tcPr/>
          <w:p>
            <w:pPr>
              <w:pStyle w:val="Compact"/>
              <w:jc w:val="left"/>
            </w:pPr>
            <w:r>
              <w:t xml:space="preserve">543 (19.9)</w:t>
            </w:r>
          </w:p>
        </w:tc>
        <w:tc>
          <w:tcPr/>
          <w:p>
            <w:pPr>
              <w:pStyle w:val="Compact"/>
              <w:jc w:val="left"/>
            </w:pPr>
            <w:r>
              <w:t xml:space="preserve">72 (15.3)</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139</w:t>
            </w:r>
          </w:p>
        </w:tc>
        <w:tc>
          <w:tcPr/>
          <w:p>
            <w:pPr>
              <w:pStyle w:val="Compact"/>
              <w:jc w:val="left"/>
            </w:pPr>
            <w:r>
              <w:t xml:space="preserve">nan</w:t>
            </w:r>
          </w:p>
        </w:tc>
        <w:tc>
          <w:tcPr/>
          <w:p>
            <w:pPr>
              <w:pStyle w:val="Compact"/>
              <w:jc w:val="left"/>
            </w:pPr>
            <w:r>
              <w:t xml:space="preserve">9 (0.3)</w:t>
            </w:r>
          </w:p>
        </w:tc>
        <w:tc>
          <w:tcPr/>
          <w:p>
            <w:pPr>
              <w:pStyle w:val="Compact"/>
              <w:jc w:val="left"/>
            </w:pPr>
            <w:r>
              <w:t xml:space="preserve">4 (0.1)</w:t>
            </w:r>
          </w:p>
        </w:tc>
        <w:tc>
          <w:tcPr/>
          <w:p>
            <w:pPr>
              <w:pStyle w:val="Compact"/>
              <w:jc w:val="left"/>
            </w:pPr>
            <w:r>
              <w:t xml:space="preserve">5 (1.1)</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140</w:t>
            </w:r>
          </w:p>
        </w:tc>
        <w:tc>
          <w:tcPr/>
          <w:p>
            <w:pPr>
              <w:pStyle w:val="Compact"/>
              <w:jc w:val="left"/>
            </w:pPr>
            <w:r>
              <w:t xml:space="preserve">nan</w:t>
            </w:r>
          </w:p>
        </w:tc>
        <w:tc>
          <w:tcPr/>
          <w:p>
            <w:pPr>
              <w:pStyle w:val="Compact"/>
              <w:jc w:val="left"/>
            </w:pPr>
            <w:r>
              <w:t xml:space="preserve">62 (1.9)</w:t>
            </w:r>
          </w:p>
        </w:tc>
        <w:tc>
          <w:tcPr/>
          <w:p>
            <w:pPr>
              <w:pStyle w:val="Compact"/>
              <w:jc w:val="left"/>
            </w:pPr>
            <w:r>
              <w:t xml:space="preserve">50 (1.8)</w:t>
            </w:r>
          </w:p>
        </w:tc>
        <w:tc>
          <w:tcPr/>
          <w:p>
            <w:pPr>
              <w:pStyle w:val="Compact"/>
              <w:jc w:val="left"/>
            </w:pPr>
            <w:r>
              <w:t xml:space="preserve">12 (2.5)</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141</w:t>
            </w:r>
          </w:p>
        </w:tc>
        <w:tc>
          <w:tcPr/>
          <w:p>
            <w:pPr>
              <w:pStyle w:val="Compact"/>
              <w:jc w:val="left"/>
            </w:pPr>
            <w:r>
              <w:t xml:space="preserve">nan</w:t>
            </w:r>
          </w:p>
        </w:tc>
        <w:tc>
          <w:tcPr/>
          <w:p>
            <w:pPr>
              <w:pStyle w:val="Compact"/>
              <w:jc w:val="left"/>
            </w:pPr>
            <w:r>
              <w:t xml:space="preserve">1 (0.0)</w:t>
            </w:r>
          </w:p>
        </w:tc>
        <w:tc>
          <w:tcPr/>
          <w:p>
            <w:pPr>
              <w:pStyle w:val="Compact"/>
              <w:jc w:val="left"/>
            </w:pPr>
            <w:r>
              <w:t xml:space="preserve">1 (0.0)</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143</w:t>
            </w:r>
          </w:p>
        </w:tc>
        <w:tc>
          <w:tcPr/>
          <w:p>
            <w:pPr>
              <w:pStyle w:val="Compact"/>
              <w:jc w:val="left"/>
            </w:pPr>
            <w:r>
              <w:t xml:space="preserve">nan</w:t>
            </w:r>
          </w:p>
        </w:tc>
        <w:tc>
          <w:tcPr/>
          <w:p>
            <w:pPr>
              <w:pStyle w:val="Compact"/>
              <w:jc w:val="left"/>
            </w:pPr>
            <w:r>
              <w:t xml:space="preserve">5 (0.2)</w:t>
            </w:r>
          </w:p>
        </w:tc>
        <w:tc>
          <w:tcPr/>
          <w:p>
            <w:pPr>
              <w:pStyle w:val="Compact"/>
              <w:jc w:val="left"/>
            </w:pPr>
            <w:r>
              <w:t xml:space="preserve">5 (0.2)</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149</w:t>
            </w:r>
          </w:p>
        </w:tc>
        <w:tc>
          <w:tcPr/>
          <w:p>
            <w:pPr>
              <w:pStyle w:val="Compact"/>
              <w:jc w:val="left"/>
            </w:pPr>
            <w:r>
              <w:t xml:space="preserve">nan</w:t>
            </w:r>
          </w:p>
        </w:tc>
        <w:tc>
          <w:tcPr/>
          <w:p>
            <w:pPr>
              <w:pStyle w:val="Compact"/>
              <w:jc w:val="left"/>
            </w:pPr>
            <w:r>
              <w:t xml:space="preserve">12 (0.4)</w:t>
            </w:r>
          </w:p>
        </w:tc>
        <w:tc>
          <w:tcPr/>
          <w:p>
            <w:pPr>
              <w:pStyle w:val="Compact"/>
              <w:jc w:val="left"/>
            </w:pPr>
            <w:r>
              <w:t xml:space="preserve">11 (0.4)</w:t>
            </w:r>
          </w:p>
        </w:tc>
        <w:tc>
          <w:tcPr/>
          <w:p>
            <w:pPr>
              <w:pStyle w:val="Compact"/>
              <w:jc w:val="left"/>
            </w:pPr>
            <w:r>
              <w:t xml:space="preserve">1 (0.2)</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15</w:t>
            </w:r>
          </w:p>
        </w:tc>
        <w:tc>
          <w:tcPr/>
          <w:p>
            <w:pPr>
              <w:pStyle w:val="Compact"/>
              <w:jc w:val="left"/>
            </w:pPr>
            <w:r>
              <w:t xml:space="preserve">nan</w:t>
            </w:r>
          </w:p>
        </w:tc>
        <w:tc>
          <w:tcPr/>
          <w:p>
            <w:pPr>
              <w:pStyle w:val="Compact"/>
              <w:jc w:val="left"/>
            </w:pPr>
            <w:r>
              <w:t xml:space="preserve">11 (0.3)</w:t>
            </w:r>
          </w:p>
        </w:tc>
        <w:tc>
          <w:tcPr/>
          <w:p>
            <w:pPr>
              <w:pStyle w:val="Compact"/>
              <w:jc w:val="left"/>
            </w:pPr>
            <w:r>
              <w:t xml:space="preserve">10 (0.4)</w:t>
            </w:r>
          </w:p>
        </w:tc>
        <w:tc>
          <w:tcPr/>
          <w:p>
            <w:pPr>
              <w:pStyle w:val="Compact"/>
              <w:jc w:val="left"/>
            </w:pPr>
            <w:r>
              <w:t xml:space="preserve">1 (0.2)</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150</w:t>
            </w:r>
          </w:p>
        </w:tc>
        <w:tc>
          <w:tcPr/>
          <w:p>
            <w:pPr>
              <w:pStyle w:val="Compact"/>
              <w:jc w:val="left"/>
            </w:pPr>
            <w:r>
              <w:t xml:space="preserve">nan</w:t>
            </w:r>
          </w:p>
        </w:tc>
        <w:tc>
          <w:tcPr/>
          <w:p>
            <w:pPr>
              <w:pStyle w:val="Compact"/>
              <w:jc w:val="left"/>
            </w:pPr>
            <w:r>
              <w:t xml:space="preserve">1 (0.0)</w:t>
            </w:r>
          </w:p>
        </w:tc>
        <w:tc>
          <w:tcPr/>
          <w:p>
            <w:pPr>
              <w:pStyle w:val="Compact"/>
              <w:jc w:val="left"/>
            </w:pPr>
            <w:r>
              <w:t xml:space="preserve">1 (0.0)</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153</w:t>
            </w:r>
          </w:p>
        </w:tc>
        <w:tc>
          <w:tcPr/>
          <w:p>
            <w:pPr>
              <w:pStyle w:val="Compact"/>
              <w:jc w:val="left"/>
            </w:pPr>
            <w:r>
              <w:t xml:space="preserve">nan</w:t>
            </w:r>
          </w:p>
        </w:tc>
        <w:tc>
          <w:tcPr/>
          <w:p>
            <w:pPr>
              <w:pStyle w:val="Compact"/>
              <w:jc w:val="left"/>
            </w:pPr>
            <w:r>
              <w:t xml:space="preserve">8 (0.3)</w:t>
            </w:r>
          </w:p>
        </w:tc>
        <w:tc>
          <w:tcPr/>
          <w:p>
            <w:pPr>
              <w:pStyle w:val="Compact"/>
              <w:jc w:val="left"/>
            </w:pPr>
            <w:r>
              <w:t xml:space="preserve">8 (0.3)</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155</w:t>
            </w:r>
          </w:p>
        </w:tc>
        <w:tc>
          <w:tcPr/>
          <w:p>
            <w:pPr>
              <w:pStyle w:val="Compact"/>
              <w:jc w:val="left"/>
            </w:pPr>
            <w:r>
              <w:t xml:space="preserve">nan</w:t>
            </w:r>
          </w:p>
        </w:tc>
        <w:tc>
          <w:tcPr/>
          <w:p>
            <w:pPr>
              <w:pStyle w:val="Compact"/>
              <w:jc w:val="left"/>
            </w:pPr>
            <w:r>
              <w:t xml:space="preserve">4 (0.1)</w:t>
            </w:r>
          </w:p>
        </w:tc>
        <w:tc>
          <w:tcPr/>
          <w:p>
            <w:pPr>
              <w:pStyle w:val="Compact"/>
              <w:jc w:val="left"/>
            </w:pPr>
            <w:r>
              <w:t xml:space="preserve">4 (0.1)</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160</w:t>
            </w:r>
          </w:p>
        </w:tc>
        <w:tc>
          <w:tcPr/>
          <w:p>
            <w:pPr>
              <w:pStyle w:val="Compact"/>
              <w:jc w:val="left"/>
            </w:pPr>
            <w:r>
              <w:t xml:space="preserve">nan</w:t>
            </w:r>
          </w:p>
        </w:tc>
        <w:tc>
          <w:tcPr/>
          <w:p>
            <w:pPr>
              <w:pStyle w:val="Compact"/>
              <w:jc w:val="left"/>
            </w:pPr>
            <w:r>
              <w:t xml:space="preserve">14 (0.4)</w:t>
            </w:r>
          </w:p>
        </w:tc>
        <w:tc>
          <w:tcPr/>
          <w:p>
            <w:pPr>
              <w:pStyle w:val="Compact"/>
              <w:jc w:val="left"/>
            </w:pPr>
            <w:r>
              <w:t xml:space="preserve">13 (0.5)</w:t>
            </w:r>
          </w:p>
        </w:tc>
        <w:tc>
          <w:tcPr/>
          <w:p>
            <w:pPr>
              <w:pStyle w:val="Compact"/>
              <w:jc w:val="left"/>
            </w:pPr>
            <w:r>
              <w:t xml:space="preserve">1 (0.2)</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162</w:t>
            </w:r>
          </w:p>
        </w:tc>
        <w:tc>
          <w:tcPr/>
          <w:p>
            <w:pPr>
              <w:pStyle w:val="Compact"/>
              <w:jc w:val="left"/>
            </w:pPr>
            <w:r>
              <w:t xml:space="preserve">nan</w:t>
            </w:r>
          </w:p>
        </w:tc>
        <w:tc>
          <w:tcPr/>
          <w:p>
            <w:pPr>
              <w:pStyle w:val="Compact"/>
              <w:jc w:val="left"/>
            </w:pPr>
            <w:r>
              <w:t xml:space="preserve">1 (0.0)</w:t>
            </w:r>
          </w:p>
        </w:tc>
        <w:tc>
          <w:tcPr/>
          <w:p>
            <w:pPr>
              <w:pStyle w:val="Compact"/>
              <w:jc w:val="left"/>
            </w:pPr>
            <w:r>
              <w:t xml:space="preserve">1 (0.0)</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164</w:t>
            </w:r>
          </w:p>
        </w:tc>
        <w:tc>
          <w:tcPr/>
          <w:p>
            <w:pPr>
              <w:pStyle w:val="Compact"/>
              <w:jc w:val="left"/>
            </w:pPr>
            <w:r>
              <w:t xml:space="preserve">nan</w:t>
            </w:r>
          </w:p>
        </w:tc>
        <w:tc>
          <w:tcPr/>
          <w:p>
            <w:pPr>
              <w:pStyle w:val="Compact"/>
              <w:jc w:val="left"/>
            </w:pPr>
            <w:r>
              <w:t xml:space="preserve">10 (0.3)</w:t>
            </w:r>
          </w:p>
        </w:tc>
        <w:tc>
          <w:tcPr/>
          <w:p>
            <w:pPr>
              <w:pStyle w:val="Compact"/>
              <w:jc w:val="left"/>
            </w:pPr>
            <w:r>
              <w:t xml:space="preserve">7 (0.3)</w:t>
            </w:r>
          </w:p>
        </w:tc>
        <w:tc>
          <w:tcPr/>
          <w:p>
            <w:pPr>
              <w:pStyle w:val="Compact"/>
              <w:jc w:val="left"/>
            </w:pPr>
            <w:r>
              <w:t xml:space="preserve">3 (0.6)</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165</w:t>
            </w:r>
          </w:p>
        </w:tc>
        <w:tc>
          <w:tcPr/>
          <w:p>
            <w:pPr>
              <w:pStyle w:val="Compact"/>
              <w:jc w:val="left"/>
            </w:pPr>
            <w:r>
              <w:t xml:space="preserve">nan</w:t>
            </w:r>
          </w:p>
        </w:tc>
        <w:tc>
          <w:tcPr/>
          <w:p>
            <w:pPr>
              <w:pStyle w:val="Compact"/>
              <w:jc w:val="left"/>
            </w:pPr>
            <w:r>
              <w:t xml:space="preserve">2 (0.1)</w:t>
            </w:r>
          </w:p>
        </w:tc>
        <w:tc>
          <w:tcPr/>
          <w:p>
            <w:pPr>
              <w:pStyle w:val="Compact"/>
              <w:jc w:val="left"/>
            </w:pPr>
            <w:r>
              <w:t xml:space="preserve">2 (0.1)</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166</w:t>
            </w:r>
          </w:p>
        </w:tc>
        <w:tc>
          <w:tcPr/>
          <w:p>
            <w:pPr>
              <w:pStyle w:val="Compact"/>
              <w:jc w:val="left"/>
            </w:pPr>
            <w:r>
              <w:t xml:space="preserve">nan</w:t>
            </w:r>
          </w:p>
        </w:tc>
        <w:tc>
          <w:tcPr/>
          <w:p>
            <w:pPr>
              <w:pStyle w:val="Compact"/>
              <w:jc w:val="left"/>
            </w:pPr>
            <w:r>
              <w:t xml:space="preserve">3 (0.1)</w:t>
            </w:r>
          </w:p>
        </w:tc>
        <w:tc>
          <w:tcPr/>
          <w:p>
            <w:pPr>
              <w:pStyle w:val="Compact"/>
              <w:jc w:val="left"/>
            </w:pPr>
            <w:r>
              <w:t xml:space="preserve">3 (0.1)</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168</w:t>
            </w:r>
          </w:p>
        </w:tc>
        <w:tc>
          <w:tcPr/>
          <w:p>
            <w:pPr>
              <w:pStyle w:val="Compact"/>
              <w:jc w:val="left"/>
            </w:pPr>
            <w:r>
              <w:t xml:space="preserve">nan</w:t>
            </w:r>
          </w:p>
        </w:tc>
        <w:tc>
          <w:tcPr/>
          <w:p>
            <w:pPr>
              <w:pStyle w:val="Compact"/>
              <w:jc w:val="left"/>
            </w:pPr>
            <w:r>
              <w:t xml:space="preserve">1 (0.0)</w:t>
            </w:r>
          </w:p>
        </w:tc>
        <w:tc>
          <w:tcPr/>
          <w:p>
            <w:pPr>
              <w:pStyle w:val="Compact"/>
              <w:jc w:val="left"/>
            </w:pPr>
            <w:r>
              <w:t xml:space="preserve">1 (0.0)</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169</w:t>
            </w:r>
          </w:p>
        </w:tc>
        <w:tc>
          <w:tcPr/>
          <w:p>
            <w:pPr>
              <w:pStyle w:val="Compact"/>
              <w:jc w:val="left"/>
            </w:pPr>
            <w:r>
              <w:t xml:space="preserve">nan</w:t>
            </w:r>
          </w:p>
        </w:tc>
        <w:tc>
          <w:tcPr/>
          <w:p>
            <w:pPr>
              <w:pStyle w:val="Compact"/>
              <w:jc w:val="left"/>
            </w:pPr>
            <w:r>
              <w:t xml:space="preserve">1 (0.0)</w:t>
            </w:r>
          </w:p>
        </w:tc>
        <w:tc>
          <w:tcPr/>
          <w:p>
            <w:pPr>
              <w:pStyle w:val="Compact"/>
              <w:jc w:val="left"/>
            </w:pPr>
            <w:r>
              <w:t xml:space="preserve">1 (0.0)</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172</w:t>
            </w:r>
          </w:p>
        </w:tc>
        <w:tc>
          <w:tcPr/>
          <w:p>
            <w:pPr>
              <w:pStyle w:val="Compact"/>
              <w:jc w:val="left"/>
            </w:pPr>
            <w:r>
              <w:t xml:space="preserve">nan</w:t>
            </w:r>
          </w:p>
        </w:tc>
        <w:tc>
          <w:tcPr/>
          <w:p>
            <w:pPr>
              <w:pStyle w:val="Compact"/>
              <w:jc w:val="left"/>
            </w:pPr>
            <w:r>
              <w:t xml:space="preserve">1 (0.0)</w:t>
            </w:r>
          </w:p>
        </w:tc>
        <w:tc>
          <w:tcPr/>
          <w:p>
            <w:pPr>
              <w:pStyle w:val="Compact"/>
              <w:jc w:val="left"/>
            </w:pPr>
            <w:r>
              <w:t xml:space="preserve">1 (0.0)</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174</w:t>
            </w:r>
          </w:p>
        </w:tc>
        <w:tc>
          <w:tcPr/>
          <w:p>
            <w:pPr>
              <w:pStyle w:val="Compact"/>
              <w:jc w:val="left"/>
            </w:pPr>
            <w:r>
              <w:t xml:space="preserve">nan</w:t>
            </w:r>
          </w:p>
        </w:tc>
        <w:tc>
          <w:tcPr/>
          <w:p>
            <w:pPr>
              <w:pStyle w:val="Compact"/>
              <w:jc w:val="left"/>
            </w:pPr>
            <w:r>
              <w:t xml:space="preserve">1 (0.0)</w:t>
            </w:r>
          </w:p>
        </w:tc>
        <w:tc>
          <w:tcPr/>
          <w:p>
            <w:pPr>
              <w:pStyle w:val="Compact"/>
              <w:jc w:val="left"/>
            </w:pPr>
            <w:r>
              <w:t xml:space="preserve">1 (0.0)</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175</w:t>
            </w:r>
          </w:p>
        </w:tc>
        <w:tc>
          <w:tcPr/>
          <w:p>
            <w:pPr>
              <w:pStyle w:val="Compact"/>
              <w:jc w:val="left"/>
            </w:pPr>
            <w:r>
              <w:t xml:space="preserve">nan</w:t>
            </w:r>
          </w:p>
        </w:tc>
        <w:tc>
          <w:tcPr/>
          <w:p>
            <w:pPr>
              <w:pStyle w:val="Compact"/>
              <w:jc w:val="left"/>
            </w:pPr>
            <w:r>
              <w:t xml:space="preserve">1 (0.0)</w:t>
            </w:r>
          </w:p>
        </w:tc>
        <w:tc>
          <w:tcPr/>
          <w:p>
            <w:pPr>
              <w:pStyle w:val="Compact"/>
              <w:jc w:val="left"/>
            </w:pPr>
            <w:r>
              <w:t xml:space="preserve">0 (0.0)</w:t>
            </w:r>
          </w:p>
        </w:tc>
        <w:tc>
          <w:tcPr/>
          <w:p>
            <w:pPr>
              <w:pStyle w:val="Compact"/>
              <w:jc w:val="left"/>
            </w:pPr>
            <w:r>
              <w:t xml:space="preserve">1 (0.2)</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179</w:t>
            </w:r>
          </w:p>
        </w:tc>
        <w:tc>
          <w:tcPr/>
          <w:p>
            <w:pPr>
              <w:pStyle w:val="Compact"/>
              <w:jc w:val="left"/>
            </w:pPr>
            <w:r>
              <w:t xml:space="preserve">nan</w:t>
            </w:r>
          </w:p>
        </w:tc>
        <w:tc>
          <w:tcPr/>
          <w:p>
            <w:pPr>
              <w:pStyle w:val="Compact"/>
              <w:jc w:val="left"/>
            </w:pPr>
            <w:r>
              <w:t xml:space="preserve">64 (2.0)</w:t>
            </w:r>
          </w:p>
        </w:tc>
        <w:tc>
          <w:tcPr/>
          <w:p>
            <w:pPr>
              <w:pStyle w:val="Compact"/>
              <w:jc w:val="left"/>
            </w:pPr>
            <w:r>
              <w:t xml:space="preserve">42 (1.5)</w:t>
            </w:r>
          </w:p>
        </w:tc>
        <w:tc>
          <w:tcPr/>
          <w:p>
            <w:pPr>
              <w:pStyle w:val="Compact"/>
              <w:jc w:val="left"/>
            </w:pPr>
            <w:r>
              <w:t xml:space="preserve">22 (4.7)</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18</w:t>
            </w:r>
          </w:p>
        </w:tc>
        <w:tc>
          <w:tcPr/>
          <w:p>
            <w:pPr>
              <w:pStyle w:val="Compact"/>
              <w:jc w:val="left"/>
            </w:pPr>
            <w:r>
              <w:t xml:space="preserve">nan</w:t>
            </w:r>
          </w:p>
        </w:tc>
        <w:tc>
          <w:tcPr/>
          <w:p>
            <w:pPr>
              <w:pStyle w:val="Compact"/>
              <w:jc w:val="left"/>
            </w:pPr>
            <w:r>
              <w:t xml:space="preserve">1 (0.0)</w:t>
            </w:r>
          </w:p>
        </w:tc>
        <w:tc>
          <w:tcPr/>
          <w:p>
            <w:pPr>
              <w:pStyle w:val="Compact"/>
              <w:jc w:val="left"/>
            </w:pPr>
            <w:r>
              <w:t xml:space="preserve">1 (0.0)</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180</w:t>
            </w:r>
          </w:p>
        </w:tc>
        <w:tc>
          <w:tcPr/>
          <w:p>
            <w:pPr>
              <w:pStyle w:val="Compact"/>
              <w:jc w:val="left"/>
            </w:pPr>
            <w:r>
              <w:t xml:space="preserve">nan</w:t>
            </w:r>
          </w:p>
        </w:tc>
        <w:tc>
          <w:tcPr/>
          <w:p>
            <w:pPr>
              <w:pStyle w:val="Compact"/>
              <w:jc w:val="left"/>
            </w:pPr>
            <w:r>
              <w:t xml:space="preserve">11 (0.3)</w:t>
            </w:r>
          </w:p>
        </w:tc>
        <w:tc>
          <w:tcPr/>
          <w:p>
            <w:pPr>
              <w:pStyle w:val="Compact"/>
              <w:jc w:val="left"/>
            </w:pPr>
            <w:r>
              <w:t xml:space="preserve">10 (0.4)</w:t>
            </w:r>
          </w:p>
        </w:tc>
        <w:tc>
          <w:tcPr/>
          <w:p>
            <w:pPr>
              <w:pStyle w:val="Compact"/>
              <w:jc w:val="left"/>
            </w:pPr>
            <w:r>
              <w:t xml:space="preserve">1 (0.2)</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181</w:t>
            </w:r>
          </w:p>
        </w:tc>
        <w:tc>
          <w:tcPr/>
          <w:p>
            <w:pPr>
              <w:pStyle w:val="Compact"/>
              <w:jc w:val="left"/>
            </w:pPr>
            <w:r>
              <w:t xml:space="preserve">nan</w:t>
            </w:r>
          </w:p>
        </w:tc>
        <w:tc>
          <w:tcPr/>
          <w:p>
            <w:pPr>
              <w:pStyle w:val="Compact"/>
              <w:jc w:val="left"/>
            </w:pPr>
            <w:r>
              <w:t xml:space="preserve">23 (0.7)</w:t>
            </w:r>
          </w:p>
        </w:tc>
        <w:tc>
          <w:tcPr/>
          <w:p>
            <w:pPr>
              <w:pStyle w:val="Compact"/>
              <w:jc w:val="left"/>
            </w:pPr>
            <w:r>
              <w:t xml:space="preserve">20 (0.7)</w:t>
            </w:r>
          </w:p>
        </w:tc>
        <w:tc>
          <w:tcPr/>
          <w:p>
            <w:pPr>
              <w:pStyle w:val="Compact"/>
              <w:jc w:val="left"/>
            </w:pPr>
            <w:r>
              <w:t xml:space="preserve">3 (0.6)</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182</w:t>
            </w:r>
          </w:p>
        </w:tc>
        <w:tc>
          <w:tcPr/>
          <w:p>
            <w:pPr>
              <w:pStyle w:val="Compact"/>
              <w:jc w:val="left"/>
            </w:pPr>
            <w:r>
              <w:t xml:space="preserve">nan</w:t>
            </w:r>
          </w:p>
        </w:tc>
        <w:tc>
          <w:tcPr/>
          <w:p>
            <w:pPr>
              <w:pStyle w:val="Compact"/>
              <w:jc w:val="left"/>
            </w:pPr>
            <w:r>
              <w:t xml:space="preserve">2 (0.1)</w:t>
            </w:r>
          </w:p>
        </w:tc>
        <w:tc>
          <w:tcPr/>
          <w:p>
            <w:pPr>
              <w:pStyle w:val="Compact"/>
              <w:jc w:val="left"/>
            </w:pPr>
            <w:r>
              <w:t xml:space="preserve">2 (0.1)</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184</w:t>
            </w:r>
          </w:p>
        </w:tc>
        <w:tc>
          <w:tcPr/>
          <w:p>
            <w:pPr>
              <w:pStyle w:val="Compact"/>
              <w:jc w:val="left"/>
            </w:pPr>
            <w:r>
              <w:t xml:space="preserve">nan</w:t>
            </w:r>
          </w:p>
        </w:tc>
        <w:tc>
          <w:tcPr/>
          <w:p>
            <w:pPr>
              <w:pStyle w:val="Compact"/>
              <w:jc w:val="left"/>
            </w:pPr>
            <w:r>
              <w:t xml:space="preserve">1 (0.0)</w:t>
            </w:r>
          </w:p>
        </w:tc>
        <w:tc>
          <w:tcPr/>
          <w:p>
            <w:pPr>
              <w:pStyle w:val="Compact"/>
              <w:jc w:val="left"/>
            </w:pPr>
            <w:r>
              <w:t xml:space="preserve">0 (0.0)</w:t>
            </w:r>
          </w:p>
        </w:tc>
        <w:tc>
          <w:tcPr/>
          <w:p>
            <w:pPr>
              <w:pStyle w:val="Compact"/>
              <w:jc w:val="left"/>
            </w:pPr>
            <w:r>
              <w:t xml:space="preserve">1 (0.2)</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185</w:t>
            </w:r>
          </w:p>
        </w:tc>
        <w:tc>
          <w:tcPr/>
          <w:p>
            <w:pPr>
              <w:pStyle w:val="Compact"/>
              <w:jc w:val="left"/>
            </w:pPr>
            <w:r>
              <w:t xml:space="preserve">nan</w:t>
            </w:r>
          </w:p>
        </w:tc>
        <w:tc>
          <w:tcPr/>
          <w:p>
            <w:pPr>
              <w:pStyle w:val="Compact"/>
              <w:jc w:val="left"/>
            </w:pPr>
            <w:r>
              <w:t xml:space="preserve">3 (0.1)</w:t>
            </w:r>
          </w:p>
        </w:tc>
        <w:tc>
          <w:tcPr/>
          <w:p>
            <w:pPr>
              <w:pStyle w:val="Compact"/>
              <w:jc w:val="left"/>
            </w:pPr>
            <w:r>
              <w:t xml:space="preserve">3 (0.1)</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19</w:t>
            </w:r>
          </w:p>
        </w:tc>
        <w:tc>
          <w:tcPr/>
          <w:p>
            <w:pPr>
              <w:pStyle w:val="Compact"/>
              <w:jc w:val="left"/>
            </w:pPr>
            <w:r>
              <w:t xml:space="preserve">nan</w:t>
            </w:r>
          </w:p>
        </w:tc>
        <w:tc>
          <w:tcPr/>
          <w:p>
            <w:pPr>
              <w:pStyle w:val="Compact"/>
              <w:jc w:val="left"/>
            </w:pPr>
            <w:r>
              <w:t xml:space="preserve">3 (0.1)</w:t>
            </w:r>
          </w:p>
        </w:tc>
        <w:tc>
          <w:tcPr/>
          <w:p>
            <w:pPr>
              <w:pStyle w:val="Compact"/>
              <w:jc w:val="left"/>
            </w:pPr>
            <w:r>
              <w:t xml:space="preserve">3 (0.1)</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190</w:t>
            </w:r>
          </w:p>
        </w:tc>
        <w:tc>
          <w:tcPr/>
          <w:p>
            <w:pPr>
              <w:pStyle w:val="Compact"/>
              <w:jc w:val="left"/>
            </w:pPr>
            <w:r>
              <w:t xml:space="preserve">nan</w:t>
            </w:r>
          </w:p>
        </w:tc>
        <w:tc>
          <w:tcPr/>
          <w:p>
            <w:pPr>
              <w:pStyle w:val="Compact"/>
              <w:jc w:val="left"/>
            </w:pPr>
            <w:r>
              <w:t xml:space="preserve">5 (0.2)</w:t>
            </w:r>
          </w:p>
        </w:tc>
        <w:tc>
          <w:tcPr/>
          <w:p>
            <w:pPr>
              <w:pStyle w:val="Compact"/>
              <w:jc w:val="left"/>
            </w:pPr>
            <w:r>
              <w:t xml:space="preserve">5 (0.2)</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195</w:t>
            </w:r>
          </w:p>
        </w:tc>
        <w:tc>
          <w:tcPr/>
          <w:p>
            <w:pPr>
              <w:pStyle w:val="Compact"/>
              <w:jc w:val="left"/>
            </w:pPr>
            <w:r>
              <w:t xml:space="preserve">nan</w:t>
            </w:r>
          </w:p>
        </w:tc>
        <w:tc>
          <w:tcPr/>
          <w:p>
            <w:pPr>
              <w:pStyle w:val="Compact"/>
              <w:jc w:val="left"/>
            </w:pPr>
            <w:r>
              <w:t xml:space="preserve">2 (0.1)</w:t>
            </w:r>
          </w:p>
        </w:tc>
        <w:tc>
          <w:tcPr/>
          <w:p>
            <w:pPr>
              <w:pStyle w:val="Compact"/>
              <w:jc w:val="left"/>
            </w:pPr>
            <w:r>
              <w:t xml:space="preserve">2 (0.1)</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196</w:t>
            </w:r>
          </w:p>
        </w:tc>
        <w:tc>
          <w:tcPr/>
          <w:p>
            <w:pPr>
              <w:pStyle w:val="Compact"/>
              <w:jc w:val="left"/>
            </w:pPr>
            <w:r>
              <w:t xml:space="preserve">nan</w:t>
            </w:r>
          </w:p>
        </w:tc>
        <w:tc>
          <w:tcPr/>
          <w:p>
            <w:pPr>
              <w:pStyle w:val="Compact"/>
              <w:jc w:val="left"/>
            </w:pPr>
            <w:r>
              <w:t xml:space="preserve">4 (0.1)</w:t>
            </w:r>
          </w:p>
        </w:tc>
        <w:tc>
          <w:tcPr/>
          <w:p>
            <w:pPr>
              <w:pStyle w:val="Compact"/>
              <w:jc w:val="left"/>
            </w:pPr>
            <w:r>
              <w:t xml:space="preserve">4 (0.1)</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198</w:t>
            </w:r>
          </w:p>
        </w:tc>
        <w:tc>
          <w:tcPr/>
          <w:p>
            <w:pPr>
              <w:pStyle w:val="Compact"/>
              <w:jc w:val="left"/>
            </w:pPr>
            <w:r>
              <w:t xml:space="preserve">nan</w:t>
            </w:r>
          </w:p>
        </w:tc>
        <w:tc>
          <w:tcPr/>
          <w:p>
            <w:pPr>
              <w:pStyle w:val="Compact"/>
              <w:jc w:val="left"/>
            </w:pPr>
            <w:r>
              <w:t xml:space="preserve">4 (0.1)</w:t>
            </w:r>
          </w:p>
        </w:tc>
        <w:tc>
          <w:tcPr/>
          <w:p>
            <w:pPr>
              <w:pStyle w:val="Compact"/>
              <w:jc w:val="left"/>
            </w:pPr>
            <w:r>
              <w:t xml:space="preserve">4 (0.1)</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20</w:t>
            </w:r>
          </w:p>
        </w:tc>
        <w:tc>
          <w:tcPr/>
          <w:p>
            <w:pPr>
              <w:pStyle w:val="Compact"/>
              <w:jc w:val="left"/>
            </w:pPr>
            <w:r>
              <w:t xml:space="preserve">nan</w:t>
            </w:r>
          </w:p>
        </w:tc>
        <w:tc>
          <w:tcPr/>
          <w:p>
            <w:pPr>
              <w:pStyle w:val="Compact"/>
              <w:jc w:val="left"/>
            </w:pPr>
            <w:r>
              <w:t xml:space="preserve">2 (0.1)</w:t>
            </w:r>
          </w:p>
        </w:tc>
        <w:tc>
          <w:tcPr/>
          <w:p>
            <w:pPr>
              <w:pStyle w:val="Compact"/>
              <w:jc w:val="left"/>
            </w:pPr>
            <w:r>
              <w:t xml:space="preserve">1 (0.0)</w:t>
            </w:r>
          </w:p>
        </w:tc>
        <w:tc>
          <w:tcPr/>
          <w:p>
            <w:pPr>
              <w:pStyle w:val="Compact"/>
              <w:jc w:val="left"/>
            </w:pPr>
            <w:r>
              <w:t xml:space="preserve">1 (0.2)</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202</w:t>
            </w:r>
          </w:p>
        </w:tc>
        <w:tc>
          <w:tcPr/>
          <w:p>
            <w:pPr>
              <w:pStyle w:val="Compact"/>
              <w:jc w:val="left"/>
            </w:pPr>
            <w:r>
              <w:t xml:space="preserve">nan</w:t>
            </w:r>
          </w:p>
        </w:tc>
        <w:tc>
          <w:tcPr/>
          <w:p>
            <w:pPr>
              <w:pStyle w:val="Compact"/>
              <w:jc w:val="left"/>
            </w:pPr>
            <w:r>
              <w:t xml:space="preserve">1 (0.0)</w:t>
            </w:r>
          </w:p>
        </w:tc>
        <w:tc>
          <w:tcPr/>
          <w:p>
            <w:pPr>
              <w:pStyle w:val="Compact"/>
              <w:jc w:val="left"/>
            </w:pPr>
            <w:r>
              <w:t xml:space="preserve">1 (0.0)</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204</w:t>
            </w:r>
          </w:p>
        </w:tc>
        <w:tc>
          <w:tcPr/>
          <w:p>
            <w:pPr>
              <w:pStyle w:val="Compact"/>
              <w:jc w:val="left"/>
            </w:pPr>
            <w:r>
              <w:t xml:space="preserve">nan</w:t>
            </w:r>
          </w:p>
        </w:tc>
        <w:tc>
          <w:tcPr/>
          <w:p>
            <w:pPr>
              <w:pStyle w:val="Compact"/>
              <w:jc w:val="left"/>
            </w:pPr>
            <w:r>
              <w:t xml:space="preserve">5 (0.2)</w:t>
            </w:r>
          </w:p>
        </w:tc>
        <w:tc>
          <w:tcPr/>
          <w:p>
            <w:pPr>
              <w:pStyle w:val="Compact"/>
              <w:jc w:val="left"/>
            </w:pPr>
            <w:r>
              <w:t xml:space="preserve">5 (0.2)</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206</w:t>
            </w:r>
          </w:p>
        </w:tc>
        <w:tc>
          <w:tcPr/>
          <w:p>
            <w:pPr>
              <w:pStyle w:val="Compact"/>
              <w:jc w:val="left"/>
            </w:pPr>
            <w:r>
              <w:t xml:space="preserve">nan</w:t>
            </w:r>
          </w:p>
        </w:tc>
        <w:tc>
          <w:tcPr/>
          <w:p>
            <w:pPr>
              <w:pStyle w:val="Compact"/>
              <w:jc w:val="left"/>
            </w:pPr>
            <w:r>
              <w:t xml:space="preserve">7 (0.2)</w:t>
            </w:r>
          </w:p>
        </w:tc>
        <w:tc>
          <w:tcPr/>
          <w:p>
            <w:pPr>
              <w:pStyle w:val="Compact"/>
              <w:jc w:val="left"/>
            </w:pPr>
            <w:r>
              <w:t xml:space="preserve">7 (0.3)</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208</w:t>
            </w:r>
          </w:p>
        </w:tc>
        <w:tc>
          <w:tcPr/>
          <w:p>
            <w:pPr>
              <w:pStyle w:val="Compact"/>
              <w:jc w:val="left"/>
            </w:pPr>
            <w:r>
              <w:t xml:space="preserve">nan</w:t>
            </w:r>
          </w:p>
        </w:tc>
        <w:tc>
          <w:tcPr/>
          <w:p>
            <w:pPr>
              <w:pStyle w:val="Compact"/>
              <w:jc w:val="left"/>
            </w:pPr>
            <w:r>
              <w:t xml:space="preserve">8 (0.3)</w:t>
            </w:r>
          </w:p>
        </w:tc>
        <w:tc>
          <w:tcPr/>
          <w:p>
            <w:pPr>
              <w:pStyle w:val="Compact"/>
              <w:jc w:val="left"/>
            </w:pPr>
            <w:r>
              <w:t xml:space="preserve">5 (0.2)</w:t>
            </w:r>
          </w:p>
        </w:tc>
        <w:tc>
          <w:tcPr/>
          <w:p>
            <w:pPr>
              <w:pStyle w:val="Compact"/>
              <w:jc w:val="left"/>
            </w:pPr>
            <w:r>
              <w:t xml:space="preserve">3 (0.6)</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209</w:t>
            </w:r>
          </w:p>
        </w:tc>
        <w:tc>
          <w:tcPr/>
          <w:p>
            <w:pPr>
              <w:pStyle w:val="Compact"/>
              <w:jc w:val="left"/>
            </w:pPr>
            <w:r>
              <w:t xml:space="preserve">nan</w:t>
            </w:r>
          </w:p>
        </w:tc>
        <w:tc>
          <w:tcPr/>
          <w:p>
            <w:pPr>
              <w:pStyle w:val="Compact"/>
              <w:jc w:val="left"/>
            </w:pPr>
            <w:r>
              <w:t xml:space="preserve">6 (0.2)</w:t>
            </w:r>
          </w:p>
        </w:tc>
        <w:tc>
          <w:tcPr/>
          <w:p>
            <w:pPr>
              <w:pStyle w:val="Compact"/>
              <w:jc w:val="left"/>
            </w:pPr>
            <w:r>
              <w:t xml:space="preserve">2 (0.1)</w:t>
            </w:r>
          </w:p>
        </w:tc>
        <w:tc>
          <w:tcPr/>
          <w:p>
            <w:pPr>
              <w:pStyle w:val="Compact"/>
              <w:jc w:val="left"/>
            </w:pPr>
            <w:r>
              <w:t xml:space="preserve">4 (0.8)</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21</w:t>
            </w:r>
          </w:p>
        </w:tc>
        <w:tc>
          <w:tcPr/>
          <w:p>
            <w:pPr>
              <w:pStyle w:val="Compact"/>
              <w:jc w:val="left"/>
            </w:pPr>
            <w:r>
              <w:t xml:space="preserve">nan</w:t>
            </w:r>
          </w:p>
        </w:tc>
        <w:tc>
          <w:tcPr/>
          <w:p>
            <w:pPr>
              <w:pStyle w:val="Compact"/>
              <w:jc w:val="left"/>
            </w:pPr>
            <w:r>
              <w:t xml:space="preserve">21 (0.7)</w:t>
            </w:r>
          </w:p>
        </w:tc>
        <w:tc>
          <w:tcPr/>
          <w:p>
            <w:pPr>
              <w:pStyle w:val="Compact"/>
              <w:jc w:val="left"/>
            </w:pPr>
            <w:r>
              <w:t xml:space="preserve">18 (0.7)</w:t>
            </w:r>
          </w:p>
        </w:tc>
        <w:tc>
          <w:tcPr/>
          <w:p>
            <w:pPr>
              <w:pStyle w:val="Compact"/>
              <w:jc w:val="left"/>
            </w:pPr>
            <w:r>
              <w:t xml:space="preserve">3 (0.6)</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211</w:t>
            </w:r>
          </w:p>
        </w:tc>
        <w:tc>
          <w:tcPr/>
          <w:p>
            <w:pPr>
              <w:pStyle w:val="Compact"/>
              <w:jc w:val="left"/>
            </w:pPr>
            <w:r>
              <w:t xml:space="preserve">nan</w:t>
            </w:r>
          </w:p>
        </w:tc>
        <w:tc>
          <w:tcPr/>
          <w:p>
            <w:pPr>
              <w:pStyle w:val="Compact"/>
              <w:jc w:val="left"/>
            </w:pPr>
            <w:r>
              <w:t xml:space="preserve">16 (0.5)</w:t>
            </w:r>
          </w:p>
        </w:tc>
        <w:tc>
          <w:tcPr/>
          <w:p>
            <w:pPr>
              <w:pStyle w:val="Compact"/>
              <w:jc w:val="left"/>
            </w:pPr>
            <w:r>
              <w:t xml:space="preserve">10 (0.4)</w:t>
            </w:r>
          </w:p>
        </w:tc>
        <w:tc>
          <w:tcPr/>
          <w:p>
            <w:pPr>
              <w:pStyle w:val="Compact"/>
              <w:jc w:val="left"/>
            </w:pPr>
            <w:r>
              <w:t xml:space="preserve">6 (1.3)</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213</w:t>
            </w:r>
          </w:p>
        </w:tc>
        <w:tc>
          <w:tcPr/>
          <w:p>
            <w:pPr>
              <w:pStyle w:val="Compact"/>
              <w:jc w:val="left"/>
            </w:pPr>
            <w:r>
              <w:t xml:space="preserve">nan</w:t>
            </w:r>
          </w:p>
        </w:tc>
        <w:tc>
          <w:tcPr/>
          <w:p>
            <w:pPr>
              <w:pStyle w:val="Compact"/>
              <w:jc w:val="left"/>
            </w:pPr>
            <w:r>
              <w:t xml:space="preserve">1 (0.0)</w:t>
            </w:r>
          </w:p>
        </w:tc>
        <w:tc>
          <w:tcPr/>
          <w:p>
            <w:pPr>
              <w:pStyle w:val="Compact"/>
              <w:jc w:val="left"/>
            </w:pPr>
            <w:r>
              <w:t xml:space="preserve">1 (0.0)</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214</w:t>
            </w:r>
          </w:p>
        </w:tc>
        <w:tc>
          <w:tcPr/>
          <w:p>
            <w:pPr>
              <w:pStyle w:val="Compact"/>
              <w:jc w:val="left"/>
            </w:pPr>
            <w:r>
              <w:t xml:space="preserve">nan</w:t>
            </w:r>
          </w:p>
        </w:tc>
        <w:tc>
          <w:tcPr/>
          <w:p>
            <w:pPr>
              <w:pStyle w:val="Compact"/>
              <w:jc w:val="left"/>
            </w:pPr>
            <w:r>
              <w:t xml:space="preserve">2 (0.1)</w:t>
            </w:r>
          </w:p>
        </w:tc>
        <w:tc>
          <w:tcPr/>
          <w:p>
            <w:pPr>
              <w:pStyle w:val="Compact"/>
              <w:jc w:val="left"/>
            </w:pPr>
            <w:r>
              <w:t xml:space="preserve">2 (0.1)</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216</w:t>
            </w:r>
          </w:p>
        </w:tc>
        <w:tc>
          <w:tcPr/>
          <w:p>
            <w:pPr>
              <w:pStyle w:val="Compact"/>
              <w:jc w:val="left"/>
            </w:pPr>
            <w:r>
              <w:t xml:space="preserve">nan</w:t>
            </w:r>
          </w:p>
        </w:tc>
        <w:tc>
          <w:tcPr/>
          <w:p>
            <w:pPr>
              <w:pStyle w:val="Compact"/>
              <w:jc w:val="left"/>
            </w:pPr>
            <w:r>
              <w:t xml:space="preserve">5 (0.2)</w:t>
            </w:r>
          </w:p>
        </w:tc>
        <w:tc>
          <w:tcPr/>
          <w:p>
            <w:pPr>
              <w:pStyle w:val="Compact"/>
              <w:jc w:val="left"/>
            </w:pPr>
            <w:r>
              <w:t xml:space="preserve">4 (0.1)</w:t>
            </w:r>
          </w:p>
        </w:tc>
        <w:tc>
          <w:tcPr/>
          <w:p>
            <w:pPr>
              <w:pStyle w:val="Compact"/>
              <w:jc w:val="left"/>
            </w:pPr>
            <w:r>
              <w:t xml:space="preserve">1 (0.2)</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217</w:t>
            </w:r>
          </w:p>
        </w:tc>
        <w:tc>
          <w:tcPr/>
          <w:p>
            <w:pPr>
              <w:pStyle w:val="Compact"/>
              <w:jc w:val="left"/>
            </w:pPr>
            <w:r>
              <w:t xml:space="preserve">nan</w:t>
            </w:r>
          </w:p>
        </w:tc>
        <w:tc>
          <w:tcPr/>
          <w:p>
            <w:pPr>
              <w:pStyle w:val="Compact"/>
              <w:jc w:val="left"/>
            </w:pPr>
            <w:r>
              <w:t xml:space="preserve">10 (0.3)</w:t>
            </w:r>
          </w:p>
        </w:tc>
        <w:tc>
          <w:tcPr/>
          <w:p>
            <w:pPr>
              <w:pStyle w:val="Compact"/>
              <w:jc w:val="left"/>
            </w:pPr>
            <w:r>
              <w:t xml:space="preserve">9 (0.3)</w:t>
            </w:r>
          </w:p>
        </w:tc>
        <w:tc>
          <w:tcPr/>
          <w:p>
            <w:pPr>
              <w:pStyle w:val="Compact"/>
              <w:jc w:val="left"/>
            </w:pPr>
            <w:r>
              <w:t xml:space="preserve">1 (0.2)</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218</w:t>
            </w:r>
          </w:p>
        </w:tc>
        <w:tc>
          <w:tcPr/>
          <w:p>
            <w:pPr>
              <w:pStyle w:val="Compact"/>
              <w:jc w:val="left"/>
            </w:pPr>
            <w:r>
              <w:t xml:space="preserve">nan</w:t>
            </w:r>
          </w:p>
        </w:tc>
        <w:tc>
          <w:tcPr/>
          <w:p>
            <w:pPr>
              <w:pStyle w:val="Compact"/>
              <w:jc w:val="left"/>
            </w:pPr>
            <w:r>
              <w:t xml:space="preserve">1 (0.0)</w:t>
            </w:r>
          </w:p>
        </w:tc>
        <w:tc>
          <w:tcPr/>
          <w:p>
            <w:pPr>
              <w:pStyle w:val="Compact"/>
              <w:jc w:val="left"/>
            </w:pPr>
            <w:r>
              <w:t xml:space="preserve">0 (0.0)</w:t>
            </w:r>
          </w:p>
        </w:tc>
        <w:tc>
          <w:tcPr/>
          <w:p>
            <w:pPr>
              <w:pStyle w:val="Compact"/>
              <w:jc w:val="left"/>
            </w:pPr>
            <w:r>
              <w:t xml:space="preserve">1 (0.2)</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219</w:t>
            </w:r>
          </w:p>
        </w:tc>
        <w:tc>
          <w:tcPr/>
          <w:p>
            <w:pPr>
              <w:pStyle w:val="Compact"/>
              <w:jc w:val="left"/>
            </w:pPr>
            <w:r>
              <w:t xml:space="preserve">nan</w:t>
            </w:r>
          </w:p>
        </w:tc>
        <w:tc>
          <w:tcPr/>
          <w:p>
            <w:pPr>
              <w:pStyle w:val="Compact"/>
              <w:jc w:val="left"/>
            </w:pPr>
            <w:r>
              <w:t xml:space="preserve">3 (0.1)</w:t>
            </w:r>
          </w:p>
        </w:tc>
        <w:tc>
          <w:tcPr/>
          <w:p>
            <w:pPr>
              <w:pStyle w:val="Compact"/>
              <w:jc w:val="left"/>
            </w:pPr>
            <w:r>
              <w:t xml:space="preserve">2 (0.1)</w:t>
            </w:r>
          </w:p>
        </w:tc>
        <w:tc>
          <w:tcPr/>
          <w:p>
            <w:pPr>
              <w:pStyle w:val="Compact"/>
              <w:jc w:val="left"/>
            </w:pPr>
            <w:r>
              <w:t xml:space="preserve">1 (0.2)</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220</w:t>
            </w:r>
          </w:p>
        </w:tc>
        <w:tc>
          <w:tcPr/>
          <w:p>
            <w:pPr>
              <w:pStyle w:val="Compact"/>
              <w:jc w:val="left"/>
            </w:pPr>
            <w:r>
              <w:t xml:space="preserve">nan</w:t>
            </w:r>
          </w:p>
        </w:tc>
        <w:tc>
          <w:tcPr/>
          <w:p>
            <w:pPr>
              <w:pStyle w:val="Compact"/>
              <w:jc w:val="left"/>
            </w:pPr>
            <w:r>
              <w:t xml:space="preserve">2 (0.1)</w:t>
            </w:r>
          </w:p>
        </w:tc>
        <w:tc>
          <w:tcPr/>
          <w:p>
            <w:pPr>
              <w:pStyle w:val="Compact"/>
              <w:jc w:val="left"/>
            </w:pPr>
            <w:r>
              <w:t xml:space="preserve">0 (0.0)</w:t>
            </w:r>
          </w:p>
        </w:tc>
        <w:tc>
          <w:tcPr/>
          <w:p>
            <w:pPr>
              <w:pStyle w:val="Compact"/>
              <w:jc w:val="left"/>
            </w:pPr>
            <w:r>
              <w:t xml:space="preserve">2 (0.4)</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221</w:t>
            </w:r>
          </w:p>
        </w:tc>
        <w:tc>
          <w:tcPr/>
          <w:p>
            <w:pPr>
              <w:pStyle w:val="Compact"/>
              <w:jc w:val="left"/>
            </w:pPr>
            <w:r>
              <w:t xml:space="preserve">nan</w:t>
            </w:r>
          </w:p>
        </w:tc>
        <w:tc>
          <w:tcPr/>
          <w:p>
            <w:pPr>
              <w:pStyle w:val="Compact"/>
              <w:jc w:val="left"/>
            </w:pPr>
            <w:r>
              <w:t xml:space="preserve">7 (0.2)</w:t>
            </w:r>
          </w:p>
        </w:tc>
        <w:tc>
          <w:tcPr/>
          <w:p>
            <w:pPr>
              <w:pStyle w:val="Compact"/>
              <w:jc w:val="left"/>
            </w:pPr>
            <w:r>
              <w:t xml:space="preserve">6 (0.2)</w:t>
            </w:r>
          </w:p>
        </w:tc>
        <w:tc>
          <w:tcPr/>
          <w:p>
            <w:pPr>
              <w:pStyle w:val="Compact"/>
              <w:jc w:val="left"/>
            </w:pPr>
            <w:r>
              <w:t xml:space="preserve">1 (0.2)</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226</w:t>
            </w:r>
          </w:p>
        </w:tc>
        <w:tc>
          <w:tcPr/>
          <w:p>
            <w:pPr>
              <w:pStyle w:val="Compact"/>
              <w:jc w:val="left"/>
            </w:pPr>
            <w:r>
              <w:t xml:space="preserve">nan</w:t>
            </w:r>
          </w:p>
        </w:tc>
        <w:tc>
          <w:tcPr/>
          <w:p>
            <w:pPr>
              <w:pStyle w:val="Compact"/>
              <w:jc w:val="left"/>
            </w:pPr>
            <w:r>
              <w:t xml:space="preserve">4 (0.1)</w:t>
            </w:r>
          </w:p>
        </w:tc>
        <w:tc>
          <w:tcPr/>
          <w:p>
            <w:pPr>
              <w:pStyle w:val="Compact"/>
              <w:jc w:val="left"/>
            </w:pPr>
            <w:r>
              <w:t xml:space="preserve">3 (0.1)</w:t>
            </w:r>
          </w:p>
        </w:tc>
        <w:tc>
          <w:tcPr/>
          <w:p>
            <w:pPr>
              <w:pStyle w:val="Compact"/>
              <w:jc w:val="left"/>
            </w:pPr>
            <w:r>
              <w:t xml:space="preserve">1 (0.2)</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227</w:t>
            </w:r>
          </w:p>
        </w:tc>
        <w:tc>
          <w:tcPr/>
          <w:p>
            <w:pPr>
              <w:pStyle w:val="Compact"/>
              <w:jc w:val="left"/>
            </w:pPr>
            <w:r>
              <w:t xml:space="preserve">nan</w:t>
            </w:r>
          </w:p>
        </w:tc>
        <w:tc>
          <w:tcPr/>
          <w:p>
            <w:pPr>
              <w:pStyle w:val="Compact"/>
              <w:jc w:val="left"/>
            </w:pPr>
            <w:r>
              <w:t xml:space="preserve">1 (0.0)</w:t>
            </w:r>
          </w:p>
        </w:tc>
        <w:tc>
          <w:tcPr/>
          <w:p>
            <w:pPr>
              <w:pStyle w:val="Compact"/>
              <w:jc w:val="left"/>
            </w:pPr>
            <w:r>
              <w:t xml:space="preserve">1 (0.0)</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231</w:t>
            </w:r>
          </w:p>
        </w:tc>
        <w:tc>
          <w:tcPr/>
          <w:p>
            <w:pPr>
              <w:pStyle w:val="Compact"/>
              <w:jc w:val="left"/>
            </w:pPr>
            <w:r>
              <w:t xml:space="preserve">nan</w:t>
            </w:r>
          </w:p>
        </w:tc>
        <w:tc>
          <w:tcPr/>
          <w:p>
            <w:pPr>
              <w:pStyle w:val="Compact"/>
              <w:jc w:val="left"/>
            </w:pPr>
            <w:r>
              <w:t xml:space="preserve">1 (0.0)</w:t>
            </w:r>
          </w:p>
        </w:tc>
        <w:tc>
          <w:tcPr/>
          <w:p>
            <w:pPr>
              <w:pStyle w:val="Compact"/>
              <w:jc w:val="left"/>
            </w:pPr>
            <w:r>
              <w:t xml:space="preserve">1 (0.0)</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232</w:t>
            </w:r>
          </w:p>
        </w:tc>
        <w:tc>
          <w:tcPr/>
          <w:p>
            <w:pPr>
              <w:pStyle w:val="Compact"/>
              <w:jc w:val="left"/>
            </w:pPr>
            <w:r>
              <w:t xml:space="preserve">nan</w:t>
            </w:r>
          </w:p>
        </w:tc>
        <w:tc>
          <w:tcPr/>
          <w:p>
            <w:pPr>
              <w:pStyle w:val="Compact"/>
              <w:jc w:val="left"/>
            </w:pPr>
            <w:r>
              <w:t xml:space="preserve">1 (0.0)</w:t>
            </w:r>
          </w:p>
        </w:tc>
        <w:tc>
          <w:tcPr/>
          <w:p>
            <w:pPr>
              <w:pStyle w:val="Compact"/>
              <w:jc w:val="left"/>
            </w:pPr>
            <w:r>
              <w:t xml:space="preserve">1 (0.0)</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234</w:t>
            </w:r>
          </w:p>
        </w:tc>
        <w:tc>
          <w:tcPr/>
          <w:p>
            <w:pPr>
              <w:pStyle w:val="Compact"/>
              <w:jc w:val="left"/>
            </w:pPr>
            <w:r>
              <w:t xml:space="preserve">nan</w:t>
            </w:r>
          </w:p>
        </w:tc>
        <w:tc>
          <w:tcPr/>
          <w:p>
            <w:pPr>
              <w:pStyle w:val="Compact"/>
              <w:jc w:val="left"/>
            </w:pPr>
            <w:r>
              <w:t xml:space="preserve">1 (0.0)</w:t>
            </w:r>
          </w:p>
        </w:tc>
        <w:tc>
          <w:tcPr/>
          <w:p>
            <w:pPr>
              <w:pStyle w:val="Compact"/>
              <w:jc w:val="left"/>
            </w:pPr>
            <w:r>
              <w:t xml:space="preserve">1 (0.0)</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235</w:t>
            </w:r>
          </w:p>
        </w:tc>
        <w:tc>
          <w:tcPr/>
          <w:p>
            <w:pPr>
              <w:pStyle w:val="Compact"/>
              <w:jc w:val="left"/>
            </w:pPr>
            <w:r>
              <w:t xml:space="preserve">nan</w:t>
            </w:r>
          </w:p>
        </w:tc>
        <w:tc>
          <w:tcPr/>
          <w:p>
            <w:pPr>
              <w:pStyle w:val="Compact"/>
              <w:jc w:val="left"/>
            </w:pPr>
            <w:r>
              <w:t xml:space="preserve">1 (0.0)</w:t>
            </w:r>
          </w:p>
        </w:tc>
        <w:tc>
          <w:tcPr/>
          <w:p>
            <w:pPr>
              <w:pStyle w:val="Compact"/>
              <w:jc w:val="left"/>
            </w:pPr>
            <w:r>
              <w:t xml:space="preserve">1 (0.0)</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237</w:t>
            </w:r>
          </w:p>
        </w:tc>
        <w:tc>
          <w:tcPr/>
          <w:p>
            <w:pPr>
              <w:pStyle w:val="Compact"/>
              <w:jc w:val="left"/>
            </w:pPr>
            <w:r>
              <w:t xml:space="preserve">nan</w:t>
            </w:r>
          </w:p>
        </w:tc>
        <w:tc>
          <w:tcPr/>
          <w:p>
            <w:pPr>
              <w:pStyle w:val="Compact"/>
              <w:jc w:val="left"/>
            </w:pPr>
            <w:r>
              <w:t xml:space="preserve">47 (1.5)</w:t>
            </w:r>
          </w:p>
        </w:tc>
        <w:tc>
          <w:tcPr/>
          <w:p>
            <w:pPr>
              <w:pStyle w:val="Compact"/>
              <w:jc w:val="left"/>
            </w:pPr>
            <w:r>
              <w:t xml:space="preserve">38 (1.4)</w:t>
            </w:r>
          </w:p>
        </w:tc>
        <w:tc>
          <w:tcPr/>
          <w:p>
            <w:pPr>
              <w:pStyle w:val="Compact"/>
              <w:jc w:val="left"/>
            </w:pPr>
            <w:r>
              <w:t xml:space="preserve">9 (1.9)</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238</w:t>
            </w:r>
          </w:p>
        </w:tc>
        <w:tc>
          <w:tcPr/>
          <w:p>
            <w:pPr>
              <w:pStyle w:val="Compact"/>
              <w:jc w:val="left"/>
            </w:pPr>
            <w:r>
              <w:t xml:space="preserve">nan</w:t>
            </w:r>
          </w:p>
        </w:tc>
        <w:tc>
          <w:tcPr/>
          <w:p>
            <w:pPr>
              <w:pStyle w:val="Compact"/>
              <w:jc w:val="left"/>
            </w:pPr>
            <w:r>
              <w:t xml:space="preserve">2 (0.1)</w:t>
            </w:r>
          </w:p>
        </w:tc>
        <w:tc>
          <w:tcPr/>
          <w:p>
            <w:pPr>
              <w:pStyle w:val="Compact"/>
              <w:jc w:val="left"/>
            </w:pPr>
            <w:r>
              <w:t xml:space="preserve">2 (0.1)</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241</w:t>
            </w:r>
          </w:p>
        </w:tc>
        <w:tc>
          <w:tcPr/>
          <w:p>
            <w:pPr>
              <w:pStyle w:val="Compact"/>
              <w:jc w:val="left"/>
            </w:pPr>
            <w:r>
              <w:t xml:space="preserve">nan</w:t>
            </w:r>
          </w:p>
        </w:tc>
        <w:tc>
          <w:tcPr/>
          <w:p>
            <w:pPr>
              <w:pStyle w:val="Compact"/>
              <w:jc w:val="left"/>
            </w:pPr>
            <w:r>
              <w:t xml:space="preserve">13 (0.4)</w:t>
            </w:r>
          </w:p>
        </w:tc>
        <w:tc>
          <w:tcPr/>
          <w:p>
            <w:pPr>
              <w:pStyle w:val="Compact"/>
              <w:jc w:val="left"/>
            </w:pPr>
            <w:r>
              <w:t xml:space="preserve">12 (0.4)</w:t>
            </w:r>
          </w:p>
        </w:tc>
        <w:tc>
          <w:tcPr/>
          <w:p>
            <w:pPr>
              <w:pStyle w:val="Compact"/>
              <w:jc w:val="left"/>
            </w:pPr>
            <w:r>
              <w:t xml:space="preserve">1 (0.2)</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246</w:t>
            </w:r>
          </w:p>
        </w:tc>
        <w:tc>
          <w:tcPr/>
          <w:p>
            <w:pPr>
              <w:pStyle w:val="Compact"/>
              <w:jc w:val="left"/>
            </w:pPr>
            <w:r>
              <w:t xml:space="preserve">nan</w:t>
            </w:r>
          </w:p>
        </w:tc>
        <w:tc>
          <w:tcPr/>
          <w:p>
            <w:pPr>
              <w:pStyle w:val="Compact"/>
              <w:jc w:val="left"/>
            </w:pPr>
            <w:r>
              <w:t xml:space="preserve">9 (0.3)</w:t>
            </w:r>
          </w:p>
        </w:tc>
        <w:tc>
          <w:tcPr/>
          <w:p>
            <w:pPr>
              <w:pStyle w:val="Compact"/>
              <w:jc w:val="left"/>
            </w:pPr>
            <w:r>
              <w:t xml:space="preserve">8 (0.3)</w:t>
            </w:r>
          </w:p>
        </w:tc>
        <w:tc>
          <w:tcPr/>
          <w:p>
            <w:pPr>
              <w:pStyle w:val="Compact"/>
              <w:jc w:val="left"/>
            </w:pPr>
            <w:r>
              <w:t xml:space="preserve">1 (0.2)</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247</w:t>
            </w:r>
          </w:p>
        </w:tc>
        <w:tc>
          <w:tcPr/>
          <w:p>
            <w:pPr>
              <w:pStyle w:val="Compact"/>
              <w:jc w:val="left"/>
            </w:pPr>
            <w:r>
              <w:t xml:space="preserve">nan</w:t>
            </w:r>
          </w:p>
        </w:tc>
        <w:tc>
          <w:tcPr/>
          <w:p>
            <w:pPr>
              <w:pStyle w:val="Compact"/>
              <w:jc w:val="left"/>
            </w:pPr>
            <w:r>
              <w:t xml:space="preserve">1 (0.0)</w:t>
            </w:r>
          </w:p>
        </w:tc>
        <w:tc>
          <w:tcPr/>
          <w:p>
            <w:pPr>
              <w:pStyle w:val="Compact"/>
              <w:jc w:val="left"/>
            </w:pPr>
            <w:r>
              <w:t xml:space="preserve">1 (0.0)</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249</w:t>
            </w:r>
          </w:p>
        </w:tc>
        <w:tc>
          <w:tcPr/>
          <w:p>
            <w:pPr>
              <w:pStyle w:val="Compact"/>
              <w:jc w:val="left"/>
            </w:pPr>
            <w:r>
              <w:t xml:space="preserve">nan</w:t>
            </w:r>
          </w:p>
        </w:tc>
        <w:tc>
          <w:tcPr/>
          <w:p>
            <w:pPr>
              <w:pStyle w:val="Compact"/>
              <w:jc w:val="left"/>
            </w:pPr>
            <w:r>
              <w:t xml:space="preserve">1 (0.0)</w:t>
            </w:r>
          </w:p>
        </w:tc>
        <w:tc>
          <w:tcPr/>
          <w:p>
            <w:pPr>
              <w:pStyle w:val="Compact"/>
              <w:jc w:val="left"/>
            </w:pPr>
            <w:r>
              <w:t xml:space="preserve">1 (0.0)</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253</w:t>
            </w:r>
          </w:p>
        </w:tc>
        <w:tc>
          <w:tcPr/>
          <w:p>
            <w:pPr>
              <w:pStyle w:val="Compact"/>
              <w:jc w:val="left"/>
            </w:pPr>
            <w:r>
              <w:t xml:space="preserve">nan</w:t>
            </w:r>
          </w:p>
        </w:tc>
        <w:tc>
          <w:tcPr/>
          <w:p>
            <w:pPr>
              <w:pStyle w:val="Compact"/>
              <w:jc w:val="left"/>
            </w:pPr>
            <w:r>
              <w:t xml:space="preserve">2 (0.1)</w:t>
            </w:r>
          </w:p>
        </w:tc>
        <w:tc>
          <w:tcPr/>
          <w:p>
            <w:pPr>
              <w:pStyle w:val="Compact"/>
              <w:jc w:val="left"/>
            </w:pPr>
            <w:r>
              <w:t xml:space="preserve">0 (0.0)</w:t>
            </w:r>
          </w:p>
        </w:tc>
        <w:tc>
          <w:tcPr/>
          <w:p>
            <w:pPr>
              <w:pStyle w:val="Compact"/>
              <w:jc w:val="left"/>
            </w:pPr>
            <w:r>
              <w:t xml:space="preserve">2 (0.4)</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255</w:t>
            </w:r>
          </w:p>
        </w:tc>
        <w:tc>
          <w:tcPr/>
          <w:p>
            <w:pPr>
              <w:pStyle w:val="Compact"/>
              <w:jc w:val="left"/>
            </w:pPr>
            <w:r>
              <w:t xml:space="preserve">nan</w:t>
            </w:r>
          </w:p>
        </w:tc>
        <w:tc>
          <w:tcPr/>
          <w:p>
            <w:pPr>
              <w:pStyle w:val="Compact"/>
              <w:jc w:val="left"/>
            </w:pPr>
            <w:r>
              <w:t xml:space="preserve">2 (0.1)</w:t>
            </w:r>
          </w:p>
        </w:tc>
        <w:tc>
          <w:tcPr/>
          <w:p>
            <w:pPr>
              <w:pStyle w:val="Compact"/>
              <w:jc w:val="left"/>
            </w:pPr>
            <w:r>
              <w:t xml:space="preserve">2 (0.1)</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257</w:t>
            </w:r>
          </w:p>
        </w:tc>
        <w:tc>
          <w:tcPr/>
          <w:p>
            <w:pPr>
              <w:pStyle w:val="Compact"/>
              <w:jc w:val="left"/>
            </w:pPr>
            <w:r>
              <w:t xml:space="preserve">nan</w:t>
            </w:r>
          </w:p>
        </w:tc>
        <w:tc>
          <w:tcPr/>
          <w:p>
            <w:pPr>
              <w:pStyle w:val="Compact"/>
              <w:jc w:val="left"/>
            </w:pPr>
            <w:r>
              <w:t xml:space="preserve">1 (0.0)</w:t>
            </w:r>
          </w:p>
        </w:tc>
        <w:tc>
          <w:tcPr/>
          <w:p>
            <w:pPr>
              <w:pStyle w:val="Compact"/>
              <w:jc w:val="left"/>
            </w:pPr>
            <w:r>
              <w:t xml:space="preserve">0 (0.0)</w:t>
            </w:r>
          </w:p>
        </w:tc>
        <w:tc>
          <w:tcPr/>
          <w:p>
            <w:pPr>
              <w:pStyle w:val="Compact"/>
              <w:jc w:val="left"/>
            </w:pPr>
            <w:r>
              <w:t xml:space="preserve">1 (0.2)</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258</w:t>
            </w:r>
          </w:p>
        </w:tc>
        <w:tc>
          <w:tcPr/>
          <w:p>
            <w:pPr>
              <w:pStyle w:val="Compact"/>
              <w:jc w:val="left"/>
            </w:pPr>
            <w:r>
              <w:t xml:space="preserve">nan</w:t>
            </w:r>
          </w:p>
        </w:tc>
        <w:tc>
          <w:tcPr/>
          <w:p>
            <w:pPr>
              <w:pStyle w:val="Compact"/>
              <w:jc w:val="left"/>
            </w:pPr>
            <w:r>
              <w:t xml:space="preserve">1 (0.0)</w:t>
            </w:r>
          </w:p>
        </w:tc>
        <w:tc>
          <w:tcPr/>
          <w:p>
            <w:pPr>
              <w:pStyle w:val="Compact"/>
              <w:jc w:val="left"/>
            </w:pPr>
            <w:r>
              <w:t xml:space="preserve">0 (0.0)</w:t>
            </w:r>
          </w:p>
        </w:tc>
        <w:tc>
          <w:tcPr/>
          <w:p>
            <w:pPr>
              <w:pStyle w:val="Compact"/>
              <w:jc w:val="left"/>
            </w:pPr>
            <w:r>
              <w:t xml:space="preserve">1 (0.2)</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26</w:t>
            </w:r>
          </w:p>
        </w:tc>
        <w:tc>
          <w:tcPr/>
          <w:p>
            <w:pPr>
              <w:pStyle w:val="Compact"/>
              <w:jc w:val="left"/>
            </w:pPr>
            <w:r>
              <w:t xml:space="preserve">nan</w:t>
            </w:r>
          </w:p>
        </w:tc>
        <w:tc>
          <w:tcPr/>
          <w:p>
            <w:pPr>
              <w:pStyle w:val="Compact"/>
              <w:jc w:val="left"/>
            </w:pPr>
            <w:r>
              <w:t xml:space="preserve">1 (0.0)</w:t>
            </w:r>
          </w:p>
        </w:tc>
        <w:tc>
          <w:tcPr/>
          <w:p>
            <w:pPr>
              <w:pStyle w:val="Compact"/>
              <w:jc w:val="left"/>
            </w:pPr>
            <w:r>
              <w:t xml:space="preserve">1 (0.0)</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261</w:t>
            </w:r>
          </w:p>
        </w:tc>
        <w:tc>
          <w:tcPr/>
          <w:p>
            <w:pPr>
              <w:pStyle w:val="Compact"/>
              <w:jc w:val="left"/>
            </w:pPr>
            <w:r>
              <w:t xml:space="preserve">nan</w:t>
            </w:r>
          </w:p>
        </w:tc>
        <w:tc>
          <w:tcPr/>
          <w:p>
            <w:pPr>
              <w:pStyle w:val="Compact"/>
              <w:jc w:val="left"/>
            </w:pPr>
            <w:r>
              <w:t xml:space="preserve">7 (0.2)</w:t>
            </w:r>
          </w:p>
        </w:tc>
        <w:tc>
          <w:tcPr/>
          <w:p>
            <w:pPr>
              <w:pStyle w:val="Compact"/>
              <w:jc w:val="left"/>
            </w:pPr>
            <w:r>
              <w:t xml:space="preserve">7 (0.3)</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265</w:t>
            </w:r>
          </w:p>
        </w:tc>
        <w:tc>
          <w:tcPr/>
          <w:p>
            <w:pPr>
              <w:pStyle w:val="Compact"/>
              <w:jc w:val="left"/>
            </w:pPr>
            <w:r>
              <w:t xml:space="preserve">nan</w:t>
            </w:r>
          </w:p>
        </w:tc>
        <w:tc>
          <w:tcPr/>
          <w:p>
            <w:pPr>
              <w:pStyle w:val="Compact"/>
              <w:jc w:val="left"/>
            </w:pPr>
            <w:r>
              <w:t xml:space="preserve">3 (0.1)</w:t>
            </w:r>
          </w:p>
        </w:tc>
        <w:tc>
          <w:tcPr/>
          <w:p>
            <w:pPr>
              <w:pStyle w:val="Compact"/>
              <w:jc w:val="left"/>
            </w:pPr>
            <w:r>
              <w:t xml:space="preserve">2 (0.1)</w:t>
            </w:r>
          </w:p>
        </w:tc>
        <w:tc>
          <w:tcPr/>
          <w:p>
            <w:pPr>
              <w:pStyle w:val="Compact"/>
              <w:jc w:val="left"/>
            </w:pPr>
            <w:r>
              <w:t xml:space="preserve">1 (0.2)</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27</w:t>
            </w:r>
          </w:p>
        </w:tc>
        <w:tc>
          <w:tcPr/>
          <w:p>
            <w:pPr>
              <w:pStyle w:val="Compact"/>
              <w:jc w:val="left"/>
            </w:pPr>
            <w:r>
              <w:t xml:space="preserve">nan</w:t>
            </w:r>
          </w:p>
        </w:tc>
        <w:tc>
          <w:tcPr/>
          <w:p>
            <w:pPr>
              <w:pStyle w:val="Compact"/>
              <w:jc w:val="left"/>
            </w:pPr>
            <w:r>
              <w:t xml:space="preserve">1 (0.0)</w:t>
            </w:r>
          </w:p>
        </w:tc>
        <w:tc>
          <w:tcPr/>
          <w:p>
            <w:pPr>
              <w:pStyle w:val="Compact"/>
              <w:jc w:val="left"/>
            </w:pPr>
            <w:r>
              <w:t xml:space="preserve">1 (0.0)</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270</w:t>
            </w:r>
          </w:p>
        </w:tc>
        <w:tc>
          <w:tcPr/>
          <w:p>
            <w:pPr>
              <w:pStyle w:val="Compact"/>
              <w:jc w:val="left"/>
            </w:pPr>
            <w:r>
              <w:t xml:space="preserve">nan</w:t>
            </w:r>
          </w:p>
        </w:tc>
        <w:tc>
          <w:tcPr/>
          <w:p>
            <w:pPr>
              <w:pStyle w:val="Compact"/>
              <w:jc w:val="left"/>
            </w:pPr>
            <w:r>
              <w:t xml:space="preserve">6 (0.2)</w:t>
            </w:r>
          </w:p>
        </w:tc>
        <w:tc>
          <w:tcPr/>
          <w:p>
            <w:pPr>
              <w:pStyle w:val="Compact"/>
              <w:jc w:val="left"/>
            </w:pPr>
            <w:r>
              <w:t xml:space="preserve">6 (0.2)</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272</w:t>
            </w:r>
          </w:p>
        </w:tc>
        <w:tc>
          <w:tcPr/>
          <w:p>
            <w:pPr>
              <w:pStyle w:val="Compact"/>
              <w:jc w:val="left"/>
            </w:pPr>
            <w:r>
              <w:t xml:space="preserve">nan</w:t>
            </w:r>
          </w:p>
        </w:tc>
        <w:tc>
          <w:tcPr/>
          <w:p>
            <w:pPr>
              <w:pStyle w:val="Compact"/>
              <w:jc w:val="left"/>
            </w:pPr>
            <w:r>
              <w:t xml:space="preserve">12 (0.4)</w:t>
            </w:r>
          </w:p>
        </w:tc>
        <w:tc>
          <w:tcPr/>
          <w:p>
            <w:pPr>
              <w:pStyle w:val="Compact"/>
              <w:jc w:val="left"/>
            </w:pPr>
            <w:r>
              <w:t xml:space="preserve">5 (0.2)</w:t>
            </w:r>
          </w:p>
        </w:tc>
        <w:tc>
          <w:tcPr/>
          <w:p>
            <w:pPr>
              <w:pStyle w:val="Compact"/>
              <w:jc w:val="left"/>
            </w:pPr>
            <w:r>
              <w:t xml:space="preserve">7 (1.5)</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273</w:t>
            </w:r>
          </w:p>
        </w:tc>
        <w:tc>
          <w:tcPr/>
          <w:p>
            <w:pPr>
              <w:pStyle w:val="Compact"/>
              <w:jc w:val="left"/>
            </w:pPr>
            <w:r>
              <w:t xml:space="preserve">nan</w:t>
            </w:r>
          </w:p>
        </w:tc>
        <w:tc>
          <w:tcPr/>
          <w:p>
            <w:pPr>
              <w:pStyle w:val="Compact"/>
              <w:jc w:val="left"/>
            </w:pPr>
            <w:r>
              <w:t xml:space="preserve">2 (0.1)</w:t>
            </w:r>
          </w:p>
        </w:tc>
        <w:tc>
          <w:tcPr/>
          <w:p>
            <w:pPr>
              <w:pStyle w:val="Compact"/>
              <w:jc w:val="left"/>
            </w:pPr>
            <w:r>
              <w:t xml:space="preserve">1 (0.0)</w:t>
            </w:r>
          </w:p>
        </w:tc>
        <w:tc>
          <w:tcPr/>
          <w:p>
            <w:pPr>
              <w:pStyle w:val="Compact"/>
              <w:jc w:val="left"/>
            </w:pPr>
            <w:r>
              <w:t xml:space="preserve">1 (0.2)</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276</w:t>
            </w:r>
          </w:p>
        </w:tc>
        <w:tc>
          <w:tcPr/>
          <w:p>
            <w:pPr>
              <w:pStyle w:val="Compact"/>
              <w:jc w:val="left"/>
            </w:pPr>
            <w:r>
              <w:t xml:space="preserve">nan</w:t>
            </w:r>
          </w:p>
        </w:tc>
        <w:tc>
          <w:tcPr/>
          <w:p>
            <w:pPr>
              <w:pStyle w:val="Compact"/>
              <w:jc w:val="left"/>
            </w:pPr>
            <w:r>
              <w:t xml:space="preserve">68 (2.1)</w:t>
            </w:r>
          </w:p>
        </w:tc>
        <w:tc>
          <w:tcPr/>
          <w:p>
            <w:pPr>
              <w:pStyle w:val="Compact"/>
              <w:jc w:val="left"/>
            </w:pPr>
            <w:r>
              <w:t xml:space="preserve">51 (1.9)</w:t>
            </w:r>
          </w:p>
        </w:tc>
        <w:tc>
          <w:tcPr/>
          <w:p>
            <w:pPr>
              <w:pStyle w:val="Compact"/>
              <w:jc w:val="left"/>
            </w:pPr>
            <w:r>
              <w:t xml:space="preserve">17 (3.6)</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278</w:t>
            </w:r>
          </w:p>
        </w:tc>
        <w:tc>
          <w:tcPr/>
          <w:p>
            <w:pPr>
              <w:pStyle w:val="Compact"/>
              <w:jc w:val="left"/>
            </w:pPr>
            <w:r>
              <w:t xml:space="preserve">nan</w:t>
            </w:r>
          </w:p>
        </w:tc>
        <w:tc>
          <w:tcPr/>
          <w:p>
            <w:pPr>
              <w:pStyle w:val="Compact"/>
              <w:jc w:val="left"/>
            </w:pPr>
            <w:r>
              <w:t xml:space="preserve">6 (0.2)</w:t>
            </w:r>
          </w:p>
        </w:tc>
        <w:tc>
          <w:tcPr/>
          <w:p>
            <w:pPr>
              <w:pStyle w:val="Compact"/>
              <w:jc w:val="left"/>
            </w:pPr>
            <w:r>
              <w:t xml:space="preserve">6 (0.2)</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28</w:t>
            </w:r>
          </w:p>
        </w:tc>
        <w:tc>
          <w:tcPr/>
          <w:p>
            <w:pPr>
              <w:pStyle w:val="Compact"/>
              <w:jc w:val="left"/>
            </w:pPr>
            <w:r>
              <w:t xml:space="preserve">nan</w:t>
            </w:r>
          </w:p>
        </w:tc>
        <w:tc>
          <w:tcPr/>
          <w:p>
            <w:pPr>
              <w:pStyle w:val="Compact"/>
              <w:jc w:val="left"/>
            </w:pPr>
            <w:r>
              <w:t xml:space="preserve">4 (0.1)</w:t>
            </w:r>
          </w:p>
        </w:tc>
        <w:tc>
          <w:tcPr/>
          <w:p>
            <w:pPr>
              <w:pStyle w:val="Compact"/>
              <w:jc w:val="left"/>
            </w:pPr>
            <w:r>
              <w:t xml:space="preserve">4 (0.1)</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282</w:t>
            </w:r>
          </w:p>
        </w:tc>
        <w:tc>
          <w:tcPr/>
          <w:p>
            <w:pPr>
              <w:pStyle w:val="Compact"/>
              <w:jc w:val="left"/>
            </w:pPr>
            <w:r>
              <w:t xml:space="preserve">nan</w:t>
            </w:r>
          </w:p>
        </w:tc>
        <w:tc>
          <w:tcPr/>
          <w:p>
            <w:pPr>
              <w:pStyle w:val="Compact"/>
              <w:jc w:val="left"/>
            </w:pPr>
            <w:r>
              <w:t xml:space="preserve">3 (0.1)</w:t>
            </w:r>
          </w:p>
        </w:tc>
        <w:tc>
          <w:tcPr/>
          <w:p>
            <w:pPr>
              <w:pStyle w:val="Compact"/>
              <w:jc w:val="left"/>
            </w:pPr>
            <w:r>
              <w:t xml:space="preserve">3 (0.1)</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283</w:t>
            </w:r>
          </w:p>
        </w:tc>
        <w:tc>
          <w:tcPr/>
          <w:p>
            <w:pPr>
              <w:pStyle w:val="Compact"/>
              <w:jc w:val="left"/>
            </w:pPr>
            <w:r>
              <w:t xml:space="preserve">nan</w:t>
            </w:r>
          </w:p>
        </w:tc>
        <w:tc>
          <w:tcPr/>
          <w:p>
            <w:pPr>
              <w:pStyle w:val="Compact"/>
              <w:jc w:val="left"/>
            </w:pPr>
            <w:r>
              <w:t xml:space="preserve">49 (1.5)</w:t>
            </w:r>
          </w:p>
        </w:tc>
        <w:tc>
          <w:tcPr/>
          <w:p>
            <w:pPr>
              <w:pStyle w:val="Compact"/>
              <w:jc w:val="left"/>
            </w:pPr>
            <w:r>
              <w:t xml:space="preserve">48 (1.8)</w:t>
            </w:r>
          </w:p>
        </w:tc>
        <w:tc>
          <w:tcPr/>
          <w:p>
            <w:pPr>
              <w:pStyle w:val="Compact"/>
              <w:jc w:val="left"/>
            </w:pPr>
            <w:r>
              <w:t xml:space="preserve">1 (0.2)</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284</w:t>
            </w:r>
          </w:p>
        </w:tc>
        <w:tc>
          <w:tcPr/>
          <w:p>
            <w:pPr>
              <w:pStyle w:val="Compact"/>
              <w:jc w:val="left"/>
            </w:pPr>
            <w:r>
              <w:t xml:space="preserve">nan</w:t>
            </w:r>
          </w:p>
        </w:tc>
        <w:tc>
          <w:tcPr/>
          <w:p>
            <w:pPr>
              <w:pStyle w:val="Compact"/>
              <w:jc w:val="left"/>
            </w:pPr>
            <w:r>
              <w:t xml:space="preserve">1 (0.0)</w:t>
            </w:r>
          </w:p>
        </w:tc>
        <w:tc>
          <w:tcPr/>
          <w:p>
            <w:pPr>
              <w:pStyle w:val="Compact"/>
              <w:jc w:val="left"/>
            </w:pPr>
            <w:r>
              <w:t xml:space="preserve">1 (0.0)</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285</w:t>
            </w:r>
          </w:p>
        </w:tc>
        <w:tc>
          <w:tcPr/>
          <w:p>
            <w:pPr>
              <w:pStyle w:val="Compact"/>
              <w:jc w:val="left"/>
            </w:pPr>
            <w:r>
              <w:t xml:space="preserve">nan</w:t>
            </w:r>
          </w:p>
        </w:tc>
        <w:tc>
          <w:tcPr/>
          <w:p>
            <w:pPr>
              <w:pStyle w:val="Compact"/>
              <w:jc w:val="left"/>
            </w:pPr>
            <w:r>
              <w:t xml:space="preserve">1 (0.0)</w:t>
            </w:r>
          </w:p>
        </w:tc>
        <w:tc>
          <w:tcPr/>
          <w:p>
            <w:pPr>
              <w:pStyle w:val="Compact"/>
              <w:jc w:val="left"/>
            </w:pPr>
            <w:r>
              <w:t xml:space="preserve">1 (0.0)</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287</w:t>
            </w:r>
          </w:p>
        </w:tc>
        <w:tc>
          <w:tcPr/>
          <w:p>
            <w:pPr>
              <w:pStyle w:val="Compact"/>
              <w:jc w:val="left"/>
            </w:pPr>
            <w:r>
              <w:t xml:space="preserve">nan</w:t>
            </w:r>
          </w:p>
        </w:tc>
        <w:tc>
          <w:tcPr/>
          <w:p>
            <w:pPr>
              <w:pStyle w:val="Compact"/>
              <w:jc w:val="left"/>
            </w:pPr>
            <w:r>
              <w:t xml:space="preserve">12 (0.4)</w:t>
            </w:r>
          </w:p>
        </w:tc>
        <w:tc>
          <w:tcPr/>
          <w:p>
            <w:pPr>
              <w:pStyle w:val="Compact"/>
              <w:jc w:val="left"/>
            </w:pPr>
            <w:r>
              <w:t xml:space="preserve">11 (0.4)</w:t>
            </w:r>
          </w:p>
        </w:tc>
        <w:tc>
          <w:tcPr/>
          <w:p>
            <w:pPr>
              <w:pStyle w:val="Compact"/>
              <w:jc w:val="left"/>
            </w:pPr>
            <w:r>
              <w:t xml:space="preserve">1 (0.2)</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289</w:t>
            </w:r>
          </w:p>
        </w:tc>
        <w:tc>
          <w:tcPr/>
          <w:p>
            <w:pPr>
              <w:pStyle w:val="Compact"/>
              <w:jc w:val="left"/>
            </w:pPr>
            <w:r>
              <w:t xml:space="preserve">nan</w:t>
            </w:r>
          </w:p>
        </w:tc>
        <w:tc>
          <w:tcPr/>
          <w:p>
            <w:pPr>
              <w:pStyle w:val="Compact"/>
              <w:jc w:val="left"/>
            </w:pPr>
            <w:r>
              <w:t xml:space="preserve">2 (0.1)</w:t>
            </w:r>
          </w:p>
        </w:tc>
        <w:tc>
          <w:tcPr/>
          <w:p>
            <w:pPr>
              <w:pStyle w:val="Compact"/>
              <w:jc w:val="left"/>
            </w:pPr>
            <w:r>
              <w:t xml:space="preserve">1 (0.0)</w:t>
            </w:r>
          </w:p>
        </w:tc>
        <w:tc>
          <w:tcPr/>
          <w:p>
            <w:pPr>
              <w:pStyle w:val="Compact"/>
              <w:jc w:val="left"/>
            </w:pPr>
            <w:r>
              <w:t xml:space="preserve">1 (0.2)</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291</w:t>
            </w:r>
          </w:p>
        </w:tc>
        <w:tc>
          <w:tcPr/>
          <w:p>
            <w:pPr>
              <w:pStyle w:val="Compact"/>
              <w:jc w:val="left"/>
            </w:pPr>
            <w:r>
              <w:t xml:space="preserve">nan</w:t>
            </w:r>
          </w:p>
        </w:tc>
        <w:tc>
          <w:tcPr/>
          <w:p>
            <w:pPr>
              <w:pStyle w:val="Compact"/>
              <w:jc w:val="left"/>
            </w:pPr>
            <w:r>
              <w:t xml:space="preserve">5 (0.2)</w:t>
            </w:r>
          </w:p>
        </w:tc>
        <w:tc>
          <w:tcPr/>
          <w:p>
            <w:pPr>
              <w:pStyle w:val="Compact"/>
              <w:jc w:val="left"/>
            </w:pPr>
            <w:r>
              <w:t xml:space="preserve">5 (0.2)</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293</w:t>
            </w:r>
          </w:p>
        </w:tc>
        <w:tc>
          <w:tcPr/>
          <w:p>
            <w:pPr>
              <w:pStyle w:val="Compact"/>
              <w:jc w:val="left"/>
            </w:pPr>
            <w:r>
              <w:t xml:space="preserve">nan</w:t>
            </w:r>
          </w:p>
        </w:tc>
        <w:tc>
          <w:tcPr/>
          <w:p>
            <w:pPr>
              <w:pStyle w:val="Compact"/>
              <w:jc w:val="left"/>
            </w:pPr>
            <w:r>
              <w:t xml:space="preserve">2 (0.1)</w:t>
            </w:r>
          </w:p>
        </w:tc>
        <w:tc>
          <w:tcPr/>
          <w:p>
            <w:pPr>
              <w:pStyle w:val="Compact"/>
              <w:jc w:val="left"/>
            </w:pPr>
            <w:r>
              <w:t xml:space="preserve">2 (0.1)</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298</w:t>
            </w:r>
          </w:p>
        </w:tc>
        <w:tc>
          <w:tcPr/>
          <w:p>
            <w:pPr>
              <w:pStyle w:val="Compact"/>
              <w:jc w:val="left"/>
            </w:pPr>
            <w:r>
              <w:t xml:space="preserve">nan</w:t>
            </w:r>
          </w:p>
        </w:tc>
        <w:tc>
          <w:tcPr/>
          <w:p>
            <w:pPr>
              <w:pStyle w:val="Compact"/>
              <w:jc w:val="left"/>
            </w:pPr>
            <w:r>
              <w:t xml:space="preserve">362 (11.3)</w:t>
            </w:r>
          </w:p>
        </w:tc>
        <w:tc>
          <w:tcPr/>
          <w:p>
            <w:pPr>
              <w:pStyle w:val="Compact"/>
              <w:jc w:val="left"/>
            </w:pPr>
            <w:r>
              <w:t xml:space="preserve">308 (11.3)</w:t>
            </w:r>
          </w:p>
        </w:tc>
        <w:tc>
          <w:tcPr/>
          <w:p>
            <w:pPr>
              <w:pStyle w:val="Compact"/>
              <w:jc w:val="left"/>
            </w:pPr>
            <w:r>
              <w:t xml:space="preserve">54 (11.4)</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299</w:t>
            </w:r>
          </w:p>
        </w:tc>
        <w:tc>
          <w:tcPr/>
          <w:p>
            <w:pPr>
              <w:pStyle w:val="Compact"/>
              <w:jc w:val="left"/>
            </w:pPr>
            <w:r>
              <w:t xml:space="preserve">nan</w:t>
            </w:r>
          </w:p>
        </w:tc>
        <w:tc>
          <w:tcPr/>
          <w:p>
            <w:pPr>
              <w:pStyle w:val="Compact"/>
              <w:jc w:val="left"/>
            </w:pPr>
            <w:r>
              <w:t xml:space="preserve">6 (0.2)</w:t>
            </w:r>
          </w:p>
        </w:tc>
        <w:tc>
          <w:tcPr/>
          <w:p>
            <w:pPr>
              <w:pStyle w:val="Compact"/>
              <w:jc w:val="left"/>
            </w:pPr>
            <w:r>
              <w:t xml:space="preserve">5 (0.2)</w:t>
            </w:r>
          </w:p>
        </w:tc>
        <w:tc>
          <w:tcPr/>
          <w:p>
            <w:pPr>
              <w:pStyle w:val="Compact"/>
              <w:jc w:val="left"/>
            </w:pPr>
            <w:r>
              <w:t xml:space="preserve">1 (0.2)</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303</w:t>
            </w:r>
          </w:p>
        </w:tc>
        <w:tc>
          <w:tcPr/>
          <w:p>
            <w:pPr>
              <w:pStyle w:val="Compact"/>
              <w:jc w:val="left"/>
            </w:pPr>
            <w:r>
              <w:t xml:space="preserve">nan</w:t>
            </w:r>
          </w:p>
        </w:tc>
        <w:tc>
          <w:tcPr/>
          <w:p>
            <w:pPr>
              <w:pStyle w:val="Compact"/>
              <w:jc w:val="left"/>
            </w:pPr>
            <w:r>
              <w:t xml:space="preserve">1 (0.0)</w:t>
            </w:r>
          </w:p>
        </w:tc>
        <w:tc>
          <w:tcPr/>
          <w:p>
            <w:pPr>
              <w:pStyle w:val="Compact"/>
              <w:jc w:val="left"/>
            </w:pPr>
            <w:r>
              <w:t xml:space="preserve">0 (0.0)</w:t>
            </w:r>
          </w:p>
        </w:tc>
        <w:tc>
          <w:tcPr/>
          <w:p>
            <w:pPr>
              <w:pStyle w:val="Compact"/>
              <w:jc w:val="left"/>
            </w:pPr>
            <w:r>
              <w:t xml:space="preserve">1 (0.2)</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304</w:t>
            </w:r>
          </w:p>
        </w:tc>
        <w:tc>
          <w:tcPr/>
          <w:p>
            <w:pPr>
              <w:pStyle w:val="Compact"/>
              <w:jc w:val="left"/>
            </w:pPr>
            <w:r>
              <w:t xml:space="preserve">nan</w:t>
            </w:r>
          </w:p>
        </w:tc>
        <w:tc>
          <w:tcPr/>
          <w:p>
            <w:pPr>
              <w:pStyle w:val="Compact"/>
              <w:jc w:val="left"/>
            </w:pPr>
            <w:r>
              <w:t xml:space="preserve">1 (0.0)</w:t>
            </w:r>
          </w:p>
        </w:tc>
        <w:tc>
          <w:tcPr/>
          <w:p>
            <w:pPr>
              <w:pStyle w:val="Compact"/>
              <w:jc w:val="left"/>
            </w:pPr>
            <w:r>
              <w:t xml:space="preserve">1 (0.0)</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305</w:t>
            </w:r>
          </w:p>
        </w:tc>
        <w:tc>
          <w:tcPr/>
          <w:p>
            <w:pPr>
              <w:pStyle w:val="Compact"/>
              <w:jc w:val="left"/>
            </w:pPr>
            <w:r>
              <w:t xml:space="preserve">nan</w:t>
            </w:r>
          </w:p>
        </w:tc>
        <w:tc>
          <w:tcPr/>
          <w:p>
            <w:pPr>
              <w:pStyle w:val="Compact"/>
              <w:jc w:val="left"/>
            </w:pPr>
            <w:r>
              <w:t xml:space="preserve">14 (0.4)</w:t>
            </w:r>
          </w:p>
        </w:tc>
        <w:tc>
          <w:tcPr/>
          <w:p>
            <w:pPr>
              <w:pStyle w:val="Compact"/>
              <w:jc w:val="left"/>
            </w:pPr>
            <w:r>
              <w:t xml:space="preserve">13 (0.5)</w:t>
            </w:r>
          </w:p>
        </w:tc>
        <w:tc>
          <w:tcPr/>
          <w:p>
            <w:pPr>
              <w:pStyle w:val="Compact"/>
              <w:jc w:val="left"/>
            </w:pPr>
            <w:r>
              <w:t xml:space="preserve">1 (0.2)</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307</w:t>
            </w:r>
          </w:p>
        </w:tc>
        <w:tc>
          <w:tcPr/>
          <w:p>
            <w:pPr>
              <w:pStyle w:val="Compact"/>
              <w:jc w:val="left"/>
            </w:pPr>
            <w:r>
              <w:t xml:space="preserve">nan</w:t>
            </w:r>
          </w:p>
        </w:tc>
        <w:tc>
          <w:tcPr/>
          <w:p>
            <w:pPr>
              <w:pStyle w:val="Compact"/>
              <w:jc w:val="left"/>
            </w:pPr>
            <w:r>
              <w:t xml:space="preserve">1 (0.0)</w:t>
            </w:r>
          </w:p>
        </w:tc>
        <w:tc>
          <w:tcPr/>
          <w:p>
            <w:pPr>
              <w:pStyle w:val="Compact"/>
              <w:jc w:val="left"/>
            </w:pPr>
            <w:r>
              <w:t xml:space="preserve">1 (0.0)</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309</w:t>
            </w:r>
          </w:p>
        </w:tc>
        <w:tc>
          <w:tcPr/>
          <w:p>
            <w:pPr>
              <w:pStyle w:val="Compact"/>
              <w:jc w:val="left"/>
            </w:pPr>
            <w:r>
              <w:t xml:space="preserve">nan</w:t>
            </w:r>
          </w:p>
        </w:tc>
        <w:tc>
          <w:tcPr/>
          <w:p>
            <w:pPr>
              <w:pStyle w:val="Compact"/>
              <w:jc w:val="left"/>
            </w:pPr>
            <w:r>
              <w:t xml:space="preserve">6 (0.2)</w:t>
            </w:r>
          </w:p>
        </w:tc>
        <w:tc>
          <w:tcPr/>
          <w:p>
            <w:pPr>
              <w:pStyle w:val="Compact"/>
              <w:jc w:val="left"/>
            </w:pPr>
            <w:r>
              <w:t xml:space="preserve">4 (0.1)</w:t>
            </w:r>
          </w:p>
        </w:tc>
        <w:tc>
          <w:tcPr/>
          <w:p>
            <w:pPr>
              <w:pStyle w:val="Compact"/>
              <w:jc w:val="left"/>
            </w:pPr>
            <w:r>
              <w:t xml:space="preserve">2 (0.4)</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31</w:t>
            </w:r>
          </w:p>
        </w:tc>
        <w:tc>
          <w:tcPr/>
          <w:p>
            <w:pPr>
              <w:pStyle w:val="Compact"/>
              <w:jc w:val="left"/>
            </w:pPr>
            <w:r>
              <w:t xml:space="preserve">nan</w:t>
            </w:r>
          </w:p>
        </w:tc>
        <w:tc>
          <w:tcPr/>
          <w:p>
            <w:pPr>
              <w:pStyle w:val="Compact"/>
              <w:jc w:val="left"/>
            </w:pPr>
            <w:r>
              <w:t xml:space="preserve">1 (0.0)</w:t>
            </w:r>
          </w:p>
        </w:tc>
        <w:tc>
          <w:tcPr/>
          <w:p>
            <w:pPr>
              <w:pStyle w:val="Compact"/>
              <w:jc w:val="left"/>
            </w:pPr>
            <w:r>
              <w:t xml:space="preserve">1 (0.0)</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311</w:t>
            </w:r>
          </w:p>
        </w:tc>
        <w:tc>
          <w:tcPr/>
          <w:p>
            <w:pPr>
              <w:pStyle w:val="Compact"/>
              <w:jc w:val="left"/>
            </w:pPr>
            <w:r>
              <w:t xml:space="preserve">nan</w:t>
            </w:r>
          </w:p>
        </w:tc>
        <w:tc>
          <w:tcPr/>
          <w:p>
            <w:pPr>
              <w:pStyle w:val="Compact"/>
              <w:jc w:val="left"/>
            </w:pPr>
            <w:r>
              <w:t xml:space="preserve">4 (0.1)</w:t>
            </w:r>
          </w:p>
        </w:tc>
        <w:tc>
          <w:tcPr/>
          <w:p>
            <w:pPr>
              <w:pStyle w:val="Compact"/>
              <w:jc w:val="left"/>
            </w:pPr>
            <w:r>
              <w:t xml:space="preserve">4 (0.1)</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313</w:t>
            </w:r>
          </w:p>
        </w:tc>
        <w:tc>
          <w:tcPr/>
          <w:p>
            <w:pPr>
              <w:pStyle w:val="Compact"/>
              <w:jc w:val="left"/>
            </w:pPr>
            <w:r>
              <w:t xml:space="preserve">nan</w:t>
            </w:r>
          </w:p>
        </w:tc>
        <w:tc>
          <w:tcPr/>
          <w:p>
            <w:pPr>
              <w:pStyle w:val="Compact"/>
              <w:jc w:val="left"/>
            </w:pPr>
            <w:r>
              <w:t xml:space="preserve">12 (0.4)</w:t>
            </w:r>
          </w:p>
        </w:tc>
        <w:tc>
          <w:tcPr/>
          <w:p>
            <w:pPr>
              <w:pStyle w:val="Compact"/>
              <w:jc w:val="left"/>
            </w:pPr>
            <w:r>
              <w:t xml:space="preserve">10 (0.4)</w:t>
            </w:r>
          </w:p>
        </w:tc>
        <w:tc>
          <w:tcPr/>
          <w:p>
            <w:pPr>
              <w:pStyle w:val="Compact"/>
              <w:jc w:val="left"/>
            </w:pPr>
            <w:r>
              <w:t xml:space="preserve">2 (0.4)</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314</w:t>
            </w:r>
          </w:p>
        </w:tc>
        <w:tc>
          <w:tcPr/>
          <w:p>
            <w:pPr>
              <w:pStyle w:val="Compact"/>
              <w:jc w:val="left"/>
            </w:pPr>
            <w:r>
              <w:t xml:space="preserve">nan</w:t>
            </w:r>
          </w:p>
        </w:tc>
        <w:tc>
          <w:tcPr/>
          <w:p>
            <w:pPr>
              <w:pStyle w:val="Compact"/>
              <w:jc w:val="left"/>
            </w:pPr>
            <w:r>
              <w:t xml:space="preserve">6 (0.2)</w:t>
            </w:r>
          </w:p>
        </w:tc>
        <w:tc>
          <w:tcPr/>
          <w:p>
            <w:pPr>
              <w:pStyle w:val="Compact"/>
              <w:jc w:val="left"/>
            </w:pPr>
            <w:r>
              <w:t xml:space="preserve">5 (0.2)</w:t>
            </w:r>
          </w:p>
        </w:tc>
        <w:tc>
          <w:tcPr/>
          <w:p>
            <w:pPr>
              <w:pStyle w:val="Compact"/>
              <w:jc w:val="left"/>
            </w:pPr>
            <w:r>
              <w:t xml:space="preserve">1 (0.2)</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316</w:t>
            </w:r>
          </w:p>
        </w:tc>
        <w:tc>
          <w:tcPr/>
          <w:p>
            <w:pPr>
              <w:pStyle w:val="Compact"/>
              <w:jc w:val="left"/>
            </w:pPr>
            <w:r>
              <w:t xml:space="preserve">nan</w:t>
            </w:r>
          </w:p>
        </w:tc>
        <w:tc>
          <w:tcPr/>
          <w:p>
            <w:pPr>
              <w:pStyle w:val="Compact"/>
              <w:jc w:val="left"/>
            </w:pPr>
            <w:r>
              <w:t xml:space="preserve">2 (0.1)</w:t>
            </w:r>
          </w:p>
        </w:tc>
        <w:tc>
          <w:tcPr/>
          <w:p>
            <w:pPr>
              <w:pStyle w:val="Compact"/>
              <w:jc w:val="left"/>
            </w:pPr>
            <w:r>
              <w:t xml:space="preserve">1 (0.0)</w:t>
            </w:r>
          </w:p>
        </w:tc>
        <w:tc>
          <w:tcPr/>
          <w:p>
            <w:pPr>
              <w:pStyle w:val="Compact"/>
              <w:jc w:val="left"/>
            </w:pPr>
            <w:r>
              <w:t xml:space="preserve">1 (0.2)</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317</w:t>
            </w:r>
          </w:p>
        </w:tc>
        <w:tc>
          <w:tcPr/>
          <w:p>
            <w:pPr>
              <w:pStyle w:val="Compact"/>
              <w:jc w:val="left"/>
            </w:pPr>
            <w:r>
              <w:t xml:space="preserve">nan</w:t>
            </w:r>
          </w:p>
        </w:tc>
        <w:tc>
          <w:tcPr/>
          <w:p>
            <w:pPr>
              <w:pStyle w:val="Compact"/>
              <w:jc w:val="left"/>
            </w:pPr>
            <w:r>
              <w:t xml:space="preserve">1 (0.0)</w:t>
            </w:r>
          </w:p>
        </w:tc>
        <w:tc>
          <w:tcPr/>
          <w:p>
            <w:pPr>
              <w:pStyle w:val="Compact"/>
              <w:jc w:val="left"/>
            </w:pPr>
            <w:r>
              <w:t xml:space="preserve">1 (0.0)</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32</w:t>
            </w:r>
          </w:p>
        </w:tc>
        <w:tc>
          <w:tcPr/>
          <w:p>
            <w:pPr>
              <w:pStyle w:val="Compact"/>
              <w:jc w:val="left"/>
            </w:pPr>
            <w:r>
              <w:t xml:space="preserve">nan</w:t>
            </w:r>
          </w:p>
        </w:tc>
        <w:tc>
          <w:tcPr/>
          <w:p>
            <w:pPr>
              <w:pStyle w:val="Compact"/>
              <w:jc w:val="left"/>
            </w:pPr>
            <w:r>
              <w:t xml:space="preserve">1 (0.0)</w:t>
            </w:r>
          </w:p>
        </w:tc>
        <w:tc>
          <w:tcPr/>
          <w:p>
            <w:pPr>
              <w:pStyle w:val="Compact"/>
              <w:jc w:val="left"/>
            </w:pPr>
            <w:r>
              <w:t xml:space="preserve">0 (0.0)</w:t>
            </w:r>
          </w:p>
        </w:tc>
        <w:tc>
          <w:tcPr/>
          <w:p>
            <w:pPr>
              <w:pStyle w:val="Compact"/>
              <w:jc w:val="left"/>
            </w:pPr>
            <w:r>
              <w:t xml:space="preserve">1 (0.2)</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321</w:t>
            </w:r>
          </w:p>
        </w:tc>
        <w:tc>
          <w:tcPr/>
          <w:p>
            <w:pPr>
              <w:pStyle w:val="Compact"/>
              <w:jc w:val="left"/>
            </w:pPr>
            <w:r>
              <w:t xml:space="preserve">nan</w:t>
            </w:r>
          </w:p>
        </w:tc>
        <w:tc>
          <w:tcPr/>
          <w:p>
            <w:pPr>
              <w:pStyle w:val="Compact"/>
              <w:jc w:val="left"/>
            </w:pPr>
            <w:r>
              <w:t xml:space="preserve">4 (0.1)</w:t>
            </w:r>
          </w:p>
        </w:tc>
        <w:tc>
          <w:tcPr/>
          <w:p>
            <w:pPr>
              <w:pStyle w:val="Compact"/>
              <w:jc w:val="left"/>
            </w:pPr>
            <w:r>
              <w:t xml:space="preserve">3 (0.1)</w:t>
            </w:r>
          </w:p>
        </w:tc>
        <w:tc>
          <w:tcPr/>
          <w:p>
            <w:pPr>
              <w:pStyle w:val="Compact"/>
              <w:jc w:val="left"/>
            </w:pPr>
            <w:r>
              <w:t xml:space="preserve">1 (0.2)</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322</w:t>
            </w:r>
          </w:p>
        </w:tc>
        <w:tc>
          <w:tcPr/>
          <w:p>
            <w:pPr>
              <w:pStyle w:val="Compact"/>
              <w:jc w:val="left"/>
            </w:pPr>
            <w:r>
              <w:t xml:space="preserve">nan</w:t>
            </w:r>
          </w:p>
        </w:tc>
        <w:tc>
          <w:tcPr/>
          <w:p>
            <w:pPr>
              <w:pStyle w:val="Compact"/>
              <w:jc w:val="left"/>
            </w:pPr>
            <w:r>
              <w:t xml:space="preserve">1 (0.0)</w:t>
            </w:r>
          </w:p>
        </w:tc>
        <w:tc>
          <w:tcPr/>
          <w:p>
            <w:pPr>
              <w:pStyle w:val="Compact"/>
              <w:jc w:val="left"/>
            </w:pPr>
            <w:r>
              <w:t xml:space="preserve">1 (0.0)</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323</w:t>
            </w:r>
          </w:p>
        </w:tc>
        <w:tc>
          <w:tcPr/>
          <w:p>
            <w:pPr>
              <w:pStyle w:val="Compact"/>
              <w:jc w:val="left"/>
            </w:pPr>
            <w:r>
              <w:t xml:space="preserve">nan</w:t>
            </w:r>
          </w:p>
        </w:tc>
        <w:tc>
          <w:tcPr/>
          <w:p>
            <w:pPr>
              <w:pStyle w:val="Compact"/>
              <w:jc w:val="left"/>
            </w:pPr>
            <w:r>
              <w:t xml:space="preserve">6 (0.2)</w:t>
            </w:r>
          </w:p>
        </w:tc>
        <w:tc>
          <w:tcPr/>
          <w:p>
            <w:pPr>
              <w:pStyle w:val="Compact"/>
              <w:jc w:val="left"/>
            </w:pPr>
            <w:r>
              <w:t xml:space="preserve">6 (0.2)</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330</w:t>
            </w:r>
          </w:p>
        </w:tc>
        <w:tc>
          <w:tcPr/>
          <w:p>
            <w:pPr>
              <w:pStyle w:val="Compact"/>
              <w:jc w:val="left"/>
            </w:pPr>
            <w:r>
              <w:t xml:space="preserve">nan</w:t>
            </w:r>
          </w:p>
        </w:tc>
        <w:tc>
          <w:tcPr/>
          <w:p>
            <w:pPr>
              <w:pStyle w:val="Compact"/>
              <w:jc w:val="left"/>
            </w:pPr>
            <w:r>
              <w:t xml:space="preserve">1 (0.0)</w:t>
            </w:r>
          </w:p>
        </w:tc>
        <w:tc>
          <w:tcPr/>
          <w:p>
            <w:pPr>
              <w:pStyle w:val="Compact"/>
              <w:jc w:val="left"/>
            </w:pPr>
            <w:r>
              <w:t xml:space="preserve">1 (0.0)</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335</w:t>
            </w:r>
          </w:p>
        </w:tc>
        <w:tc>
          <w:tcPr/>
          <w:p>
            <w:pPr>
              <w:pStyle w:val="Compact"/>
              <w:jc w:val="left"/>
            </w:pPr>
            <w:r>
              <w:t xml:space="preserve">nan</w:t>
            </w:r>
          </w:p>
        </w:tc>
        <w:tc>
          <w:tcPr/>
          <w:p>
            <w:pPr>
              <w:pStyle w:val="Compact"/>
              <w:jc w:val="left"/>
            </w:pPr>
            <w:r>
              <w:t xml:space="preserve">6 (0.2)</w:t>
            </w:r>
          </w:p>
        </w:tc>
        <w:tc>
          <w:tcPr/>
          <w:p>
            <w:pPr>
              <w:pStyle w:val="Compact"/>
              <w:jc w:val="left"/>
            </w:pPr>
            <w:r>
              <w:t xml:space="preserve">5 (0.2)</w:t>
            </w:r>
          </w:p>
        </w:tc>
        <w:tc>
          <w:tcPr/>
          <w:p>
            <w:pPr>
              <w:pStyle w:val="Compact"/>
              <w:jc w:val="left"/>
            </w:pPr>
            <w:r>
              <w:t xml:space="preserve">1 (0.2)</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339</w:t>
            </w:r>
          </w:p>
        </w:tc>
        <w:tc>
          <w:tcPr/>
          <w:p>
            <w:pPr>
              <w:pStyle w:val="Compact"/>
              <w:jc w:val="left"/>
            </w:pPr>
            <w:r>
              <w:t xml:space="preserve">nan</w:t>
            </w:r>
          </w:p>
        </w:tc>
        <w:tc>
          <w:tcPr/>
          <w:p>
            <w:pPr>
              <w:pStyle w:val="Compact"/>
              <w:jc w:val="left"/>
            </w:pPr>
            <w:r>
              <w:t xml:space="preserve">2 (0.1)</w:t>
            </w:r>
          </w:p>
        </w:tc>
        <w:tc>
          <w:tcPr/>
          <w:p>
            <w:pPr>
              <w:pStyle w:val="Compact"/>
              <w:jc w:val="left"/>
            </w:pPr>
            <w:r>
              <w:t xml:space="preserve">2 (0.1)</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34</w:t>
            </w:r>
          </w:p>
        </w:tc>
        <w:tc>
          <w:tcPr/>
          <w:p>
            <w:pPr>
              <w:pStyle w:val="Compact"/>
              <w:jc w:val="left"/>
            </w:pPr>
            <w:r>
              <w:t xml:space="preserve">nan</w:t>
            </w:r>
          </w:p>
        </w:tc>
        <w:tc>
          <w:tcPr/>
          <w:p>
            <w:pPr>
              <w:pStyle w:val="Compact"/>
              <w:jc w:val="left"/>
            </w:pPr>
            <w:r>
              <w:t xml:space="preserve">4 (0.1)</w:t>
            </w:r>
          </w:p>
        </w:tc>
        <w:tc>
          <w:tcPr/>
          <w:p>
            <w:pPr>
              <w:pStyle w:val="Compact"/>
              <w:jc w:val="left"/>
            </w:pPr>
            <w:r>
              <w:t xml:space="preserve">4 (0.1)</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341</w:t>
            </w:r>
          </w:p>
        </w:tc>
        <w:tc>
          <w:tcPr/>
          <w:p>
            <w:pPr>
              <w:pStyle w:val="Compact"/>
              <w:jc w:val="left"/>
            </w:pPr>
            <w:r>
              <w:t xml:space="preserve">nan</w:t>
            </w:r>
          </w:p>
        </w:tc>
        <w:tc>
          <w:tcPr/>
          <w:p>
            <w:pPr>
              <w:pStyle w:val="Compact"/>
              <w:jc w:val="left"/>
            </w:pPr>
            <w:r>
              <w:t xml:space="preserve">4 (0.1)</w:t>
            </w:r>
          </w:p>
        </w:tc>
        <w:tc>
          <w:tcPr/>
          <w:p>
            <w:pPr>
              <w:pStyle w:val="Compact"/>
              <w:jc w:val="left"/>
            </w:pPr>
            <w:r>
              <w:t xml:space="preserve">4 (0.1)</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346</w:t>
            </w:r>
          </w:p>
        </w:tc>
        <w:tc>
          <w:tcPr/>
          <w:p>
            <w:pPr>
              <w:pStyle w:val="Compact"/>
              <w:jc w:val="left"/>
            </w:pPr>
            <w:r>
              <w:t xml:space="preserve">nan</w:t>
            </w:r>
          </w:p>
        </w:tc>
        <w:tc>
          <w:tcPr/>
          <w:p>
            <w:pPr>
              <w:pStyle w:val="Compact"/>
              <w:jc w:val="left"/>
            </w:pPr>
            <w:r>
              <w:t xml:space="preserve">1 (0.0)</w:t>
            </w:r>
          </w:p>
        </w:tc>
        <w:tc>
          <w:tcPr/>
          <w:p>
            <w:pPr>
              <w:pStyle w:val="Compact"/>
              <w:jc w:val="left"/>
            </w:pPr>
            <w:r>
              <w:t xml:space="preserve">1 (0.0)</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349</w:t>
            </w:r>
          </w:p>
        </w:tc>
        <w:tc>
          <w:tcPr/>
          <w:p>
            <w:pPr>
              <w:pStyle w:val="Compact"/>
              <w:jc w:val="left"/>
            </w:pPr>
            <w:r>
              <w:t xml:space="preserve">nan</w:t>
            </w:r>
          </w:p>
        </w:tc>
        <w:tc>
          <w:tcPr/>
          <w:p>
            <w:pPr>
              <w:pStyle w:val="Compact"/>
              <w:jc w:val="left"/>
            </w:pPr>
            <w:r>
              <w:t xml:space="preserve">2 (0.1)</w:t>
            </w:r>
          </w:p>
        </w:tc>
        <w:tc>
          <w:tcPr/>
          <w:p>
            <w:pPr>
              <w:pStyle w:val="Compact"/>
              <w:jc w:val="left"/>
            </w:pPr>
            <w:r>
              <w:t xml:space="preserve">2 (0.1)</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358</w:t>
            </w:r>
          </w:p>
        </w:tc>
        <w:tc>
          <w:tcPr/>
          <w:p>
            <w:pPr>
              <w:pStyle w:val="Compact"/>
              <w:jc w:val="left"/>
            </w:pPr>
            <w:r>
              <w:t xml:space="preserve">nan</w:t>
            </w:r>
          </w:p>
        </w:tc>
        <w:tc>
          <w:tcPr/>
          <w:p>
            <w:pPr>
              <w:pStyle w:val="Compact"/>
              <w:jc w:val="left"/>
            </w:pPr>
            <w:r>
              <w:t xml:space="preserve">1 (0.0)</w:t>
            </w:r>
          </w:p>
        </w:tc>
        <w:tc>
          <w:tcPr/>
          <w:p>
            <w:pPr>
              <w:pStyle w:val="Compact"/>
              <w:jc w:val="left"/>
            </w:pPr>
            <w:r>
              <w:t xml:space="preserve">1 (0.0)</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36</w:t>
            </w:r>
          </w:p>
        </w:tc>
        <w:tc>
          <w:tcPr/>
          <w:p>
            <w:pPr>
              <w:pStyle w:val="Compact"/>
              <w:jc w:val="left"/>
            </w:pPr>
            <w:r>
              <w:t xml:space="preserve">nan</w:t>
            </w:r>
          </w:p>
        </w:tc>
        <w:tc>
          <w:tcPr/>
          <w:p>
            <w:pPr>
              <w:pStyle w:val="Compact"/>
              <w:jc w:val="left"/>
            </w:pPr>
            <w:r>
              <w:t xml:space="preserve">1 (0.0)</w:t>
            </w:r>
          </w:p>
        </w:tc>
        <w:tc>
          <w:tcPr/>
          <w:p>
            <w:pPr>
              <w:pStyle w:val="Compact"/>
              <w:jc w:val="left"/>
            </w:pPr>
            <w:r>
              <w:t xml:space="preserve">1 (0.0)</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360</w:t>
            </w:r>
          </w:p>
        </w:tc>
        <w:tc>
          <w:tcPr/>
          <w:p>
            <w:pPr>
              <w:pStyle w:val="Compact"/>
              <w:jc w:val="left"/>
            </w:pPr>
            <w:r>
              <w:t xml:space="preserve">nan</w:t>
            </w:r>
          </w:p>
        </w:tc>
        <w:tc>
          <w:tcPr/>
          <w:p>
            <w:pPr>
              <w:pStyle w:val="Compact"/>
              <w:jc w:val="left"/>
            </w:pPr>
            <w:r>
              <w:t xml:space="preserve">2 (0.1)</w:t>
            </w:r>
          </w:p>
        </w:tc>
        <w:tc>
          <w:tcPr/>
          <w:p>
            <w:pPr>
              <w:pStyle w:val="Compact"/>
              <w:jc w:val="left"/>
            </w:pPr>
            <w:r>
              <w:t xml:space="preserve">2 (0.1)</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364</w:t>
            </w:r>
          </w:p>
        </w:tc>
        <w:tc>
          <w:tcPr/>
          <w:p>
            <w:pPr>
              <w:pStyle w:val="Compact"/>
              <w:jc w:val="left"/>
            </w:pPr>
            <w:r>
              <w:t xml:space="preserve">nan</w:t>
            </w:r>
          </w:p>
        </w:tc>
        <w:tc>
          <w:tcPr/>
          <w:p>
            <w:pPr>
              <w:pStyle w:val="Compact"/>
              <w:jc w:val="left"/>
            </w:pPr>
            <w:r>
              <w:t xml:space="preserve">1 (0.0)</w:t>
            </w:r>
          </w:p>
        </w:tc>
        <w:tc>
          <w:tcPr/>
          <w:p>
            <w:pPr>
              <w:pStyle w:val="Compact"/>
              <w:jc w:val="left"/>
            </w:pPr>
            <w:r>
              <w:t xml:space="preserve">1 (0.0)</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366</w:t>
            </w:r>
          </w:p>
        </w:tc>
        <w:tc>
          <w:tcPr/>
          <w:p>
            <w:pPr>
              <w:pStyle w:val="Compact"/>
              <w:jc w:val="left"/>
            </w:pPr>
            <w:r>
              <w:t xml:space="preserve">nan</w:t>
            </w:r>
          </w:p>
        </w:tc>
        <w:tc>
          <w:tcPr/>
          <w:p>
            <w:pPr>
              <w:pStyle w:val="Compact"/>
              <w:jc w:val="left"/>
            </w:pPr>
            <w:r>
              <w:t xml:space="preserve">2 (0.1)</w:t>
            </w:r>
          </w:p>
        </w:tc>
        <w:tc>
          <w:tcPr/>
          <w:p>
            <w:pPr>
              <w:pStyle w:val="Compact"/>
              <w:jc w:val="left"/>
            </w:pPr>
            <w:r>
              <w:t xml:space="preserve">2 (0.1)</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367</w:t>
            </w:r>
          </w:p>
        </w:tc>
        <w:tc>
          <w:tcPr/>
          <w:p>
            <w:pPr>
              <w:pStyle w:val="Compact"/>
              <w:jc w:val="left"/>
            </w:pPr>
            <w:r>
              <w:t xml:space="preserve">nan</w:t>
            </w:r>
          </w:p>
        </w:tc>
        <w:tc>
          <w:tcPr/>
          <w:p>
            <w:pPr>
              <w:pStyle w:val="Compact"/>
              <w:jc w:val="left"/>
            </w:pPr>
            <w:r>
              <w:t xml:space="preserve">1 (0.0)</w:t>
            </w:r>
          </w:p>
        </w:tc>
        <w:tc>
          <w:tcPr/>
          <w:p>
            <w:pPr>
              <w:pStyle w:val="Compact"/>
              <w:jc w:val="left"/>
            </w:pPr>
            <w:r>
              <w:t xml:space="preserve">1 (0.0)</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369</w:t>
            </w:r>
          </w:p>
        </w:tc>
        <w:tc>
          <w:tcPr/>
          <w:p>
            <w:pPr>
              <w:pStyle w:val="Compact"/>
              <w:jc w:val="left"/>
            </w:pPr>
            <w:r>
              <w:t xml:space="preserve">nan</w:t>
            </w:r>
          </w:p>
        </w:tc>
        <w:tc>
          <w:tcPr/>
          <w:p>
            <w:pPr>
              <w:pStyle w:val="Compact"/>
              <w:jc w:val="left"/>
            </w:pPr>
            <w:r>
              <w:t xml:space="preserve">2 (0.1)</w:t>
            </w:r>
          </w:p>
        </w:tc>
        <w:tc>
          <w:tcPr/>
          <w:p>
            <w:pPr>
              <w:pStyle w:val="Compact"/>
              <w:jc w:val="left"/>
            </w:pPr>
            <w:r>
              <w:t xml:space="preserve">2 (0.1)</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37</w:t>
            </w:r>
          </w:p>
        </w:tc>
        <w:tc>
          <w:tcPr/>
          <w:p>
            <w:pPr>
              <w:pStyle w:val="Compact"/>
              <w:jc w:val="left"/>
            </w:pPr>
            <w:r>
              <w:t xml:space="preserve">nan</w:t>
            </w:r>
          </w:p>
        </w:tc>
        <w:tc>
          <w:tcPr/>
          <w:p>
            <w:pPr>
              <w:pStyle w:val="Compact"/>
              <w:jc w:val="left"/>
            </w:pPr>
            <w:r>
              <w:t xml:space="preserve">2 (0.1)</w:t>
            </w:r>
          </w:p>
        </w:tc>
        <w:tc>
          <w:tcPr/>
          <w:p>
            <w:pPr>
              <w:pStyle w:val="Compact"/>
              <w:jc w:val="left"/>
            </w:pPr>
            <w:r>
              <w:t xml:space="preserve">2 (0.1)</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379</w:t>
            </w:r>
          </w:p>
        </w:tc>
        <w:tc>
          <w:tcPr/>
          <w:p>
            <w:pPr>
              <w:pStyle w:val="Compact"/>
              <w:jc w:val="left"/>
            </w:pPr>
            <w:r>
              <w:t xml:space="preserve">nan</w:t>
            </w:r>
          </w:p>
        </w:tc>
        <w:tc>
          <w:tcPr/>
          <w:p>
            <w:pPr>
              <w:pStyle w:val="Compact"/>
              <w:jc w:val="left"/>
            </w:pPr>
            <w:r>
              <w:t xml:space="preserve">1 (0.0)</w:t>
            </w:r>
          </w:p>
        </w:tc>
        <w:tc>
          <w:tcPr/>
          <w:p>
            <w:pPr>
              <w:pStyle w:val="Compact"/>
              <w:jc w:val="left"/>
            </w:pPr>
            <w:r>
              <w:t xml:space="preserve">1 (0.0)</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381</w:t>
            </w:r>
          </w:p>
        </w:tc>
        <w:tc>
          <w:tcPr/>
          <w:p>
            <w:pPr>
              <w:pStyle w:val="Compact"/>
              <w:jc w:val="left"/>
            </w:pPr>
            <w:r>
              <w:t xml:space="preserve">nan</w:t>
            </w:r>
          </w:p>
        </w:tc>
        <w:tc>
          <w:tcPr/>
          <w:p>
            <w:pPr>
              <w:pStyle w:val="Compact"/>
              <w:jc w:val="left"/>
            </w:pPr>
            <w:r>
              <w:t xml:space="preserve">1 (0.0)</w:t>
            </w:r>
          </w:p>
        </w:tc>
        <w:tc>
          <w:tcPr/>
          <w:p>
            <w:pPr>
              <w:pStyle w:val="Compact"/>
              <w:jc w:val="left"/>
            </w:pPr>
            <w:r>
              <w:t xml:space="preserve">1 (0.0)</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387</w:t>
            </w:r>
          </w:p>
        </w:tc>
        <w:tc>
          <w:tcPr/>
          <w:p>
            <w:pPr>
              <w:pStyle w:val="Compact"/>
              <w:jc w:val="left"/>
            </w:pPr>
            <w:r>
              <w:t xml:space="preserve">nan</w:t>
            </w:r>
          </w:p>
        </w:tc>
        <w:tc>
          <w:tcPr/>
          <w:p>
            <w:pPr>
              <w:pStyle w:val="Compact"/>
              <w:jc w:val="left"/>
            </w:pPr>
            <w:r>
              <w:t xml:space="preserve">1 (0.0)</w:t>
            </w:r>
          </w:p>
        </w:tc>
        <w:tc>
          <w:tcPr/>
          <w:p>
            <w:pPr>
              <w:pStyle w:val="Compact"/>
              <w:jc w:val="left"/>
            </w:pPr>
            <w:r>
              <w:t xml:space="preserve">0 (0.0)</w:t>
            </w:r>
          </w:p>
        </w:tc>
        <w:tc>
          <w:tcPr/>
          <w:p>
            <w:pPr>
              <w:pStyle w:val="Compact"/>
              <w:jc w:val="left"/>
            </w:pPr>
            <w:r>
              <w:t xml:space="preserve">1 (0.2)</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388</w:t>
            </w:r>
          </w:p>
        </w:tc>
        <w:tc>
          <w:tcPr/>
          <w:p>
            <w:pPr>
              <w:pStyle w:val="Compact"/>
              <w:jc w:val="left"/>
            </w:pPr>
            <w:r>
              <w:t xml:space="preserve">nan</w:t>
            </w:r>
          </w:p>
        </w:tc>
        <w:tc>
          <w:tcPr/>
          <w:p>
            <w:pPr>
              <w:pStyle w:val="Compact"/>
              <w:jc w:val="left"/>
            </w:pPr>
            <w:r>
              <w:t xml:space="preserve">2 (0.1)</w:t>
            </w:r>
          </w:p>
        </w:tc>
        <w:tc>
          <w:tcPr/>
          <w:p>
            <w:pPr>
              <w:pStyle w:val="Compact"/>
              <w:jc w:val="left"/>
            </w:pPr>
            <w:r>
              <w:t xml:space="preserve">2 (0.1)</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391</w:t>
            </w:r>
          </w:p>
        </w:tc>
        <w:tc>
          <w:tcPr/>
          <w:p>
            <w:pPr>
              <w:pStyle w:val="Compact"/>
              <w:jc w:val="left"/>
            </w:pPr>
            <w:r>
              <w:t xml:space="preserve">nan</w:t>
            </w:r>
          </w:p>
        </w:tc>
        <w:tc>
          <w:tcPr/>
          <w:p>
            <w:pPr>
              <w:pStyle w:val="Compact"/>
              <w:jc w:val="left"/>
            </w:pPr>
            <w:r>
              <w:t xml:space="preserve">1 (0.0)</w:t>
            </w:r>
          </w:p>
        </w:tc>
        <w:tc>
          <w:tcPr/>
          <w:p>
            <w:pPr>
              <w:pStyle w:val="Compact"/>
              <w:jc w:val="left"/>
            </w:pPr>
            <w:r>
              <w:t xml:space="preserve">1 (0.0)</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396</w:t>
            </w:r>
          </w:p>
        </w:tc>
        <w:tc>
          <w:tcPr/>
          <w:p>
            <w:pPr>
              <w:pStyle w:val="Compact"/>
              <w:jc w:val="left"/>
            </w:pPr>
            <w:r>
              <w:t xml:space="preserve">nan</w:t>
            </w:r>
          </w:p>
        </w:tc>
        <w:tc>
          <w:tcPr/>
          <w:p>
            <w:pPr>
              <w:pStyle w:val="Compact"/>
              <w:jc w:val="left"/>
            </w:pPr>
            <w:r>
              <w:t xml:space="preserve">1 (0.0)</w:t>
            </w:r>
          </w:p>
        </w:tc>
        <w:tc>
          <w:tcPr/>
          <w:p>
            <w:pPr>
              <w:pStyle w:val="Compact"/>
              <w:jc w:val="left"/>
            </w:pPr>
            <w:r>
              <w:t xml:space="preserve">0 (0.0)</w:t>
            </w:r>
          </w:p>
        </w:tc>
        <w:tc>
          <w:tcPr/>
          <w:p>
            <w:pPr>
              <w:pStyle w:val="Compact"/>
              <w:jc w:val="left"/>
            </w:pPr>
            <w:r>
              <w:t xml:space="preserve">1 (0.2)</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40</w:t>
            </w:r>
          </w:p>
        </w:tc>
        <w:tc>
          <w:tcPr/>
          <w:p>
            <w:pPr>
              <w:pStyle w:val="Compact"/>
              <w:jc w:val="left"/>
            </w:pPr>
            <w:r>
              <w:t xml:space="preserve">nan</w:t>
            </w:r>
          </w:p>
        </w:tc>
        <w:tc>
          <w:tcPr/>
          <w:p>
            <w:pPr>
              <w:pStyle w:val="Compact"/>
              <w:jc w:val="left"/>
            </w:pPr>
            <w:r>
              <w:t xml:space="preserve">3 (0.1)</w:t>
            </w:r>
          </w:p>
        </w:tc>
        <w:tc>
          <w:tcPr/>
          <w:p>
            <w:pPr>
              <w:pStyle w:val="Compact"/>
              <w:jc w:val="left"/>
            </w:pPr>
            <w:r>
              <w:t xml:space="preserve">3 (0.1)</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45</w:t>
            </w:r>
          </w:p>
        </w:tc>
        <w:tc>
          <w:tcPr/>
          <w:p>
            <w:pPr>
              <w:pStyle w:val="Compact"/>
              <w:jc w:val="left"/>
            </w:pPr>
            <w:r>
              <w:t xml:space="preserve">nan</w:t>
            </w:r>
          </w:p>
        </w:tc>
        <w:tc>
          <w:tcPr/>
          <w:p>
            <w:pPr>
              <w:pStyle w:val="Compact"/>
              <w:jc w:val="left"/>
            </w:pPr>
            <w:r>
              <w:t xml:space="preserve">1 (0.0)</w:t>
            </w:r>
          </w:p>
        </w:tc>
        <w:tc>
          <w:tcPr/>
          <w:p>
            <w:pPr>
              <w:pStyle w:val="Compact"/>
              <w:jc w:val="left"/>
            </w:pPr>
            <w:r>
              <w:t xml:space="preserve">1 (0.0)</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46</w:t>
            </w:r>
          </w:p>
        </w:tc>
        <w:tc>
          <w:tcPr/>
          <w:p>
            <w:pPr>
              <w:pStyle w:val="Compact"/>
              <w:jc w:val="left"/>
            </w:pPr>
            <w:r>
              <w:t xml:space="preserve">nan</w:t>
            </w:r>
          </w:p>
        </w:tc>
        <w:tc>
          <w:tcPr/>
          <w:p>
            <w:pPr>
              <w:pStyle w:val="Compact"/>
              <w:jc w:val="left"/>
            </w:pPr>
            <w:r>
              <w:t xml:space="preserve">2 (0.1)</w:t>
            </w:r>
          </w:p>
        </w:tc>
        <w:tc>
          <w:tcPr/>
          <w:p>
            <w:pPr>
              <w:pStyle w:val="Compact"/>
              <w:jc w:val="left"/>
            </w:pPr>
            <w:r>
              <w:t xml:space="preserve">2 (0.1)</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47</w:t>
            </w:r>
          </w:p>
        </w:tc>
        <w:tc>
          <w:tcPr/>
          <w:p>
            <w:pPr>
              <w:pStyle w:val="Compact"/>
              <w:jc w:val="left"/>
            </w:pPr>
            <w:r>
              <w:t xml:space="preserve">nan</w:t>
            </w:r>
          </w:p>
        </w:tc>
        <w:tc>
          <w:tcPr/>
          <w:p>
            <w:pPr>
              <w:pStyle w:val="Compact"/>
              <w:jc w:val="left"/>
            </w:pPr>
            <w:r>
              <w:t xml:space="preserve">1 (0.0)</w:t>
            </w:r>
          </w:p>
        </w:tc>
        <w:tc>
          <w:tcPr/>
          <w:p>
            <w:pPr>
              <w:pStyle w:val="Compact"/>
              <w:jc w:val="left"/>
            </w:pPr>
            <w:r>
              <w:t xml:space="preserve">1 (0.0)</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5</w:t>
            </w:r>
          </w:p>
        </w:tc>
        <w:tc>
          <w:tcPr/>
          <w:p>
            <w:pPr>
              <w:pStyle w:val="Compact"/>
              <w:jc w:val="left"/>
            </w:pPr>
            <w:r>
              <w:t xml:space="preserve">nan</w:t>
            </w:r>
          </w:p>
        </w:tc>
        <w:tc>
          <w:tcPr/>
          <w:p>
            <w:pPr>
              <w:pStyle w:val="Compact"/>
              <w:jc w:val="left"/>
            </w:pPr>
            <w:r>
              <w:t xml:space="preserve">8 (0.3)</w:t>
            </w:r>
          </w:p>
        </w:tc>
        <w:tc>
          <w:tcPr/>
          <w:p>
            <w:pPr>
              <w:pStyle w:val="Compact"/>
              <w:jc w:val="left"/>
            </w:pPr>
            <w:r>
              <w:t xml:space="preserve">7 (0.3)</w:t>
            </w:r>
          </w:p>
        </w:tc>
        <w:tc>
          <w:tcPr/>
          <w:p>
            <w:pPr>
              <w:pStyle w:val="Compact"/>
              <w:jc w:val="left"/>
            </w:pPr>
            <w:r>
              <w:t xml:space="preserve">1 (0.2)</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50</w:t>
            </w:r>
          </w:p>
        </w:tc>
        <w:tc>
          <w:tcPr/>
          <w:p>
            <w:pPr>
              <w:pStyle w:val="Compact"/>
              <w:jc w:val="left"/>
            </w:pPr>
            <w:r>
              <w:t xml:space="preserve">nan</w:t>
            </w:r>
          </w:p>
        </w:tc>
        <w:tc>
          <w:tcPr/>
          <w:p>
            <w:pPr>
              <w:pStyle w:val="Compact"/>
              <w:jc w:val="left"/>
            </w:pPr>
            <w:r>
              <w:t xml:space="preserve">2 (0.1)</w:t>
            </w:r>
          </w:p>
        </w:tc>
        <w:tc>
          <w:tcPr/>
          <w:p>
            <w:pPr>
              <w:pStyle w:val="Compact"/>
              <w:jc w:val="left"/>
            </w:pPr>
            <w:r>
              <w:t xml:space="preserve">1 (0.0)</w:t>
            </w:r>
          </w:p>
        </w:tc>
        <w:tc>
          <w:tcPr/>
          <w:p>
            <w:pPr>
              <w:pStyle w:val="Compact"/>
              <w:jc w:val="left"/>
            </w:pPr>
            <w:r>
              <w:t xml:space="preserve">1 (0.2)</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53</w:t>
            </w:r>
          </w:p>
        </w:tc>
        <w:tc>
          <w:tcPr/>
          <w:p>
            <w:pPr>
              <w:pStyle w:val="Compact"/>
              <w:jc w:val="left"/>
            </w:pPr>
            <w:r>
              <w:t xml:space="preserve">nan</w:t>
            </w:r>
          </w:p>
        </w:tc>
        <w:tc>
          <w:tcPr/>
          <w:p>
            <w:pPr>
              <w:pStyle w:val="Compact"/>
              <w:jc w:val="left"/>
            </w:pPr>
            <w:r>
              <w:t xml:space="preserve">10 (0.3)</w:t>
            </w:r>
          </w:p>
        </w:tc>
        <w:tc>
          <w:tcPr/>
          <w:p>
            <w:pPr>
              <w:pStyle w:val="Compact"/>
              <w:jc w:val="left"/>
            </w:pPr>
            <w:r>
              <w:t xml:space="preserve">9 (0.3)</w:t>
            </w:r>
          </w:p>
        </w:tc>
        <w:tc>
          <w:tcPr/>
          <w:p>
            <w:pPr>
              <w:pStyle w:val="Compact"/>
              <w:jc w:val="left"/>
            </w:pPr>
            <w:r>
              <w:t xml:space="preserve">1 (0.2)</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54</w:t>
            </w:r>
          </w:p>
        </w:tc>
        <w:tc>
          <w:tcPr/>
          <w:p>
            <w:pPr>
              <w:pStyle w:val="Compact"/>
              <w:jc w:val="left"/>
            </w:pPr>
            <w:r>
              <w:t xml:space="preserve">nan</w:t>
            </w:r>
          </w:p>
        </w:tc>
        <w:tc>
          <w:tcPr/>
          <w:p>
            <w:pPr>
              <w:pStyle w:val="Compact"/>
              <w:jc w:val="left"/>
            </w:pPr>
            <w:r>
              <w:t xml:space="preserve">19 (0.6)</w:t>
            </w:r>
          </w:p>
        </w:tc>
        <w:tc>
          <w:tcPr/>
          <w:p>
            <w:pPr>
              <w:pStyle w:val="Compact"/>
              <w:jc w:val="left"/>
            </w:pPr>
            <w:r>
              <w:t xml:space="preserve">17 (0.6)</w:t>
            </w:r>
          </w:p>
        </w:tc>
        <w:tc>
          <w:tcPr/>
          <w:p>
            <w:pPr>
              <w:pStyle w:val="Compact"/>
              <w:jc w:val="left"/>
            </w:pPr>
            <w:r>
              <w:t xml:space="preserve">2 (0.4)</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55</w:t>
            </w:r>
          </w:p>
        </w:tc>
        <w:tc>
          <w:tcPr/>
          <w:p>
            <w:pPr>
              <w:pStyle w:val="Compact"/>
              <w:jc w:val="left"/>
            </w:pPr>
            <w:r>
              <w:t xml:space="preserve">nan</w:t>
            </w:r>
          </w:p>
        </w:tc>
        <w:tc>
          <w:tcPr/>
          <w:p>
            <w:pPr>
              <w:pStyle w:val="Compact"/>
              <w:jc w:val="left"/>
            </w:pPr>
            <w:r>
              <w:t xml:space="preserve">12 (0.4)</w:t>
            </w:r>
          </w:p>
        </w:tc>
        <w:tc>
          <w:tcPr/>
          <w:p>
            <w:pPr>
              <w:pStyle w:val="Compact"/>
              <w:jc w:val="left"/>
            </w:pPr>
            <w:r>
              <w:t xml:space="preserve">5 (0.2)</w:t>
            </w:r>
          </w:p>
        </w:tc>
        <w:tc>
          <w:tcPr/>
          <w:p>
            <w:pPr>
              <w:pStyle w:val="Compact"/>
              <w:jc w:val="left"/>
            </w:pPr>
            <w:r>
              <w:t xml:space="preserve">7 (1.5)</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57</w:t>
            </w:r>
          </w:p>
        </w:tc>
        <w:tc>
          <w:tcPr/>
          <w:p>
            <w:pPr>
              <w:pStyle w:val="Compact"/>
              <w:jc w:val="left"/>
            </w:pPr>
            <w:r>
              <w:t xml:space="preserve">nan</w:t>
            </w:r>
          </w:p>
        </w:tc>
        <w:tc>
          <w:tcPr/>
          <w:p>
            <w:pPr>
              <w:pStyle w:val="Compact"/>
              <w:jc w:val="left"/>
            </w:pPr>
            <w:r>
              <w:t xml:space="preserve">10 (0.3)</w:t>
            </w:r>
          </w:p>
        </w:tc>
        <w:tc>
          <w:tcPr/>
          <w:p>
            <w:pPr>
              <w:pStyle w:val="Compact"/>
              <w:jc w:val="left"/>
            </w:pPr>
            <w:r>
              <w:t xml:space="preserve">9 (0.3)</w:t>
            </w:r>
          </w:p>
        </w:tc>
        <w:tc>
          <w:tcPr/>
          <w:p>
            <w:pPr>
              <w:pStyle w:val="Compact"/>
              <w:jc w:val="left"/>
            </w:pPr>
            <w:r>
              <w:t xml:space="preserve">1 (0.2)</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6</w:t>
            </w:r>
          </w:p>
        </w:tc>
        <w:tc>
          <w:tcPr/>
          <w:p>
            <w:pPr>
              <w:pStyle w:val="Compact"/>
              <w:jc w:val="left"/>
            </w:pPr>
            <w:r>
              <w:t xml:space="preserve">nan</w:t>
            </w:r>
          </w:p>
        </w:tc>
        <w:tc>
          <w:tcPr/>
          <w:p>
            <w:pPr>
              <w:pStyle w:val="Compact"/>
              <w:jc w:val="left"/>
            </w:pPr>
            <w:r>
              <w:t xml:space="preserve">3 (0.1)</w:t>
            </w:r>
          </w:p>
        </w:tc>
        <w:tc>
          <w:tcPr/>
          <w:p>
            <w:pPr>
              <w:pStyle w:val="Compact"/>
              <w:jc w:val="left"/>
            </w:pPr>
            <w:r>
              <w:t xml:space="preserve">1 (0.0)</w:t>
            </w:r>
          </w:p>
        </w:tc>
        <w:tc>
          <w:tcPr/>
          <w:p>
            <w:pPr>
              <w:pStyle w:val="Compact"/>
              <w:jc w:val="left"/>
            </w:pPr>
            <w:r>
              <w:t xml:space="preserve">2 (0.4)</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61</w:t>
            </w:r>
          </w:p>
        </w:tc>
        <w:tc>
          <w:tcPr/>
          <w:p>
            <w:pPr>
              <w:pStyle w:val="Compact"/>
              <w:jc w:val="left"/>
            </w:pPr>
            <w:r>
              <w:t xml:space="preserve">nan</w:t>
            </w:r>
          </w:p>
        </w:tc>
        <w:tc>
          <w:tcPr/>
          <w:p>
            <w:pPr>
              <w:pStyle w:val="Compact"/>
              <w:jc w:val="left"/>
            </w:pPr>
            <w:r>
              <w:t xml:space="preserve">31 (1.0)</w:t>
            </w:r>
          </w:p>
        </w:tc>
        <w:tc>
          <w:tcPr/>
          <w:p>
            <w:pPr>
              <w:pStyle w:val="Compact"/>
              <w:jc w:val="left"/>
            </w:pPr>
            <w:r>
              <w:t xml:space="preserve">28 (1.0)</w:t>
            </w:r>
          </w:p>
        </w:tc>
        <w:tc>
          <w:tcPr/>
          <w:p>
            <w:pPr>
              <w:pStyle w:val="Compact"/>
              <w:jc w:val="left"/>
            </w:pPr>
            <w:r>
              <w:t xml:space="preserve">3 (0.6)</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64</w:t>
            </w:r>
          </w:p>
        </w:tc>
        <w:tc>
          <w:tcPr/>
          <w:p>
            <w:pPr>
              <w:pStyle w:val="Compact"/>
              <w:jc w:val="left"/>
            </w:pPr>
            <w:r>
              <w:t xml:space="preserve">nan</w:t>
            </w:r>
          </w:p>
        </w:tc>
        <w:tc>
          <w:tcPr/>
          <w:p>
            <w:pPr>
              <w:pStyle w:val="Compact"/>
              <w:jc w:val="left"/>
            </w:pPr>
            <w:r>
              <w:t xml:space="preserve">8 (0.3)</w:t>
            </w:r>
          </w:p>
        </w:tc>
        <w:tc>
          <w:tcPr/>
          <w:p>
            <w:pPr>
              <w:pStyle w:val="Compact"/>
              <w:jc w:val="left"/>
            </w:pPr>
            <w:r>
              <w:t xml:space="preserve">8 (0.3)</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65</w:t>
            </w:r>
          </w:p>
        </w:tc>
        <w:tc>
          <w:tcPr/>
          <w:p>
            <w:pPr>
              <w:pStyle w:val="Compact"/>
              <w:jc w:val="left"/>
            </w:pPr>
            <w:r>
              <w:t xml:space="preserve">nan</w:t>
            </w:r>
          </w:p>
        </w:tc>
        <w:tc>
          <w:tcPr/>
          <w:p>
            <w:pPr>
              <w:pStyle w:val="Compact"/>
              <w:jc w:val="left"/>
            </w:pPr>
            <w:r>
              <w:t xml:space="preserve">1 (0.0)</w:t>
            </w:r>
          </w:p>
        </w:tc>
        <w:tc>
          <w:tcPr/>
          <w:p>
            <w:pPr>
              <w:pStyle w:val="Compact"/>
              <w:jc w:val="left"/>
            </w:pPr>
            <w:r>
              <w:t xml:space="preserve">1 (0.0)</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66</w:t>
            </w:r>
          </w:p>
        </w:tc>
        <w:tc>
          <w:tcPr/>
          <w:p>
            <w:pPr>
              <w:pStyle w:val="Compact"/>
              <w:jc w:val="left"/>
            </w:pPr>
            <w:r>
              <w:t xml:space="preserve">nan</w:t>
            </w:r>
          </w:p>
        </w:tc>
        <w:tc>
          <w:tcPr/>
          <w:p>
            <w:pPr>
              <w:pStyle w:val="Compact"/>
              <w:jc w:val="left"/>
            </w:pPr>
            <w:r>
              <w:t xml:space="preserve">13 (0.4)</w:t>
            </w:r>
          </w:p>
        </w:tc>
        <w:tc>
          <w:tcPr/>
          <w:p>
            <w:pPr>
              <w:pStyle w:val="Compact"/>
              <w:jc w:val="left"/>
            </w:pPr>
            <w:r>
              <w:t xml:space="preserve">11 (0.4)</w:t>
            </w:r>
          </w:p>
        </w:tc>
        <w:tc>
          <w:tcPr/>
          <w:p>
            <w:pPr>
              <w:pStyle w:val="Compact"/>
              <w:jc w:val="left"/>
            </w:pPr>
            <w:r>
              <w:t xml:space="preserve">2 (0.4)</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68</w:t>
            </w:r>
          </w:p>
        </w:tc>
        <w:tc>
          <w:tcPr/>
          <w:p>
            <w:pPr>
              <w:pStyle w:val="Compact"/>
              <w:jc w:val="left"/>
            </w:pPr>
            <w:r>
              <w:t xml:space="preserve">nan</w:t>
            </w:r>
          </w:p>
        </w:tc>
        <w:tc>
          <w:tcPr/>
          <w:p>
            <w:pPr>
              <w:pStyle w:val="Compact"/>
              <w:jc w:val="left"/>
            </w:pPr>
            <w:r>
              <w:t xml:space="preserve">5 (0.2)</w:t>
            </w:r>
          </w:p>
        </w:tc>
        <w:tc>
          <w:tcPr/>
          <w:p>
            <w:pPr>
              <w:pStyle w:val="Compact"/>
              <w:jc w:val="left"/>
            </w:pPr>
            <w:r>
              <w:t xml:space="preserve">3 (0.1)</w:t>
            </w:r>
          </w:p>
        </w:tc>
        <w:tc>
          <w:tcPr/>
          <w:p>
            <w:pPr>
              <w:pStyle w:val="Compact"/>
              <w:jc w:val="left"/>
            </w:pPr>
            <w:r>
              <w:t xml:space="preserve">2 (0.4)</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70</w:t>
            </w:r>
          </w:p>
        </w:tc>
        <w:tc>
          <w:tcPr/>
          <w:p>
            <w:pPr>
              <w:pStyle w:val="Compact"/>
              <w:jc w:val="left"/>
            </w:pPr>
            <w:r>
              <w:t xml:space="preserve">nan</w:t>
            </w:r>
          </w:p>
        </w:tc>
        <w:tc>
          <w:tcPr/>
          <w:p>
            <w:pPr>
              <w:pStyle w:val="Compact"/>
              <w:jc w:val="left"/>
            </w:pPr>
            <w:r>
              <w:t xml:space="preserve">3 (0.1)</w:t>
            </w:r>
          </w:p>
        </w:tc>
        <w:tc>
          <w:tcPr/>
          <w:p>
            <w:pPr>
              <w:pStyle w:val="Compact"/>
              <w:jc w:val="left"/>
            </w:pPr>
            <w:r>
              <w:t xml:space="preserve">3 (0.1)</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71</w:t>
            </w:r>
          </w:p>
        </w:tc>
        <w:tc>
          <w:tcPr/>
          <w:p>
            <w:pPr>
              <w:pStyle w:val="Compact"/>
              <w:jc w:val="left"/>
            </w:pPr>
            <w:r>
              <w:t xml:space="preserve">nan</w:t>
            </w:r>
          </w:p>
        </w:tc>
        <w:tc>
          <w:tcPr/>
          <w:p>
            <w:pPr>
              <w:pStyle w:val="Compact"/>
              <w:jc w:val="left"/>
            </w:pPr>
            <w:r>
              <w:t xml:space="preserve">9 (0.3)</w:t>
            </w:r>
          </w:p>
        </w:tc>
        <w:tc>
          <w:tcPr/>
          <w:p>
            <w:pPr>
              <w:pStyle w:val="Compact"/>
              <w:jc w:val="left"/>
            </w:pPr>
            <w:r>
              <w:t xml:space="preserve">5 (0.2)</w:t>
            </w:r>
          </w:p>
        </w:tc>
        <w:tc>
          <w:tcPr/>
          <w:p>
            <w:pPr>
              <w:pStyle w:val="Compact"/>
              <w:jc w:val="left"/>
            </w:pPr>
            <w:r>
              <w:t xml:space="preserve">4 (0.8)</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77</w:t>
            </w:r>
          </w:p>
        </w:tc>
        <w:tc>
          <w:tcPr/>
          <w:p>
            <w:pPr>
              <w:pStyle w:val="Compact"/>
              <w:jc w:val="left"/>
            </w:pPr>
            <w:r>
              <w:t xml:space="preserve">nan</w:t>
            </w:r>
          </w:p>
        </w:tc>
        <w:tc>
          <w:tcPr/>
          <w:p>
            <w:pPr>
              <w:pStyle w:val="Compact"/>
              <w:jc w:val="left"/>
            </w:pPr>
            <w:r>
              <w:t xml:space="preserve">5 (0.2)</w:t>
            </w:r>
          </w:p>
        </w:tc>
        <w:tc>
          <w:tcPr/>
          <w:p>
            <w:pPr>
              <w:pStyle w:val="Compact"/>
              <w:jc w:val="left"/>
            </w:pPr>
            <w:r>
              <w:t xml:space="preserve">4 (0.1)</w:t>
            </w:r>
          </w:p>
        </w:tc>
        <w:tc>
          <w:tcPr/>
          <w:p>
            <w:pPr>
              <w:pStyle w:val="Compact"/>
              <w:jc w:val="left"/>
            </w:pPr>
            <w:r>
              <w:t xml:space="preserve">1 (0.2)</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78</w:t>
            </w:r>
          </w:p>
        </w:tc>
        <w:tc>
          <w:tcPr/>
          <w:p>
            <w:pPr>
              <w:pStyle w:val="Compact"/>
              <w:jc w:val="left"/>
            </w:pPr>
            <w:r>
              <w:t xml:space="preserve">nan</w:t>
            </w:r>
          </w:p>
        </w:tc>
        <w:tc>
          <w:tcPr/>
          <w:p>
            <w:pPr>
              <w:pStyle w:val="Compact"/>
              <w:jc w:val="left"/>
            </w:pPr>
            <w:r>
              <w:t xml:space="preserve">2 (0.1)</w:t>
            </w:r>
          </w:p>
        </w:tc>
        <w:tc>
          <w:tcPr/>
          <w:p>
            <w:pPr>
              <w:pStyle w:val="Compact"/>
              <w:jc w:val="left"/>
            </w:pPr>
            <w:r>
              <w:t xml:space="preserve">1 (0.0)</w:t>
            </w:r>
          </w:p>
        </w:tc>
        <w:tc>
          <w:tcPr/>
          <w:p>
            <w:pPr>
              <w:pStyle w:val="Compact"/>
              <w:jc w:val="left"/>
            </w:pPr>
            <w:r>
              <w:t xml:space="preserve">1 (0.2)</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83</w:t>
            </w:r>
          </w:p>
        </w:tc>
        <w:tc>
          <w:tcPr/>
          <w:p>
            <w:pPr>
              <w:pStyle w:val="Compact"/>
              <w:jc w:val="left"/>
            </w:pPr>
            <w:r>
              <w:t xml:space="preserve">nan</w:t>
            </w:r>
          </w:p>
        </w:tc>
        <w:tc>
          <w:tcPr/>
          <w:p>
            <w:pPr>
              <w:pStyle w:val="Compact"/>
              <w:jc w:val="left"/>
            </w:pPr>
            <w:r>
              <w:t xml:space="preserve">28 (0.9)</w:t>
            </w:r>
          </w:p>
        </w:tc>
        <w:tc>
          <w:tcPr/>
          <w:p>
            <w:pPr>
              <w:pStyle w:val="Compact"/>
              <w:jc w:val="left"/>
            </w:pPr>
            <w:r>
              <w:t xml:space="preserve">23 (0.8)</w:t>
            </w:r>
          </w:p>
        </w:tc>
        <w:tc>
          <w:tcPr/>
          <w:p>
            <w:pPr>
              <w:pStyle w:val="Compact"/>
              <w:jc w:val="left"/>
            </w:pPr>
            <w:r>
              <w:t xml:space="preserve">5 (1.1)</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85</w:t>
            </w:r>
          </w:p>
        </w:tc>
        <w:tc>
          <w:tcPr/>
          <w:p>
            <w:pPr>
              <w:pStyle w:val="Compact"/>
              <w:jc w:val="left"/>
            </w:pPr>
            <w:r>
              <w:t xml:space="preserve">nan</w:t>
            </w:r>
          </w:p>
        </w:tc>
        <w:tc>
          <w:tcPr/>
          <w:p>
            <w:pPr>
              <w:pStyle w:val="Compact"/>
              <w:jc w:val="left"/>
            </w:pPr>
            <w:r>
              <w:t xml:space="preserve">14 (0.4)</w:t>
            </w:r>
          </w:p>
        </w:tc>
        <w:tc>
          <w:tcPr/>
          <w:p>
            <w:pPr>
              <w:pStyle w:val="Compact"/>
              <w:jc w:val="left"/>
            </w:pPr>
            <w:r>
              <w:t xml:space="preserve">10 (0.4)</w:t>
            </w:r>
          </w:p>
        </w:tc>
        <w:tc>
          <w:tcPr/>
          <w:p>
            <w:pPr>
              <w:pStyle w:val="Compact"/>
              <w:jc w:val="left"/>
            </w:pPr>
            <w:r>
              <w:t xml:space="preserve">4 (0.8)</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86</w:t>
            </w:r>
          </w:p>
        </w:tc>
        <w:tc>
          <w:tcPr/>
          <w:p>
            <w:pPr>
              <w:pStyle w:val="Compact"/>
              <w:jc w:val="left"/>
            </w:pPr>
            <w:r>
              <w:t xml:space="preserve">nan</w:t>
            </w:r>
          </w:p>
        </w:tc>
        <w:tc>
          <w:tcPr/>
          <w:p>
            <w:pPr>
              <w:pStyle w:val="Compact"/>
              <w:jc w:val="left"/>
            </w:pPr>
            <w:r>
              <w:t xml:space="preserve">1 (0.0)</w:t>
            </w:r>
          </w:p>
        </w:tc>
        <w:tc>
          <w:tcPr/>
          <w:p>
            <w:pPr>
              <w:pStyle w:val="Compact"/>
              <w:jc w:val="left"/>
            </w:pPr>
            <w:r>
              <w:t xml:space="preserve">1 (0.0)</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87</w:t>
            </w:r>
          </w:p>
        </w:tc>
        <w:tc>
          <w:tcPr/>
          <w:p>
            <w:pPr>
              <w:pStyle w:val="Compact"/>
              <w:jc w:val="left"/>
            </w:pPr>
            <w:r>
              <w:t xml:space="preserve">nan</w:t>
            </w:r>
          </w:p>
        </w:tc>
        <w:tc>
          <w:tcPr/>
          <w:p>
            <w:pPr>
              <w:pStyle w:val="Compact"/>
              <w:jc w:val="left"/>
            </w:pPr>
            <w:r>
              <w:t xml:space="preserve">2 (0.1)</w:t>
            </w:r>
          </w:p>
        </w:tc>
        <w:tc>
          <w:tcPr/>
          <w:p>
            <w:pPr>
              <w:pStyle w:val="Compact"/>
              <w:jc w:val="left"/>
            </w:pPr>
            <w:r>
              <w:t xml:space="preserve">2 (0.1)</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88</w:t>
            </w:r>
          </w:p>
        </w:tc>
        <w:tc>
          <w:tcPr/>
          <w:p>
            <w:pPr>
              <w:pStyle w:val="Compact"/>
              <w:jc w:val="left"/>
            </w:pPr>
            <w:r>
              <w:t xml:space="preserve">nan</w:t>
            </w:r>
          </w:p>
        </w:tc>
        <w:tc>
          <w:tcPr/>
          <w:p>
            <w:pPr>
              <w:pStyle w:val="Compact"/>
              <w:jc w:val="left"/>
            </w:pPr>
            <w:r>
              <w:t xml:space="preserve">23 (0.7)</w:t>
            </w:r>
          </w:p>
        </w:tc>
        <w:tc>
          <w:tcPr/>
          <w:p>
            <w:pPr>
              <w:pStyle w:val="Compact"/>
              <w:jc w:val="left"/>
            </w:pPr>
            <w:r>
              <w:t xml:space="preserve">21 (0.8)</w:t>
            </w:r>
          </w:p>
        </w:tc>
        <w:tc>
          <w:tcPr/>
          <w:p>
            <w:pPr>
              <w:pStyle w:val="Compact"/>
              <w:jc w:val="left"/>
            </w:pPr>
            <w:r>
              <w:t xml:space="preserve">2 (0.4)</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89</w:t>
            </w:r>
          </w:p>
        </w:tc>
        <w:tc>
          <w:tcPr/>
          <w:p>
            <w:pPr>
              <w:pStyle w:val="Compact"/>
              <w:jc w:val="left"/>
            </w:pPr>
            <w:r>
              <w:t xml:space="preserve">nan</w:t>
            </w:r>
          </w:p>
        </w:tc>
        <w:tc>
          <w:tcPr/>
          <w:p>
            <w:pPr>
              <w:pStyle w:val="Compact"/>
              <w:jc w:val="left"/>
            </w:pPr>
            <w:r>
              <w:t xml:space="preserve">2 (0.1)</w:t>
            </w:r>
          </w:p>
        </w:tc>
        <w:tc>
          <w:tcPr/>
          <w:p>
            <w:pPr>
              <w:pStyle w:val="Compact"/>
              <w:jc w:val="left"/>
            </w:pPr>
            <w:r>
              <w:t xml:space="preserve">2 (0.1)</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9</w:t>
            </w:r>
          </w:p>
        </w:tc>
        <w:tc>
          <w:tcPr/>
          <w:p>
            <w:pPr>
              <w:pStyle w:val="Compact"/>
              <w:jc w:val="left"/>
            </w:pPr>
            <w:r>
              <w:t xml:space="preserve">nan</w:t>
            </w:r>
          </w:p>
        </w:tc>
        <w:tc>
          <w:tcPr/>
          <w:p>
            <w:pPr>
              <w:pStyle w:val="Compact"/>
              <w:jc w:val="left"/>
            </w:pPr>
            <w:r>
              <w:t xml:space="preserve">5 (0.2)</w:t>
            </w:r>
          </w:p>
        </w:tc>
        <w:tc>
          <w:tcPr/>
          <w:p>
            <w:pPr>
              <w:pStyle w:val="Compact"/>
              <w:jc w:val="left"/>
            </w:pPr>
            <w:r>
              <w:t xml:space="preserve">5 (0.2)</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90</w:t>
            </w:r>
          </w:p>
        </w:tc>
        <w:tc>
          <w:tcPr/>
          <w:p>
            <w:pPr>
              <w:pStyle w:val="Compact"/>
              <w:jc w:val="left"/>
            </w:pPr>
            <w:r>
              <w:t xml:space="preserve">nan</w:t>
            </w:r>
          </w:p>
        </w:tc>
        <w:tc>
          <w:tcPr/>
          <w:p>
            <w:pPr>
              <w:pStyle w:val="Compact"/>
              <w:jc w:val="left"/>
            </w:pPr>
            <w:r>
              <w:t xml:space="preserve">6 (0.2)</w:t>
            </w:r>
          </w:p>
        </w:tc>
        <w:tc>
          <w:tcPr/>
          <w:p>
            <w:pPr>
              <w:pStyle w:val="Compact"/>
              <w:jc w:val="left"/>
            </w:pPr>
            <w:r>
              <w:t xml:space="preserve">6 (0.2)</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91</w:t>
            </w:r>
          </w:p>
        </w:tc>
        <w:tc>
          <w:tcPr/>
          <w:p>
            <w:pPr>
              <w:pStyle w:val="Compact"/>
              <w:jc w:val="left"/>
            </w:pPr>
            <w:r>
              <w:t xml:space="preserve">nan</w:t>
            </w:r>
          </w:p>
        </w:tc>
        <w:tc>
          <w:tcPr/>
          <w:p>
            <w:pPr>
              <w:pStyle w:val="Compact"/>
              <w:jc w:val="left"/>
            </w:pPr>
            <w:r>
              <w:t xml:space="preserve">45 (1.4)</w:t>
            </w:r>
          </w:p>
        </w:tc>
        <w:tc>
          <w:tcPr/>
          <w:p>
            <w:pPr>
              <w:pStyle w:val="Compact"/>
              <w:jc w:val="left"/>
            </w:pPr>
            <w:r>
              <w:t xml:space="preserve">44 (1.6)</w:t>
            </w:r>
          </w:p>
        </w:tc>
        <w:tc>
          <w:tcPr/>
          <w:p>
            <w:pPr>
              <w:pStyle w:val="Compact"/>
              <w:jc w:val="left"/>
            </w:pPr>
            <w:r>
              <w:t xml:space="preserve">1 (0.2)</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92</w:t>
            </w:r>
          </w:p>
        </w:tc>
        <w:tc>
          <w:tcPr/>
          <w:p>
            <w:pPr>
              <w:pStyle w:val="Compact"/>
              <w:jc w:val="left"/>
            </w:pPr>
            <w:r>
              <w:t xml:space="preserve">nan</w:t>
            </w:r>
          </w:p>
        </w:tc>
        <w:tc>
          <w:tcPr/>
          <w:p>
            <w:pPr>
              <w:pStyle w:val="Compact"/>
              <w:jc w:val="left"/>
            </w:pPr>
            <w:r>
              <w:t xml:space="preserve">5 (0.2)</w:t>
            </w:r>
          </w:p>
        </w:tc>
        <w:tc>
          <w:tcPr/>
          <w:p>
            <w:pPr>
              <w:pStyle w:val="Compact"/>
              <w:jc w:val="left"/>
            </w:pPr>
            <w:r>
              <w:t xml:space="preserve">5 (0.2)</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97</w:t>
            </w:r>
          </w:p>
        </w:tc>
        <w:tc>
          <w:tcPr/>
          <w:p>
            <w:pPr>
              <w:pStyle w:val="Compact"/>
              <w:jc w:val="left"/>
            </w:pPr>
            <w:r>
              <w:t xml:space="preserve">nan</w:t>
            </w:r>
          </w:p>
        </w:tc>
        <w:tc>
          <w:tcPr/>
          <w:p>
            <w:pPr>
              <w:pStyle w:val="Compact"/>
              <w:jc w:val="left"/>
            </w:pPr>
            <w:r>
              <w:t xml:space="preserve">13 (0.4)</w:t>
            </w:r>
          </w:p>
        </w:tc>
        <w:tc>
          <w:tcPr/>
          <w:p>
            <w:pPr>
              <w:pStyle w:val="Compact"/>
              <w:jc w:val="left"/>
            </w:pPr>
            <w:r>
              <w:t xml:space="preserve">12 (0.4)</w:t>
            </w:r>
          </w:p>
        </w:tc>
        <w:tc>
          <w:tcPr/>
          <w:p>
            <w:pPr>
              <w:pStyle w:val="Compact"/>
              <w:jc w:val="left"/>
            </w:pPr>
            <w:r>
              <w:t xml:space="preserve">1 (0.2)</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99</w:t>
            </w:r>
          </w:p>
        </w:tc>
        <w:tc>
          <w:tcPr/>
          <w:p>
            <w:pPr>
              <w:pStyle w:val="Compact"/>
              <w:jc w:val="left"/>
            </w:pPr>
            <w:r>
              <w:t xml:space="preserve">nan</w:t>
            </w:r>
          </w:p>
        </w:tc>
        <w:tc>
          <w:tcPr/>
          <w:p>
            <w:pPr>
              <w:pStyle w:val="Compact"/>
              <w:jc w:val="left"/>
            </w:pPr>
            <w:r>
              <w:t xml:space="preserve">10 (0.3)</w:t>
            </w:r>
          </w:p>
        </w:tc>
        <w:tc>
          <w:tcPr/>
          <w:p>
            <w:pPr>
              <w:pStyle w:val="Compact"/>
              <w:jc w:val="left"/>
            </w:pPr>
            <w:r>
              <w:t xml:space="preserve">10 (0.4)</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v131, n (%)</w:t>
            </w:r>
          </w:p>
        </w:tc>
        <w:tc>
          <w:tcPr/>
          <w:p>
            <w:pPr>
              <w:pStyle w:val="Compact"/>
              <w:jc w:val="left"/>
            </w:pPr>
            <w:r>
              <w:t xml:space="preserve">996</w:t>
            </w:r>
          </w:p>
        </w:tc>
        <w:tc>
          <w:tcPr/>
          <w:p>
            <w:pPr>
              <w:pStyle w:val="Compact"/>
              <w:jc w:val="left"/>
            </w:pPr>
            <w:r>
              <w:t xml:space="preserve">nan</w:t>
            </w:r>
          </w:p>
        </w:tc>
        <w:tc>
          <w:tcPr/>
          <w:p>
            <w:pPr>
              <w:pStyle w:val="Compact"/>
              <w:jc w:val="left"/>
            </w:pPr>
            <w:r>
              <w:t xml:space="preserve">41 (1.3)</w:t>
            </w:r>
          </w:p>
        </w:tc>
        <w:tc>
          <w:tcPr/>
          <w:p>
            <w:pPr>
              <w:pStyle w:val="Compact"/>
              <w:jc w:val="left"/>
            </w:pPr>
            <w:r>
              <w:t xml:space="preserve">33 (1.2)</w:t>
            </w:r>
          </w:p>
        </w:tc>
        <w:tc>
          <w:tcPr/>
          <w:p>
            <w:pPr>
              <w:pStyle w:val="Compact"/>
              <w:jc w:val="left"/>
            </w:pPr>
            <w:r>
              <w:t xml:space="preserve">8 (1.7)</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v743a, n (%)</w:t>
            </w:r>
          </w:p>
        </w:tc>
        <w:tc>
          <w:tcPr/>
          <w:p>
            <w:pPr>
              <w:pStyle w:val="Compact"/>
              <w:jc w:val="left"/>
            </w:pPr>
            <w:r>
              <w:t xml:space="preserve">1.0</w:t>
            </w:r>
          </w:p>
        </w:tc>
        <w:tc>
          <w:tcPr/>
          <w:p>
            <w:pPr>
              <w:pStyle w:val="Compact"/>
              <w:jc w:val="left"/>
            </w:pPr>
            <w:r>
              <w:t xml:space="preserve">nan</w:t>
            </w:r>
          </w:p>
        </w:tc>
        <w:tc>
          <w:tcPr/>
          <w:p>
            <w:pPr>
              <w:pStyle w:val="Compact"/>
              <w:jc w:val="left"/>
            </w:pPr>
            <w:r>
              <w:t xml:space="preserve">452 (14.2)</w:t>
            </w:r>
          </w:p>
        </w:tc>
        <w:tc>
          <w:tcPr/>
          <w:p>
            <w:pPr>
              <w:pStyle w:val="Compact"/>
              <w:jc w:val="left"/>
            </w:pPr>
            <w:r>
              <w:t xml:space="preserve">401 (14.7)</w:t>
            </w:r>
          </w:p>
        </w:tc>
        <w:tc>
          <w:tcPr/>
          <w:p>
            <w:pPr>
              <w:pStyle w:val="Compact"/>
              <w:jc w:val="left"/>
            </w:pPr>
            <w:r>
              <w:t xml:space="preserve">51 (10.8)</w:t>
            </w:r>
          </w:p>
        </w:tc>
        <w:tc>
          <w:tcPr/>
          <w:p>
            <w:pPr>
              <w:pStyle w:val="Compact"/>
              <w:jc w:val="left"/>
            </w:pPr>
            <w:r>
              <w:t xml:space="preserve">0.001</w:t>
            </w:r>
          </w:p>
        </w:tc>
        <w:tc>
          <w:tcPr/>
          <w:p>
            <w:pPr>
              <w:pStyle w:val="Compact"/>
              <w:jc w:val="left"/>
            </w:pPr>
            <w:r>
              <w:t xml:space="preserve">Chi-squared (warning: expected count &lt; 5)</w:t>
            </w:r>
          </w:p>
        </w:tc>
      </w:tr>
      <w:tr>
        <w:tc>
          <w:tcPr/>
          <w:p>
            <w:pPr>
              <w:pStyle w:val="Compact"/>
              <w:jc w:val="left"/>
            </w:pPr>
            <w:r>
              <w:t xml:space="preserve">v743a, n (%)</w:t>
            </w:r>
          </w:p>
        </w:tc>
        <w:tc>
          <w:tcPr/>
          <w:p>
            <w:pPr>
              <w:pStyle w:val="Compact"/>
              <w:jc w:val="left"/>
            </w:pPr>
            <w:r>
              <w:t xml:space="preserve">2.0</w:t>
            </w:r>
          </w:p>
        </w:tc>
        <w:tc>
          <w:tcPr/>
          <w:p>
            <w:pPr>
              <w:pStyle w:val="Compact"/>
              <w:jc w:val="left"/>
            </w:pPr>
            <w:r>
              <w:t xml:space="preserve">nan</w:t>
            </w:r>
          </w:p>
        </w:tc>
        <w:tc>
          <w:tcPr/>
          <w:p>
            <w:pPr>
              <w:pStyle w:val="Compact"/>
              <w:jc w:val="left"/>
            </w:pPr>
            <w:r>
              <w:t xml:space="preserve">1252 (39.2)</w:t>
            </w:r>
          </w:p>
        </w:tc>
        <w:tc>
          <w:tcPr/>
          <w:p>
            <w:pPr>
              <w:pStyle w:val="Compact"/>
              <w:jc w:val="left"/>
            </w:pPr>
            <w:r>
              <w:t xml:space="preserve">1077 (39.6)</w:t>
            </w:r>
          </w:p>
        </w:tc>
        <w:tc>
          <w:tcPr/>
          <w:p>
            <w:pPr>
              <w:pStyle w:val="Compact"/>
              <w:jc w:val="left"/>
            </w:pPr>
            <w:r>
              <w:t xml:space="preserve">175 (37.1)</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v743a, n (%)</w:t>
            </w:r>
          </w:p>
        </w:tc>
        <w:tc>
          <w:tcPr/>
          <w:p>
            <w:pPr>
              <w:pStyle w:val="Compact"/>
              <w:jc w:val="left"/>
            </w:pPr>
            <w:r>
              <w:t xml:space="preserve">4.0</w:t>
            </w:r>
          </w:p>
        </w:tc>
        <w:tc>
          <w:tcPr/>
          <w:p>
            <w:pPr>
              <w:pStyle w:val="Compact"/>
              <w:jc w:val="left"/>
            </w:pPr>
            <w:r>
              <w:t xml:space="preserve">nan</w:t>
            </w:r>
          </w:p>
        </w:tc>
        <w:tc>
          <w:tcPr/>
          <w:p>
            <w:pPr>
              <w:pStyle w:val="Compact"/>
              <w:jc w:val="left"/>
            </w:pPr>
            <w:r>
              <w:t xml:space="preserve">1322 (41.4)</w:t>
            </w:r>
          </w:p>
        </w:tc>
        <w:tc>
          <w:tcPr/>
          <w:p>
            <w:pPr>
              <w:pStyle w:val="Compact"/>
              <w:jc w:val="left"/>
            </w:pPr>
            <w:r>
              <w:t xml:space="preserve">1118 (41.1)</w:t>
            </w:r>
          </w:p>
        </w:tc>
        <w:tc>
          <w:tcPr/>
          <w:p>
            <w:pPr>
              <w:pStyle w:val="Compact"/>
              <w:jc w:val="left"/>
            </w:pPr>
            <w:r>
              <w:t xml:space="preserve">204 (43.2)</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v743a, n (%)</w:t>
            </w:r>
          </w:p>
        </w:tc>
        <w:tc>
          <w:tcPr/>
          <w:p>
            <w:pPr>
              <w:pStyle w:val="Compact"/>
              <w:jc w:val="left"/>
            </w:pPr>
            <w:r>
              <w:t xml:space="preserve">5.0</w:t>
            </w:r>
          </w:p>
        </w:tc>
        <w:tc>
          <w:tcPr/>
          <w:p>
            <w:pPr>
              <w:pStyle w:val="Compact"/>
              <w:jc w:val="left"/>
            </w:pPr>
            <w:r>
              <w:t xml:space="preserve">nan</w:t>
            </w:r>
          </w:p>
        </w:tc>
        <w:tc>
          <w:tcPr/>
          <w:p>
            <w:pPr>
              <w:pStyle w:val="Compact"/>
              <w:jc w:val="left"/>
            </w:pPr>
            <w:r>
              <w:t xml:space="preserve">5 (0.2)</w:t>
            </w:r>
          </w:p>
        </w:tc>
        <w:tc>
          <w:tcPr/>
          <w:p>
            <w:pPr>
              <w:pStyle w:val="Compact"/>
              <w:jc w:val="left"/>
            </w:pPr>
            <w:r>
              <w:t xml:space="preserve">4 (0.1)</w:t>
            </w:r>
          </w:p>
        </w:tc>
        <w:tc>
          <w:tcPr/>
          <w:p>
            <w:pPr>
              <w:pStyle w:val="Compact"/>
              <w:jc w:val="left"/>
            </w:pPr>
            <w:r>
              <w:t xml:space="preserve">1 (0.2)</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v743a, n (%)</w:t>
            </w:r>
          </w:p>
        </w:tc>
        <w:tc>
          <w:tcPr/>
          <w:p>
            <w:pPr>
              <w:pStyle w:val="Compact"/>
              <w:jc w:val="left"/>
            </w:pPr>
            <w:r>
              <w:t xml:space="preserve">6.0</w:t>
            </w:r>
          </w:p>
        </w:tc>
        <w:tc>
          <w:tcPr/>
          <w:p>
            <w:pPr>
              <w:pStyle w:val="Compact"/>
              <w:jc w:val="left"/>
            </w:pPr>
            <w:r>
              <w:t xml:space="preserve">nan</w:t>
            </w:r>
          </w:p>
        </w:tc>
        <w:tc>
          <w:tcPr/>
          <w:p>
            <w:pPr>
              <w:pStyle w:val="Compact"/>
              <w:jc w:val="left"/>
            </w:pPr>
            <w:r>
              <w:t xml:space="preserve">1 (0.0)</w:t>
            </w:r>
          </w:p>
        </w:tc>
        <w:tc>
          <w:tcPr/>
          <w:p>
            <w:pPr>
              <w:pStyle w:val="Compact"/>
              <w:jc w:val="left"/>
            </w:pPr>
            <w:r>
              <w:t xml:space="preserve">1 (0.0)</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v743a, n (%)</w:t>
            </w:r>
          </w:p>
        </w:tc>
        <w:tc>
          <w:tcPr/>
          <w:p>
            <w:pPr>
              <w:pStyle w:val="Compact"/>
              <w:jc w:val="left"/>
            </w:pPr>
            <w:r>
              <w:t xml:space="preserve">nan</w:t>
            </w:r>
          </w:p>
        </w:tc>
        <w:tc>
          <w:tcPr/>
          <w:p>
            <w:pPr>
              <w:pStyle w:val="Compact"/>
              <w:jc w:val="left"/>
            </w:pPr>
            <w:r>
              <w:t xml:space="preserve">nan</w:t>
            </w:r>
          </w:p>
        </w:tc>
        <w:tc>
          <w:tcPr/>
          <w:p>
            <w:pPr>
              <w:pStyle w:val="Compact"/>
              <w:jc w:val="left"/>
            </w:pPr>
            <w:r>
              <w:t xml:space="preserve">162 (5.1)</w:t>
            </w:r>
          </w:p>
        </w:tc>
        <w:tc>
          <w:tcPr/>
          <w:p>
            <w:pPr>
              <w:pStyle w:val="Compact"/>
              <w:jc w:val="left"/>
            </w:pPr>
            <w:r>
              <w:t xml:space="preserve">121 (4.4)</w:t>
            </w:r>
          </w:p>
        </w:tc>
        <w:tc>
          <w:tcPr/>
          <w:p>
            <w:pPr>
              <w:pStyle w:val="Compact"/>
              <w:jc w:val="left"/>
            </w:pPr>
            <w:r>
              <w:t xml:space="preserve">41 (8.7)</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v467b, n (%)</w:t>
            </w:r>
          </w:p>
        </w:tc>
        <w:tc>
          <w:tcPr/>
          <w:p>
            <w:pPr>
              <w:pStyle w:val="Compact"/>
              <w:jc w:val="left"/>
            </w:pPr>
            <w:r>
              <w:t xml:space="preserve">1</w:t>
            </w:r>
          </w:p>
        </w:tc>
        <w:tc>
          <w:tcPr/>
          <w:p>
            <w:pPr>
              <w:pStyle w:val="Compact"/>
              <w:jc w:val="left"/>
            </w:pPr>
            <w:r>
              <w:t xml:space="preserve">nan</w:t>
            </w:r>
          </w:p>
        </w:tc>
        <w:tc>
          <w:tcPr/>
          <w:p>
            <w:pPr>
              <w:pStyle w:val="Compact"/>
              <w:jc w:val="left"/>
            </w:pPr>
            <w:r>
              <w:t xml:space="preserve">322 (10.1)</w:t>
            </w:r>
          </w:p>
        </w:tc>
        <w:tc>
          <w:tcPr/>
          <w:p>
            <w:pPr>
              <w:pStyle w:val="Compact"/>
              <w:jc w:val="left"/>
            </w:pPr>
            <w:r>
              <w:t xml:space="preserve">248 (9.1)</w:t>
            </w:r>
          </w:p>
        </w:tc>
        <w:tc>
          <w:tcPr/>
          <w:p>
            <w:pPr>
              <w:pStyle w:val="Compact"/>
              <w:jc w:val="left"/>
            </w:pPr>
            <w:r>
              <w:t xml:space="preserve">74 (15.7)</w:t>
            </w:r>
          </w:p>
        </w:tc>
        <w:tc>
          <w:tcPr/>
          <w:p>
            <w:pPr>
              <w:pStyle w:val="Compact"/>
              <w:jc w:val="left"/>
            </w:pPr>
            <w:r>
              <w:t xml:space="preserve">&lt;0.001</w:t>
            </w:r>
          </w:p>
        </w:tc>
        <w:tc>
          <w:tcPr/>
          <w:p>
            <w:pPr>
              <w:pStyle w:val="Compact"/>
              <w:jc w:val="left"/>
            </w:pPr>
            <w:r>
              <w:t xml:space="preserve">Chi-squared</w:t>
            </w:r>
          </w:p>
        </w:tc>
      </w:tr>
      <w:tr>
        <w:tc>
          <w:tcPr/>
          <w:p>
            <w:pPr>
              <w:pStyle w:val="Compact"/>
              <w:jc w:val="left"/>
            </w:pPr>
            <w:r>
              <w:t xml:space="preserve">v467b, n (%)</w:t>
            </w:r>
          </w:p>
        </w:tc>
        <w:tc>
          <w:tcPr/>
          <w:p>
            <w:pPr>
              <w:pStyle w:val="Compact"/>
              <w:jc w:val="left"/>
            </w:pPr>
            <w:r>
              <w:t xml:space="preserve">2</w:t>
            </w:r>
          </w:p>
        </w:tc>
        <w:tc>
          <w:tcPr/>
          <w:p>
            <w:pPr>
              <w:pStyle w:val="Compact"/>
              <w:jc w:val="left"/>
            </w:pPr>
            <w:r>
              <w:t xml:space="preserve">nan</w:t>
            </w:r>
          </w:p>
        </w:tc>
        <w:tc>
          <w:tcPr/>
          <w:p>
            <w:pPr>
              <w:pStyle w:val="Compact"/>
              <w:jc w:val="left"/>
            </w:pPr>
            <w:r>
              <w:t xml:space="preserve">2872 (89.9)</w:t>
            </w:r>
          </w:p>
        </w:tc>
        <w:tc>
          <w:tcPr/>
          <w:p>
            <w:pPr>
              <w:pStyle w:val="Compact"/>
              <w:jc w:val="left"/>
            </w:pPr>
            <w:r>
              <w:t xml:space="preserve">2474 (90.9)</w:t>
            </w:r>
          </w:p>
        </w:tc>
        <w:tc>
          <w:tcPr/>
          <w:p>
            <w:pPr>
              <w:pStyle w:val="Compact"/>
              <w:jc w:val="left"/>
            </w:pPr>
            <w:r>
              <w:t xml:space="preserve">398 (84.3)</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v159, mean (SD)</w:t>
            </w:r>
          </w:p>
        </w:tc>
        <w:tc>
          <w:tcPr/>
          <w:p>
            <w:pPr>
              <w:pStyle w:val="Compact"/>
              <w:jc w:val="left"/>
            </w:pPr>
            <w:r>
              <w:t xml:space="preserve">nan</w:t>
            </w:r>
          </w:p>
        </w:tc>
        <w:tc>
          <w:tcPr/>
          <w:p>
            <w:pPr>
              <w:pStyle w:val="Compact"/>
              <w:jc w:val="left"/>
            </w:pPr>
            <w:r>
              <w:t xml:space="preserve">0</w:t>
            </w:r>
          </w:p>
        </w:tc>
        <w:tc>
          <w:tcPr/>
          <w:p>
            <w:pPr>
              <w:pStyle w:val="Compact"/>
              <w:jc w:val="left"/>
            </w:pPr>
            <w:r>
              <w:t xml:space="preserve">0.9 (0.9)</w:t>
            </w:r>
          </w:p>
        </w:tc>
        <w:tc>
          <w:tcPr/>
          <w:p>
            <w:pPr>
              <w:pStyle w:val="Compact"/>
              <w:jc w:val="left"/>
            </w:pPr>
            <w:r>
              <w:t xml:space="preserve">0.9 (0.9)</w:t>
            </w:r>
          </w:p>
        </w:tc>
        <w:tc>
          <w:tcPr/>
          <w:p>
            <w:pPr>
              <w:pStyle w:val="Compact"/>
              <w:jc w:val="left"/>
            </w:pPr>
            <w:r>
              <w:t xml:space="preserve">0.6 (0.9)</w:t>
            </w:r>
          </w:p>
        </w:tc>
        <w:tc>
          <w:tcPr/>
          <w:p>
            <w:pPr>
              <w:pStyle w:val="Compact"/>
              <w:jc w:val="left"/>
            </w:pPr>
            <w:r>
              <w:t xml:space="preserve">&lt;0.001</w:t>
            </w:r>
          </w:p>
        </w:tc>
        <w:tc>
          <w:tcPr/>
          <w:p>
            <w:pPr>
              <w:pStyle w:val="Compact"/>
              <w:jc w:val="left"/>
            </w:pPr>
            <w:r>
              <w:t xml:space="preserve">Welch’s T-test</w:t>
            </w:r>
          </w:p>
        </w:tc>
      </w:tr>
      <w:tr>
        <w:tc>
          <w:tcPr/>
          <w:p>
            <w:pPr>
              <w:pStyle w:val="Compact"/>
              <w:jc w:val="left"/>
            </w:pPr>
            <w:r>
              <w:t xml:space="preserve">v158, mean (SD)</w:t>
            </w:r>
          </w:p>
        </w:tc>
        <w:tc>
          <w:tcPr/>
          <w:p>
            <w:pPr>
              <w:pStyle w:val="Compact"/>
              <w:jc w:val="left"/>
            </w:pPr>
            <w:r>
              <w:t xml:space="preserve">nan</w:t>
            </w:r>
          </w:p>
        </w:tc>
        <w:tc>
          <w:tcPr/>
          <w:p>
            <w:pPr>
              <w:pStyle w:val="Compact"/>
              <w:jc w:val="left"/>
            </w:pPr>
            <w:r>
              <w:t xml:space="preserve">0</w:t>
            </w:r>
          </w:p>
        </w:tc>
        <w:tc>
          <w:tcPr/>
          <w:p>
            <w:pPr>
              <w:pStyle w:val="Compact"/>
              <w:jc w:val="left"/>
            </w:pPr>
            <w:r>
              <w:t xml:space="preserve">0.8 (0.9)</w:t>
            </w:r>
          </w:p>
        </w:tc>
        <w:tc>
          <w:tcPr/>
          <w:p>
            <w:pPr>
              <w:pStyle w:val="Compact"/>
              <w:jc w:val="left"/>
            </w:pPr>
            <w:r>
              <w:t xml:space="preserve">0.8 (0.9)</w:t>
            </w:r>
          </w:p>
        </w:tc>
        <w:tc>
          <w:tcPr/>
          <w:p>
            <w:pPr>
              <w:pStyle w:val="Compact"/>
              <w:jc w:val="left"/>
            </w:pPr>
            <w:r>
              <w:t xml:space="preserve">0.7 (0.8)</w:t>
            </w:r>
          </w:p>
        </w:tc>
        <w:tc>
          <w:tcPr/>
          <w:p>
            <w:pPr>
              <w:pStyle w:val="Compact"/>
              <w:jc w:val="left"/>
            </w:pPr>
            <w:r>
              <w:t xml:space="preserve">0.005</w:t>
            </w:r>
          </w:p>
        </w:tc>
        <w:tc>
          <w:tcPr/>
          <w:p>
            <w:pPr>
              <w:pStyle w:val="Compact"/>
              <w:jc w:val="left"/>
            </w:pPr>
            <w:r>
              <w:t xml:space="preserve">Welch’s T-test</w:t>
            </w:r>
          </w:p>
        </w:tc>
      </w:tr>
      <w:tr>
        <w:tc>
          <w:tcPr/>
          <w:p>
            <w:pPr>
              <w:pStyle w:val="Compact"/>
              <w:jc w:val="left"/>
            </w:pPr>
            <w:r>
              <w:t xml:space="preserve">v157, mean (SD)</w:t>
            </w:r>
          </w:p>
        </w:tc>
        <w:tc>
          <w:tcPr/>
          <w:p>
            <w:pPr>
              <w:pStyle w:val="Compact"/>
              <w:jc w:val="left"/>
            </w:pPr>
            <w:r>
              <w:t xml:space="preserve">nan</w:t>
            </w:r>
          </w:p>
        </w:tc>
        <w:tc>
          <w:tcPr/>
          <w:p>
            <w:pPr>
              <w:pStyle w:val="Compact"/>
              <w:jc w:val="left"/>
            </w:pPr>
            <w:r>
              <w:t xml:space="preserve">0</w:t>
            </w:r>
          </w:p>
        </w:tc>
        <w:tc>
          <w:tcPr/>
          <w:p>
            <w:pPr>
              <w:pStyle w:val="Compact"/>
              <w:jc w:val="left"/>
            </w:pPr>
            <w:r>
              <w:t xml:space="preserve">0.2 (0.5)</w:t>
            </w:r>
          </w:p>
        </w:tc>
        <w:tc>
          <w:tcPr/>
          <w:p>
            <w:pPr>
              <w:pStyle w:val="Compact"/>
              <w:jc w:val="left"/>
            </w:pPr>
            <w:r>
              <w:t xml:space="preserve">0.2 (0.5)</w:t>
            </w:r>
          </w:p>
        </w:tc>
        <w:tc>
          <w:tcPr/>
          <w:p>
            <w:pPr>
              <w:pStyle w:val="Compact"/>
              <w:jc w:val="left"/>
            </w:pPr>
            <w:r>
              <w:t xml:space="preserve">0.1 (0.3)</w:t>
            </w:r>
          </w:p>
        </w:tc>
        <w:tc>
          <w:tcPr/>
          <w:p>
            <w:pPr>
              <w:pStyle w:val="Compact"/>
              <w:jc w:val="left"/>
            </w:pPr>
            <w:r>
              <w:t xml:space="preserve">&lt;0.001</w:t>
            </w:r>
          </w:p>
        </w:tc>
        <w:tc>
          <w:tcPr/>
          <w:p>
            <w:pPr>
              <w:pStyle w:val="Compact"/>
              <w:jc w:val="left"/>
            </w:pPr>
            <w:r>
              <w:t xml:space="preserve">Welch’s T-test</w:t>
            </w:r>
          </w:p>
        </w:tc>
      </w:tr>
      <w:tr>
        <w:tc>
          <w:tcPr/>
          <w:p>
            <w:pPr>
              <w:pStyle w:val="Compact"/>
              <w:jc w:val="left"/>
            </w:pPr>
            <w:r>
              <w:t xml:space="preserve">media2, n (%)</w:t>
            </w:r>
          </w:p>
        </w:tc>
        <w:tc>
          <w:tcPr/>
          <w:p>
            <w:pPr>
              <w:pStyle w:val="Compact"/>
              <w:jc w:val="left"/>
            </w:pPr>
            <w:r>
              <w:t xml:space="preserve">0</w:t>
            </w:r>
          </w:p>
        </w:tc>
        <w:tc>
          <w:tcPr/>
          <w:p>
            <w:pPr>
              <w:pStyle w:val="Compact"/>
              <w:jc w:val="left"/>
            </w:pPr>
            <w:r>
              <w:t xml:space="preserve">nan</w:t>
            </w:r>
          </w:p>
        </w:tc>
        <w:tc>
          <w:tcPr/>
          <w:p>
            <w:pPr>
              <w:pStyle w:val="Compact"/>
              <w:jc w:val="left"/>
            </w:pPr>
            <w:r>
              <w:t xml:space="preserve">1143 (35.8)</w:t>
            </w:r>
          </w:p>
        </w:tc>
        <w:tc>
          <w:tcPr/>
          <w:p>
            <w:pPr>
              <w:pStyle w:val="Compact"/>
              <w:jc w:val="left"/>
            </w:pPr>
            <w:r>
              <w:t xml:space="preserve">939 (34.5)</w:t>
            </w:r>
          </w:p>
        </w:tc>
        <w:tc>
          <w:tcPr/>
          <w:p>
            <w:pPr>
              <w:pStyle w:val="Compact"/>
              <w:jc w:val="left"/>
            </w:pPr>
            <w:r>
              <w:t xml:space="preserve">204 (43.2)</w:t>
            </w:r>
          </w:p>
        </w:tc>
        <w:tc>
          <w:tcPr/>
          <w:p>
            <w:pPr>
              <w:pStyle w:val="Compact"/>
              <w:jc w:val="left"/>
            </w:pPr>
            <w:r>
              <w:t xml:space="preserve">&lt;0.001</w:t>
            </w:r>
          </w:p>
        </w:tc>
        <w:tc>
          <w:tcPr/>
          <w:p>
            <w:pPr>
              <w:pStyle w:val="Compact"/>
              <w:jc w:val="left"/>
            </w:pPr>
            <w:r>
              <w:t xml:space="preserve">Chi-squared</w:t>
            </w:r>
          </w:p>
        </w:tc>
      </w:tr>
      <w:tr>
        <w:tc>
          <w:tcPr/>
          <w:p>
            <w:pPr>
              <w:pStyle w:val="Compact"/>
              <w:jc w:val="left"/>
            </w:pPr>
            <w:r>
              <w:t xml:space="preserve">media2, n (%)</w:t>
            </w:r>
          </w:p>
        </w:tc>
        <w:tc>
          <w:tcPr/>
          <w:p>
            <w:pPr>
              <w:pStyle w:val="Compact"/>
              <w:jc w:val="left"/>
            </w:pPr>
            <w:r>
              <w:t xml:space="preserve">1</w:t>
            </w:r>
          </w:p>
        </w:tc>
        <w:tc>
          <w:tcPr/>
          <w:p>
            <w:pPr>
              <w:pStyle w:val="Compact"/>
              <w:jc w:val="left"/>
            </w:pPr>
            <w:r>
              <w:t xml:space="preserve">nan</w:t>
            </w:r>
          </w:p>
        </w:tc>
        <w:tc>
          <w:tcPr/>
          <w:p>
            <w:pPr>
              <w:pStyle w:val="Compact"/>
              <w:jc w:val="left"/>
            </w:pPr>
            <w:r>
              <w:t xml:space="preserve">2051 (64.2)</w:t>
            </w:r>
          </w:p>
        </w:tc>
        <w:tc>
          <w:tcPr/>
          <w:p>
            <w:pPr>
              <w:pStyle w:val="Compact"/>
              <w:jc w:val="left"/>
            </w:pPr>
            <w:r>
              <w:t xml:space="preserve">1783 (65.5)</w:t>
            </w:r>
          </w:p>
        </w:tc>
        <w:tc>
          <w:tcPr/>
          <w:p>
            <w:pPr>
              <w:pStyle w:val="Compact"/>
              <w:jc w:val="left"/>
            </w:pPr>
            <w:r>
              <w:t xml:space="preserve">268 (56.8)</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s1112s, n (%)</w:t>
            </w:r>
          </w:p>
        </w:tc>
        <w:tc>
          <w:tcPr/>
          <w:p>
            <w:pPr>
              <w:pStyle w:val="Compact"/>
              <w:jc w:val="left"/>
            </w:pPr>
            <w:r>
              <w:t xml:space="preserve">0.0</w:t>
            </w:r>
          </w:p>
        </w:tc>
        <w:tc>
          <w:tcPr/>
          <w:p>
            <w:pPr>
              <w:pStyle w:val="Compact"/>
              <w:jc w:val="left"/>
            </w:pPr>
            <w:r>
              <w:t xml:space="preserve">nan</w:t>
            </w:r>
          </w:p>
        </w:tc>
        <w:tc>
          <w:tcPr/>
          <w:p>
            <w:pPr>
              <w:pStyle w:val="Compact"/>
              <w:jc w:val="left"/>
            </w:pPr>
            <w:r>
              <w:t xml:space="preserve">1450 (45.4)</w:t>
            </w:r>
          </w:p>
        </w:tc>
        <w:tc>
          <w:tcPr/>
          <w:p>
            <w:pPr>
              <w:pStyle w:val="Compact"/>
              <w:jc w:val="left"/>
            </w:pPr>
            <w:r>
              <w:t xml:space="preserve">1244 (45.7)</w:t>
            </w:r>
          </w:p>
        </w:tc>
        <w:tc>
          <w:tcPr/>
          <w:p>
            <w:pPr>
              <w:pStyle w:val="Compact"/>
              <w:jc w:val="left"/>
            </w:pPr>
            <w:r>
              <w:t xml:space="preserve">206 (43.6)</w:t>
            </w:r>
          </w:p>
        </w:tc>
        <w:tc>
          <w:tcPr/>
          <w:p>
            <w:pPr>
              <w:pStyle w:val="Compact"/>
              <w:jc w:val="left"/>
            </w:pPr>
            <w:r>
              <w:t xml:space="preserve">0.643</w:t>
            </w:r>
          </w:p>
        </w:tc>
        <w:tc>
          <w:tcPr/>
          <w:p>
            <w:pPr>
              <w:pStyle w:val="Compact"/>
              <w:jc w:val="left"/>
            </w:pPr>
            <w:r>
              <w:t xml:space="preserve">Chi-squared</w:t>
            </w:r>
          </w:p>
        </w:tc>
      </w:tr>
      <w:tr>
        <w:tc>
          <w:tcPr/>
          <w:p>
            <w:pPr>
              <w:pStyle w:val="Compact"/>
              <w:jc w:val="left"/>
            </w:pPr>
            <w:r>
              <w:t xml:space="preserve">s1112s, n (%)</w:t>
            </w:r>
          </w:p>
        </w:tc>
        <w:tc>
          <w:tcPr/>
          <w:p>
            <w:pPr>
              <w:pStyle w:val="Compact"/>
              <w:jc w:val="left"/>
            </w:pPr>
            <w:r>
              <w:t xml:space="preserve">1.0</w:t>
            </w:r>
          </w:p>
        </w:tc>
        <w:tc>
          <w:tcPr/>
          <w:p>
            <w:pPr>
              <w:pStyle w:val="Compact"/>
              <w:jc w:val="left"/>
            </w:pPr>
            <w:r>
              <w:t xml:space="preserve">nan</w:t>
            </w:r>
          </w:p>
        </w:tc>
        <w:tc>
          <w:tcPr/>
          <w:p>
            <w:pPr>
              <w:pStyle w:val="Compact"/>
              <w:jc w:val="left"/>
            </w:pPr>
            <w:r>
              <w:t xml:space="preserve">661 (20.7)</w:t>
            </w:r>
          </w:p>
        </w:tc>
        <w:tc>
          <w:tcPr/>
          <w:p>
            <w:pPr>
              <w:pStyle w:val="Compact"/>
              <w:jc w:val="left"/>
            </w:pPr>
            <w:r>
              <w:t xml:space="preserve">557 (20.5)</w:t>
            </w:r>
          </w:p>
        </w:tc>
        <w:tc>
          <w:tcPr/>
          <w:p>
            <w:pPr>
              <w:pStyle w:val="Compact"/>
              <w:jc w:val="left"/>
            </w:pPr>
            <w:r>
              <w:t xml:space="preserve">104 (22.0)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s1112s, n (%)</w:t>
            </w:r>
          </w:p>
        </w:tc>
        <w:tc>
          <w:tcPr/>
          <w:p>
            <w:pPr>
              <w:pStyle w:val="Compact"/>
              <w:jc w:val="left"/>
            </w:pPr>
            <w:r>
              <w:t xml:space="preserve">nan</w:t>
            </w:r>
          </w:p>
        </w:tc>
        <w:tc>
          <w:tcPr/>
          <w:p>
            <w:pPr>
              <w:pStyle w:val="Compact"/>
              <w:jc w:val="left"/>
            </w:pPr>
            <w:r>
              <w:t xml:space="preserve">nan</w:t>
            </w:r>
          </w:p>
        </w:tc>
        <w:tc>
          <w:tcPr/>
          <w:p>
            <w:pPr>
              <w:pStyle w:val="Compact"/>
              <w:jc w:val="left"/>
            </w:pPr>
            <w:r>
              <w:t xml:space="preserve">1083 (33.9)</w:t>
            </w:r>
          </w:p>
        </w:tc>
        <w:tc>
          <w:tcPr/>
          <w:p>
            <w:pPr>
              <w:pStyle w:val="Compact"/>
              <w:jc w:val="left"/>
            </w:pPr>
            <w:r>
              <w:t xml:space="preserve">921 (33.8)</w:t>
            </w:r>
          </w:p>
        </w:tc>
        <w:tc>
          <w:tcPr/>
          <w:p>
            <w:pPr>
              <w:pStyle w:val="Compact"/>
              <w:jc w:val="left"/>
            </w:pPr>
            <w:r>
              <w:t xml:space="preserve">162 (34.3)</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s1112p, n (%)</w:t>
            </w:r>
          </w:p>
        </w:tc>
        <w:tc>
          <w:tcPr/>
          <w:p>
            <w:pPr>
              <w:pStyle w:val="Compact"/>
              <w:jc w:val="left"/>
            </w:pPr>
            <w:r>
              <w:t xml:space="preserve">0.0</w:t>
            </w:r>
          </w:p>
        </w:tc>
        <w:tc>
          <w:tcPr/>
          <w:p>
            <w:pPr>
              <w:pStyle w:val="Compact"/>
              <w:jc w:val="left"/>
            </w:pPr>
            <w:r>
              <w:t xml:space="preserve">nan</w:t>
            </w:r>
          </w:p>
        </w:tc>
        <w:tc>
          <w:tcPr/>
          <w:p>
            <w:pPr>
              <w:pStyle w:val="Compact"/>
              <w:jc w:val="left"/>
            </w:pPr>
            <w:r>
              <w:t xml:space="preserve">2111 (66.1)</w:t>
            </w:r>
          </w:p>
        </w:tc>
        <w:tc>
          <w:tcPr/>
          <w:p>
            <w:pPr>
              <w:pStyle w:val="Compact"/>
              <w:jc w:val="left"/>
            </w:pPr>
            <w:r>
              <w:t xml:space="preserve">1801 (66.2)</w:t>
            </w:r>
          </w:p>
        </w:tc>
        <w:tc>
          <w:tcPr/>
          <w:p>
            <w:pPr>
              <w:pStyle w:val="Compact"/>
              <w:jc w:val="left"/>
            </w:pPr>
            <w:r>
              <w:t xml:space="preserve">310 (65.7)</w:t>
            </w:r>
          </w:p>
        </w:tc>
        <w:tc>
          <w:tcPr/>
          <w:p>
            <w:pPr>
              <w:pStyle w:val="Compact"/>
              <w:jc w:val="left"/>
            </w:pPr>
            <w:r>
              <w:t xml:space="preserve">0.077</w:t>
            </w:r>
          </w:p>
        </w:tc>
        <w:tc>
          <w:tcPr/>
          <w:p>
            <w:pPr>
              <w:pStyle w:val="Compact"/>
              <w:jc w:val="left"/>
            </w:pPr>
            <w:r>
              <w:t xml:space="preserve">Chi-squared</w:t>
            </w:r>
          </w:p>
        </w:tc>
      </w:tr>
      <w:tr>
        <w:tc>
          <w:tcPr/>
          <w:p>
            <w:pPr>
              <w:pStyle w:val="Compact"/>
              <w:jc w:val="left"/>
            </w:pPr>
            <w:r>
              <w:t xml:space="preserve">s1112p, n (%)</w:t>
            </w:r>
          </w:p>
        </w:tc>
        <w:tc>
          <w:tcPr/>
          <w:p>
            <w:pPr>
              <w:pStyle w:val="Compact"/>
              <w:jc w:val="left"/>
            </w:pPr>
            <w:r>
              <w:t xml:space="preserve">1.0</w:t>
            </w:r>
          </w:p>
        </w:tc>
        <w:tc>
          <w:tcPr/>
          <w:p>
            <w:pPr>
              <w:pStyle w:val="Compact"/>
              <w:jc w:val="left"/>
            </w:pPr>
            <w:r>
              <w:t xml:space="preserve">nan</w:t>
            </w:r>
          </w:p>
        </w:tc>
        <w:tc>
          <w:tcPr/>
          <w:p>
            <w:pPr>
              <w:pStyle w:val="Compact"/>
              <w:jc w:val="left"/>
            </w:pPr>
            <w:r>
              <w:t xml:space="preserve">936 (29.3)</w:t>
            </w:r>
          </w:p>
        </w:tc>
        <w:tc>
          <w:tcPr/>
          <w:p>
            <w:pPr>
              <w:pStyle w:val="Compact"/>
              <w:jc w:val="left"/>
            </w:pPr>
            <w:r>
              <w:t xml:space="preserve">805 (29.6)</w:t>
            </w:r>
          </w:p>
        </w:tc>
        <w:tc>
          <w:tcPr/>
          <w:p>
            <w:pPr>
              <w:pStyle w:val="Compact"/>
              <w:jc w:val="left"/>
            </w:pPr>
            <w:r>
              <w:t xml:space="preserve">131 (27.8)</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s1112p, n (%)</w:t>
            </w:r>
          </w:p>
        </w:tc>
        <w:tc>
          <w:tcPr/>
          <w:p>
            <w:pPr>
              <w:pStyle w:val="Compact"/>
              <w:jc w:val="left"/>
            </w:pPr>
            <w:r>
              <w:t xml:space="preserve">nan</w:t>
            </w:r>
          </w:p>
        </w:tc>
        <w:tc>
          <w:tcPr/>
          <w:p>
            <w:pPr>
              <w:pStyle w:val="Compact"/>
              <w:jc w:val="left"/>
            </w:pPr>
            <w:r>
              <w:t xml:space="preserve">nan</w:t>
            </w:r>
          </w:p>
        </w:tc>
        <w:tc>
          <w:tcPr/>
          <w:p>
            <w:pPr>
              <w:pStyle w:val="Compact"/>
              <w:jc w:val="left"/>
            </w:pPr>
            <w:r>
              <w:t xml:space="preserve">147 (4.6)</w:t>
            </w:r>
          </w:p>
        </w:tc>
        <w:tc>
          <w:tcPr/>
          <w:p>
            <w:pPr>
              <w:pStyle w:val="Compact"/>
              <w:jc w:val="left"/>
            </w:pPr>
            <w:r>
              <w:t xml:space="preserve">116 (4.3)</w:t>
            </w:r>
          </w:p>
        </w:tc>
        <w:tc>
          <w:tcPr/>
          <w:p>
            <w:pPr>
              <w:pStyle w:val="Compact"/>
              <w:jc w:val="left"/>
            </w:pPr>
            <w:r>
              <w:t xml:space="preserve">31 (6.6)</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wealth, n (%)</w:t>
            </w:r>
          </w:p>
        </w:tc>
        <w:tc>
          <w:tcPr/>
          <w:p>
            <w:pPr>
              <w:pStyle w:val="Compact"/>
              <w:jc w:val="left"/>
            </w:pPr>
            <w:r>
              <w:t xml:space="preserve">1</w:t>
            </w:r>
          </w:p>
        </w:tc>
        <w:tc>
          <w:tcPr/>
          <w:p>
            <w:pPr>
              <w:pStyle w:val="Compact"/>
              <w:jc w:val="left"/>
            </w:pPr>
            <w:r>
              <w:t xml:space="preserve">nan</w:t>
            </w:r>
          </w:p>
        </w:tc>
        <w:tc>
          <w:tcPr/>
          <w:p>
            <w:pPr>
              <w:pStyle w:val="Compact"/>
              <w:jc w:val="left"/>
            </w:pPr>
            <w:r>
              <w:t xml:space="preserve">532 (16.7)</w:t>
            </w:r>
          </w:p>
        </w:tc>
        <w:tc>
          <w:tcPr/>
          <w:p>
            <w:pPr>
              <w:pStyle w:val="Compact"/>
              <w:jc w:val="left"/>
            </w:pPr>
            <w:r>
              <w:t xml:space="preserve">438 (16.1)</w:t>
            </w:r>
          </w:p>
        </w:tc>
        <w:tc>
          <w:tcPr/>
          <w:p>
            <w:pPr>
              <w:pStyle w:val="Compact"/>
              <w:jc w:val="left"/>
            </w:pPr>
            <w:r>
              <w:t xml:space="preserve">94 (19.9)</w:t>
            </w:r>
          </w:p>
        </w:tc>
        <w:tc>
          <w:tcPr/>
          <w:p>
            <w:pPr>
              <w:pStyle w:val="Compact"/>
              <w:jc w:val="left"/>
            </w:pPr>
            <w:r>
              <w:t xml:space="preserve">&lt;0.001</w:t>
            </w:r>
          </w:p>
        </w:tc>
        <w:tc>
          <w:tcPr/>
          <w:p>
            <w:pPr>
              <w:pStyle w:val="Compact"/>
              <w:jc w:val="left"/>
            </w:pPr>
            <w:r>
              <w:t xml:space="preserve">Chi-squared</w:t>
            </w:r>
          </w:p>
        </w:tc>
      </w:tr>
      <w:tr>
        <w:tc>
          <w:tcPr/>
          <w:p>
            <w:pPr>
              <w:pStyle w:val="Compact"/>
              <w:jc w:val="left"/>
            </w:pPr>
            <w:r>
              <w:t xml:space="preserve">wealth, n (%)</w:t>
            </w:r>
          </w:p>
        </w:tc>
        <w:tc>
          <w:tcPr/>
          <w:p>
            <w:pPr>
              <w:pStyle w:val="Compact"/>
              <w:jc w:val="left"/>
            </w:pPr>
            <w:r>
              <w:t xml:space="preserve">2</w:t>
            </w:r>
          </w:p>
        </w:tc>
        <w:tc>
          <w:tcPr/>
          <w:p>
            <w:pPr>
              <w:pStyle w:val="Compact"/>
              <w:jc w:val="left"/>
            </w:pPr>
            <w:r>
              <w:t xml:space="preserve">nan</w:t>
            </w:r>
          </w:p>
        </w:tc>
        <w:tc>
          <w:tcPr/>
          <w:p>
            <w:pPr>
              <w:pStyle w:val="Compact"/>
              <w:jc w:val="left"/>
            </w:pPr>
            <w:r>
              <w:t xml:space="preserve">502 (15.7)</w:t>
            </w:r>
          </w:p>
        </w:tc>
        <w:tc>
          <w:tcPr/>
          <w:p>
            <w:pPr>
              <w:pStyle w:val="Compact"/>
              <w:jc w:val="left"/>
            </w:pPr>
            <w:r>
              <w:t xml:space="preserve">400 (14.7)</w:t>
            </w:r>
          </w:p>
        </w:tc>
        <w:tc>
          <w:tcPr/>
          <w:p>
            <w:pPr>
              <w:pStyle w:val="Compact"/>
              <w:jc w:val="left"/>
            </w:pPr>
            <w:r>
              <w:t xml:space="preserve">102 (21.6)</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wealth, n (%)</w:t>
            </w:r>
          </w:p>
        </w:tc>
        <w:tc>
          <w:tcPr/>
          <w:p>
            <w:pPr>
              <w:pStyle w:val="Compact"/>
              <w:jc w:val="left"/>
            </w:pPr>
            <w:r>
              <w:t xml:space="preserve">3</w:t>
            </w:r>
          </w:p>
        </w:tc>
        <w:tc>
          <w:tcPr/>
          <w:p>
            <w:pPr>
              <w:pStyle w:val="Compact"/>
              <w:jc w:val="left"/>
            </w:pPr>
            <w:r>
              <w:t xml:space="preserve">nan</w:t>
            </w:r>
          </w:p>
        </w:tc>
        <w:tc>
          <w:tcPr/>
          <w:p>
            <w:pPr>
              <w:pStyle w:val="Compact"/>
              <w:jc w:val="left"/>
            </w:pPr>
            <w:r>
              <w:t xml:space="preserve">619 (19.4)</w:t>
            </w:r>
          </w:p>
        </w:tc>
        <w:tc>
          <w:tcPr/>
          <w:p>
            <w:pPr>
              <w:pStyle w:val="Compact"/>
              <w:jc w:val="left"/>
            </w:pPr>
            <w:r>
              <w:t xml:space="preserve">513 (18.8)</w:t>
            </w:r>
          </w:p>
        </w:tc>
        <w:tc>
          <w:tcPr/>
          <w:p>
            <w:pPr>
              <w:pStyle w:val="Compact"/>
              <w:jc w:val="left"/>
            </w:pPr>
            <w:r>
              <w:t xml:space="preserve">106 (22.5)</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wealth, n (%)</w:t>
            </w:r>
          </w:p>
        </w:tc>
        <w:tc>
          <w:tcPr/>
          <w:p>
            <w:pPr>
              <w:pStyle w:val="Compact"/>
              <w:jc w:val="left"/>
            </w:pPr>
            <w:r>
              <w:t xml:space="preserve">4</w:t>
            </w:r>
          </w:p>
        </w:tc>
        <w:tc>
          <w:tcPr/>
          <w:p>
            <w:pPr>
              <w:pStyle w:val="Compact"/>
              <w:jc w:val="left"/>
            </w:pPr>
            <w:r>
              <w:t xml:space="preserve">nan</w:t>
            </w:r>
          </w:p>
        </w:tc>
        <w:tc>
          <w:tcPr/>
          <w:p>
            <w:pPr>
              <w:pStyle w:val="Compact"/>
              <w:jc w:val="left"/>
            </w:pPr>
            <w:r>
              <w:t xml:space="preserve">772 (24.2)</w:t>
            </w:r>
          </w:p>
        </w:tc>
        <w:tc>
          <w:tcPr/>
          <w:p>
            <w:pPr>
              <w:pStyle w:val="Compact"/>
              <w:jc w:val="left"/>
            </w:pPr>
            <w:r>
              <w:t xml:space="preserve">664 (24.4)</w:t>
            </w:r>
          </w:p>
        </w:tc>
        <w:tc>
          <w:tcPr/>
          <w:p>
            <w:pPr>
              <w:pStyle w:val="Compact"/>
              <w:jc w:val="left"/>
            </w:pPr>
            <w:r>
              <w:t xml:space="preserve">108 (22.9)</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wealth, n (%)</w:t>
            </w:r>
          </w:p>
        </w:tc>
        <w:tc>
          <w:tcPr/>
          <w:p>
            <w:pPr>
              <w:pStyle w:val="Compact"/>
              <w:jc w:val="left"/>
            </w:pPr>
            <w:r>
              <w:t xml:space="preserve">5</w:t>
            </w:r>
          </w:p>
        </w:tc>
        <w:tc>
          <w:tcPr/>
          <w:p>
            <w:pPr>
              <w:pStyle w:val="Compact"/>
              <w:jc w:val="left"/>
            </w:pPr>
            <w:r>
              <w:t xml:space="preserve">nan</w:t>
            </w:r>
          </w:p>
        </w:tc>
        <w:tc>
          <w:tcPr/>
          <w:p>
            <w:pPr>
              <w:pStyle w:val="Compact"/>
              <w:jc w:val="left"/>
            </w:pPr>
            <w:r>
              <w:t xml:space="preserve">769 (24.1)</w:t>
            </w:r>
          </w:p>
        </w:tc>
        <w:tc>
          <w:tcPr/>
          <w:p>
            <w:pPr>
              <w:pStyle w:val="Compact"/>
              <w:jc w:val="left"/>
            </w:pPr>
            <w:r>
              <w:t xml:space="preserve">707 (26.0)</w:t>
            </w:r>
          </w:p>
        </w:tc>
        <w:tc>
          <w:tcPr/>
          <w:p>
            <w:pPr>
              <w:pStyle w:val="Compact"/>
              <w:jc w:val="left"/>
            </w:pPr>
            <w:r>
              <w:t xml:space="preserve">62 (13.1)</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v714, n (%)</w:t>
            </w:r>
          </w:p>
        </w:tc>
        <w:tc>
          <w:tcPr/>
          <w:p>
            <w:pPr>
              <w:pStyle w:val="Compact"/>
              <w:jc w:val="left"/>
            </w:pPr>
            <w:r>
              <w:t xml:space="preserve">0</w:t>
            </w:r>
          </w:p>
        </w:tc>
        <w:tc>
          <w:tcPr/>
          <w:p>
            <w:pPr>
              <w:pStyle w:val="Compact"/>
              <w:jc w:val="left"/>
            </w:pPr>
            <w:r>
              <w:t xml:space="preserve">nan</w:t>
            </w:r>
          </w:p>
        </w:tc>
        <w:tc>
          <w:tcPr/>
          <w:p>
            <w:pPr>
              <w:pStyle w:val="Compact"/>
              <w:jc w:val="left"/>
            </w:pPr>
            <w:r>
              <w:t xml:space="preserve">1064 (33.3)</w:t>
            </w:r>
          </w:p>
        </w:tc>
        <w:tc>
          <w:tcPr/>
          <w:p>
            <w:pPr>
              <w:pStyle w:val="Compact"/>
              <w:jc w:val="left"/>
            </w:pPr>
            <w:r>
              <w:t xml:space="preserve">913 (33.5)</w:t>
            </w:r>
          </w:p>
        </w:tc>
        <w:tc>
          <w:tcPr/>
          <w:p>
            <w:pPr>
              <w:pStyle w:val="Compact"/>
              <w:jc w:val="left"/>
            </w:pPr>
            <w:r>
              <w:t xml:space="preserve">151 (32.0)</w:t>
            </w:r>
          </w:p>
        </w:tc>
        <w:tc>
          <w:tcPr/>
          <w:p>
            <w:pPr>
              <w:pStyle w:val="Compact"/>
              <w:jc w:val="left"/>
            </w:pPr>
            <w:r>
              <w:t xml:space="preserve">0.544</w:t>
            </w:r>
          </w:p>
        </w:tc>
        <w:tc>
          <w:tcPr/>
          <w:p>
            <w:pPr>
              <w:pStyle w:val="Compact"/>
              <w:jc w:val="left"/>
            </w:pPr>
            <w:r>
              <w:t xml:space="preserve">Chi-squared</w:t>
            </w:r>
          </w:p>
        </w:tc>
      </w:tr>
      <w:tr>
        <w:tc>
          <w:tcPr/>
          <w:p>
            <w:pPr>
              <w:pStyle w:val="Compact"/>
              <w:jc w:val="left"/>
            </w:pPr>
            <w:r>
              <w:t xml:space="preserve">v714, n (%)</w:t>
            </w:r>
          </w:p>
        </w:tc>
        <w:tc>
          <w:tcPr/>
          <w:p>
            <w:pPr>
              <w:pStyle w:val="Compact"/>
              <w:jc w:val="left"/>
            </w:pPr>
            <w:r>
              <w:t xml:space="preserve">1</w:t>
            </w:r>
          </w:p>
        </w:tc>
        <w:tc>
          <w:tcPr/>
          <w:p>
            <w:pPr>
              <w:pStyle w:val="Compact"/>
              <w:jc w:val="left"/>
            </w:pPr>
            <w:r>
              <w:t xml:space="preserve">nan</w:t>
            </w:r>
          </w:p>
        </w:tc>
        <w:tc>
          <w:tcPr/>
          <w:p>
            <w:pPr>
              <w:pStyle w:val="Compact"/>
              <w:jc w:val="left"/>
            </w:pPr>
            <w:r>
              <w:t xml:space="preserve">2130 (66.7)</w:t>
            </w:r>
          </w:p>
        </w:tc>
        <w:tc>
          <w:tcPr/>
          <w:p>
            <w:pPr>
              <w:pStyle w:val="Compact"/>
              <w:jc w:val="left"/>
            </w:pPr>
            <w:r>
              <w:t xml:space="preserve">1809 (66.5)</w:t>
            </w:r>
          </w:p>
        </w:tc>
        <w:tc>
          <w:tcPr/>
          <w:p>
            <w:pPr>
              <w:pStyle w:val="Compact"/>
              <w:jc w:val="left"/>
            </w:pPr>
            <w:r>
              <w:t xml:space="preserve">321 (68.0)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v481, n (%)</w:t>
            </w:r>
          </w:p>
        </w:tc>
        <w:tc>
          <w:tcPr/>
          <w:p>
            <w:pPr>
              <w:pStyle w:val="Compact"/>
              <w:jc w:val="left"/>
            </w:pPr>
            <w:r>
              <w:t xml:space="preserve">0</w:t>
            </w:r>
          </w:p>
        </w:tc>
        <w:tc>
          <w:tcPr/>
          <w:p>
            <w:pPr>
              <w:pStyle w:val="Compact"/>
              <w:jc w:val="left"/>
            </w:pPr>
            <w:r>
              <w:t xml:space="preserve">nan</w:t>
            </w:r>
          </w:p>
        </w:tc>
        <w:tc>
          <w:tcPr/>
          <w:p>
            <w:pPr>
              <w:pStyle w:val="Compact"/>
              <w:jc w:val="left"/>
            </w:pPr>
            <w:r>
              <w:t xml:space="preserve">3071 (96.1)</w:t>
            </w:r>
          </w:p>
        </w:tc>
        <w:tc>
          <w:tcPr/>
          <w:p>
            <w:pPr>
              <w:pStyle w:val="Compact"/>
              <w:jc w:val="left"/>
            </w:pPr>
            <w:r>
              <w:t xml:space="preserve">2609 (95.8)</w:t>
            </w:r>
          </w:p>
        </w:tc>
        <w:tc>
          <w:tcPr/>
          <w:p>
            <w:pPr>
              <w:pStyle w:val="Compact"/>
              <w:jc w:val="left"/>
            </w:pPr>
            <w:r>
              <w:t xml:space="preserve">462 (97.9)</w:t>
            </w:r>
          </w:p>
        </w:tc>
        <w:tc>
          <w:tcPr/>
          <w:p>
            <w:pPr>
              <w:pStyle w:val="Compact"/>
              <w:jc w:val="left"/>
            </w:pPr>
            <w:r>
              <w:t xml:space="preserve">0.047</w:t>
            </w:r>
          </w:p>
        </w:tc>
        <w:tc>
          <w:tcPr/>
          <w:p>
            <w:pPr>
              <w:pStyle w:val="Compact"/>
              <w:jc w:val="left"/>
            </w:pPr>
            <w:r>
              <w:t xml:space="preserve">Chi-squared</w:t>
            </w:r>
          </w:p>
        </w:tc>
      </w:tr>
      <w:tr>
        <w:tc>
          <w:tcPr/>
          <w:p>
            <w:pPr>
              <w:pStyle w:val="Compact"/>
              <w:jc w:val="left"/>
            </w:pPr>
            <w:r>
              <w:t xml:space="preserve">v481, n (%)</w:t>
            </w:r>
          </w:p>
        </w:tc>
        <w:tc>
          <w:tcPr/>
          <w:p>
            <w:pPr>
              <w:pStyle w:val="Compact"/>
              <w:jc w:val="left"/>
            </w:pPr>
            <w:r>
              <w:t xml:space="preserve">1</w:t>
            </w:r>
          </w:p>
        </w:tc>
        <w:tc>
          <w:tcPr/>
          <w:p>
            <w:pPr>
              <w:pStyle w:val="Compact"/>
              <w:jc w:val="left"/>
            </w:pPr>
            <w:r>
              <w:t xml:space="preserve">nan</w:t>
            </w:r>
          </w:p>
        </w:tc>
        <w:tc>
          <w:tcPr/>
          <w:p>
            <w:pPr>
              <w:pStyle w:val="Compact"/>
              <w:jc w:val="left"/>
            </w:pPr>
            <w:r>
              <w:t xml:space="preserve">123 (3.9)</w:t>
            </w:r>
          </w:p>
        </w:tc>
        <w:tc>
          <w:tcPr/>
          <w:p>
            <w:pPr>
              <w:pStyle w:val="Compact"/>
              <w:jc w:val="left"/>
            </w:pPr>
            <w:r>
              <w:t xml:space="preserve">113 (4.2)</w:t>
            </w:r>
          </w:p>
        </w:tc>
        <w:tc>
          <w:tcPr/>
          <w:p>
            <w:pPr>
              <w:pStyle w:val="Compact"/>
              <w:jc w:val="left"/>
            </w:pPr>
            <w:r>
              <w:t xml:space="preserve">10 (2.1)</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v136, mean (SD)</w:t>
            </w:r>
          </w:p>
        </w:tc>
        <w:tc>
          <w:tcPr/>
          <w:p>
            <w:pPr>
              <w:pStyle w:val="Compact"/>
              <w:jc w:val="left"/>
            </w:pPr>
            <w:r>
              <w:t xml:space="preserve">nan</w:t>
            </w:r>
          </w:p>
        </w:tc>
        <w:tc>
          <w:tcPr/>
          <w:p>
            <w:pPr>
              <w:pStyle w:val="Compact"/>
              <w:jc w:val="left"/>
            </w:pPr>
            <w:r>
              <w:t xml:space="preserve">0</w:t>
            </w:r>
          </w:p>
        </w:tc>
        <w:tc>
          <w:tcPr/>
          <w:p>
            <w:pPr>
              <w:pStyle w:val="Compact"/>
              <w:jc w:val="left"/>
            </w:pPr>
            <w:r>
              <w:t xml:space="preserve">6.4 (3.5)</w:t>
            </w:r>
          </w:p>
        </w:tc>
        <w:tc>
          <w:tcPr/>
          <w:p>
            <w:pPr>
              <w:pStyle w:val="Compact"/>
              <w:jc w:val="left"/>
            </w:pPr>
            <w:r>
              <w:t xml:space="preserve">6.3 (3.5)</w:t>
            </w:r>
          </w:p>
        </w:tc>
        <w:tc>
          <w:tcPr/>
          <w:p>
            <w:pPr>
              <w:pStyle w:val="Compact"/>
              <w:jc w:val="left"/>
            </w:pPr>
            <w:r>
              <w:t xml:space="preserve">6.6 (3.7)</w:t>
            </w:r>
          </w:p>
        </w:tc>
        <w:tc>
          <w:tcPr/>
          <w:p>
            <w:pPr>
              <w:pStyle w:val="Compact"/>
              <w:jc w:val="left"/>
            </w:pPr>
            <w:r>
              <w:t xml:space="preserve">0.138</w:t>
            </w:r>
          </w:p>
        </w:tc>
        <w:tc>
          <w:tcPr/>
          <w:p>
            <w:pPr>
              <w:pStyle w:val="Compact"/>
              <w:jc w:val="left"/>
            </w:pPr>
            <w:r>
              <w:t xml:space="preserve">Welch’s T-test</w:t>
            </w:r>
          </w:p>
        </w:tc>
      </w:tr>
      <w:tr>
        <w:tc>
          <w:tcPr/>
          <w:p>
            <w:pPr>
              <w:pStyle w:val="Compact"/>
              <w:jc w:val="left"/>
            </w:pPr>
            <w:r>
              <w:t xml:space="preserve">v151, n (%)</w:t>
            </w:r>
          </w:p>
        </w:tc>
        <w:tc>
          <w:tcPr/>
          <w:p>
            <w:pPr>
              <w:pStyle w:val="Compact"/>
              <w:jc w:val="left"/>
            </w:pPr>
            <w:r>
              <w:t xml:space="preserve">1</w:t>
            </w:r>
          </w:p>
        </w:tc>
        <w:tc>
          <w:tcPr/>
          <w:p>
            <w:pPr>
              <w:pStyle w:val="Compact"/>
              <w:jc w:val="left"/>
            </w:pPr>
            <w:r>
              <w:t xml:space="preserve">nan</w:t>
            </w:r>
          </w:p>
        </w:tc>
        <w:tc>
          <w:tcPr/>
          <w:p>
            <w:pPr>
              <w:pStyle w:val="Compact"/>
              <w:jc w:val="left"/>
            </w:pPr>
            <w:r>
              <w:t xml:space="preserve">2760 (86.4)</w:t>
            </w:r>
          </w:p>
        </w:tc>
        <w:tc>
          <w:tcPr/>
          <w:p>
            <w:pPr>
              <w:pStyle w:val="Compact"/>
              <w:jc w:val="left"/>
            </w:pPr>
            <w:r>
              <w:t xml:space="preserve">2360 (86.7)</w:t>
            </w:r>
          </w:p>
        </w:tc>
        <w:tc>
          <w:tcPr/>
          <w:p>
            <w:pPr>
              <w:pStyle w:val="Compact"/>
              <w:jc w:val="left"/>
            </w:pPr>
            <w:r>
              <w:t xml:space="preserve">400 (84.7)</w:t>
            </w:r>
          </w:p>
        </w:tc>
        <w:tc>
          <w:tcPr/>
          <w:p>
            <w:pPr>
              <w:pStyle w:val="Compact"/>
              <w:jc w:val="left"/>
            </w:pPr>
            <w:r>
              <w:t xml:space="preserve">0.284</w:t>
            </w:r>
          </w:p>
        </w:tc>
        <w:tc>
          <w:tcPr/>
          <w:p>
            <w:pPr>
              <w:pStyle w:val="Compact"/>
              <w:jc w:val="left"/>
            </w:pPr>
            <w:r>
              <w:t xml:space="preserve">Chi-squared</w:t>
            </w:r>
          </w:p>
        </w:tc>
      </w:tr>
      <w:tr>
        <w:tc>
          <w:tcPr/>
          <w:p>
            <w:pPr>
              <w:pStyle w:val="Compact"/>
              <w:jc w:val="left"/>
            </w:pPr>
            <w:r>
              <w:t xml:space="preserve">v151, n (%)</w:t>
            </w:r>
          </w:p>
        </w:tc>
        <w:tc>
          <w:tcPr/>
          <w:p>
            <w:pPr>
              <w:pStyle w:val="Compact"/>
              <w:jc w:val="left"/>
            </w:pPr>
            <w:r>
              <w:t xml:space="preserve">2</w:t>
            </w:r>
          </w:p>
        </w:tc>
        <w:tc>
          <w:tcPr/>
          <w:p>
            <w:pPr>
              <w:pStyle w:val="Compact"/>
              <w:jc w:val="left"/>
            </w:pPr>
            <w:r>
              <w:t xml:space="preserve">nan</w:t>
            </w:r>
          </w:p>
        </w:tc>
        <w:tc>
          <w:tcPr/>
          <w:p>
            <w:pPr>
              <w:pStyle w:val="Compact"/>
              <w:jc w:val="left"/>
            </w:pPr>
            <w:r>
              <w:t xml:space="preserve">434 (13.6)</w:t>
            </w:r>
          </w:p>
        </w:tc>
        <w:tc>
          <w:tcPr/>
          <w:p>
            <w:pPr>
              <w:pStyle w:val="Compact"/>
              <w:jc w:val="left"/>
            </w:pPr>
            <w:r>
              <w:t xml:space="preserve">362 (13.3)</w:t>
            </w:r>
          </w:p>
        </w:tc>
        <w:tc>
          <w:tcPr/>
          <w:p>
            <w:pPr>
              <w:pStyle w:val="Compact"/>
              <w:jc w:val="left"/>
            </w:pPr>
            <w:r>
              <w:t xml:space="preserve">72 (15.3)</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v137, mean (SD)</w:t>
            </w:r>
          </w:p>
        </w:tc>
        <w:tc>
          <w:tcPr/>
          <w:p>
            <w:pPr>
              <w:pStyle w:val="Compact"/>
              <w:jc w:val="left"/>
            </w:pPr>
            <w:r>
              <w:t xml:space="preserve">nan</w:t>
            </w:r>
          </w:p>
        </w:tc>
        <w:tc>
          <w:tcPr/>
          <w:p>
            <w:pPr>
              <w:pStyle w:val="Compact"/>
              <w:jc w:val="left"/>
            </w:pPr>
            <w:r>
              <w:t xml:space="preserve">0</w:t>
            </w:r>
          </w:p>
        </w:tc>
        <w:tc>
          <w:tcPr/>
          <w:p>
            <w:pPr>
              <w:pStyle w:val="Compact"/>
              <w:jc w:val="left"/>
            </w:pPr>
            <w:r>
              <w:t xml:space="preserve">2.0 (1.1)</w:t>
            </w:r>
          </w:p>
        </w:tc>
        <w:tc>
          <w:tcPr/>
          <w:p>
            <w:pPr>
              <w:pStyle w:val="Compact"/>
              <w:jc w:val="left"/>
            </w:pPr>
            <w:r>
              <w:t xml:space="preserve">2.0 (1.1)</w:t>
            </w:r>
          </w:p>
        </w:tc>
        <w:tc>
          <w:tcPr/>
          <w:p>
            <w:pPr>
              <w:pStyle w:val="Compact"/>
              <w:jc w:val="left"/>
            </w:pPr>
            <w:r>
              <w:t xml:space="preserve">2.0 (1.2)</w:t>
            </w:r>
          </w:p>
        </w:tc>
        <w:tc>
          <w:tcPr/>
          <w:p>
            <w:pPr>
              <w:pStyle w:val="Compact"/>
              <w:jc w:val="left"/>
            </w:pPr>
            <w:r>
              <w:t xml:space="preserve">0.726</w:t>
            </w:r>
          </w:p>
        </w:tc>
        <w:tc>
          <w:tcPr/>
          <w:p>
            <w:pPr>
              <w:pStyle w:val="Compact"/>
              <w:jc w:val="left"/>
            </w:pPr>
            <w:r>
              <w:t xml:space="preserve">Welch’s T-test</w:t>
            </w:r>
          </w:p>
        </w:tc>
      </w:tr>
      <w:tr>
        <w:tc>
          <w:tcPr/>
          <w:p>
            <w:pPr>
              <w:pStyle w:val="Compact"/>
              <w:jc w:val="left"/>
            </w:pPr>
            <w:r>
              <w:t xml:space="preserve">rural, n (%)</w:t>
            </w:r>
          </w:p>
        </w:tc>
        <w:tc>
          <w:tcPr/>
          <w:p>
            <w:pPr>
              <w:pStyle w:val="Compact"/>
              <w:jc w:val="left"/>
            </w:pPr>
            <w:r>
              <w:t xml:space="preserve">0</w:t>
            </w:r>
          </w:p>
        </w:tc>
        <w:tc>
          <w:tcPr/>
          <w:p>
            <w:pPr>
              <w:pStyle w:val="Compact"/>
              <w:jc w:val="left"/>
            </w:pPr>
            <w:r>
              <w:t xml:space="preserve">nan</w:t>
            </w:r>
          </w:p>
        </w:tc>
        <w:tc>
          <w:tcPr/>
          <w:p>
            <w:pPr>
              <w:pStyle w:val="Compact"/>
              <w:jc w:val="left"/>
            </w:pPr>
            <w:r>
              <w:t xml:space="preserve">1564 (49.0)</w:t>
            </w:r>
          </w:p>
        </w:tc>
        <w:tc>
          <w:tcPr/>
          <w:p>
            <w:pPr>
              <w:pStyle w:val="Compact"/>
              <w:jc w:val="left"/>
            </w:pPr>
            <w:r>
              <w:t xml:space="preserve">1333 (49.0)</w:t>
            </w:r>
          </w:p>
        </w:tc>
        <w:tc>
          <w:tcPr/>
          <w:p>
            <w:pPr>
              <w:pStyle w:val="Compact"/>
              <w:jc w:val="left"/>
            </w:pPr>
            <w:r>
              <w:t xml:space="preserve">231 (48.9)</w:t>
            </w:r>
          </w:p>
        </w:tc>
        <w:tc>
          <w:tcPr/>
          <w:p>
            <w:pPr>
              <w:pStyle w:val="Compact"/>
              <w:jc w:val="left"/>
            </w:pPr>
            <w:r>
              <w:t xml:space="preserve">1.000</w:t>
            </w:r>
          </w:p>
        </w:tc>
        <w:tc>
          <w:tcPr/>
          <w:p>
            <w:pPr>
              <w:pStyle w:val="Compact"/>
              <w:jc w:val="left"/>
            </w:pPr>
            <w:r>
              <w:t xml:space="preserve">Chi-squared</w:t>
            </w:r>
          </w:p>
        </w:tc>
      </w:tr>
      <w:tr>
        <w:tc>
          <w:tcPr/>
          <w:p>
            <w:pPr>
              <w:pStyle w:val="Compact"/>
              <w:jc w:val="left"/>
            </w:pPr>
            <w:r>
              <w:t xml:space="preserve">rural, n (%)</w:t>
            </w:r>
          </w:p>
        </w:tc>
        <w:tc>
          <w:tcPr/>
          <w:p>
            <w:pPr>
              <w:pStyle w:val="Compact"/>
              <w:jc w:val="left"/>
            </w:pPr>
            <w:r>
              <w:t xml:space="preserve">1</w:t>
            </w:r>
          </w:p>
        </w:tc>
        <w:tc>
          <w:tcPr/>
          <w:p>
            <w:pPr>
              <w:pStyle w:val="Compact"/>
              <w:jc w:val="left"/>
            </w:pPr>
            <w:r>
              <w:t xml:space="preserve">nan</w:t>
            </w:r>
          </w:p>
        </w:tc>
        <w:tc>
          <w:tcPr/>
          <w:p>
            <w:pPr>
              <w:pStyle w:val="Compact"/>
              <w:jc w:val="left"/>
            </w:pPr>
            <w:r>
              <w:t xml:space="preserve">1630 (51.0)</w:t>
            </w:r>
          </w:p>
        </w:tc>
        <w:tc>
          <w:tcPr/>
          <w:p>
            <w:pPr>
              <w:pStyle w:val="Compact"/>
              <w:jc w:val="left"/>
            </w:pPr>
            <w:r>
              <w:t xml:space="preserve">1389 (51.0)</w:t>
            </w:r>
          </w:p>
        </w:tc>
        <w:tc>
          <w:tcPr/>
          <w:p>
            <w:pPr>
              <w:pStyle w:val="Compact"/>
              <w:jc w:val="left"/>
            </w:pPr>
            <w:r>
              <w:t xml:space="preserve">241 (51.1)</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v483a, mean (SD)</w:t>
            </w:r>
          </w:p>
        </w:tc>
        <w:tc>
          <w:tcPr/>
          <w:p>
            <w:pPr>
              <w:pStyle w:val="Compact"/>
              <w:jc w:val="left"/>
            </w:pPr>
            <w:r>
              <w:t xml:space="preserve">nan</w:t>
            </w:r>
          </w:p>
        </w:tc>
        <w:tc>
          <w:tcPr/>
          <w:p>
            <w:pPr>
              <w:pStyle w:val="Compact"/>
              <w:jc w:val="left"/>
            </w:pPr>
            <w:r>
              <w:t xml:space="preserve">0</w:t>
            </w:r>
          </w:p>
        </w:tc>
        <w:tc>
          <w:tcPr/>
          <w:p>
            <w:pPr>
              <w:pStyle w:val="Compact"/>
              <w:jc w:val="left"/>
            </w:pPr>
            <w:r>
              <w:t xml:space="preserve">25.0 (27.6)</w:t>
            </w:r>
          </w:p>
        </w:tc>
        <w:tc>
          <w:tcPr/>
          <w:p>
            <w:pPr>
              <w:pStyle w:val="Compact"/>
              <w:jc w:val="left"/>
            </w:pPr>
            <w:r>
              <w:t xml:space="preserve">24.3 (27.2)</w:t>
            </w:r>
          </w:p>
        </w:tc>
        <w:tc>
          <w:tcPr/>
          <w:p>
            <w:pPr>
              <w:pStyle w:val="Compact"/>
              <w:jc w:val="left"/>
            </w:pPr>
            <w:r>
              <w:t xml:space="preserve">29.1 (29.4)</w:t>
            </w:r>
          </w:p>
        </w:tc>
        <w:tc>
          <w:tcPr/>
          <w:p>
            <w:pPr>
              <w:pStyle w:val="Compact"/>
              <w:jc w:val="left"/>
            </w:pPr>
            <w:r>
              <w:t xml:space="preserve">&lt;0.001</w:t>
            </w:r>
          </w:p>
        </w:tc>
        <w:tc>
          <w:tcPr/>
          <w:p>
            <w:pPr>
              <w:pStyle w:val="Compact"/>
              <w:jc w:val="left"/>
            </w:pPr>
            <w:r>
              <w:t xml:space="preserve">Welch’s T-test</w:t>
            </w:r>
          </w:p>
        </w:tc>
      </w:tr>
      <w:tr>
        <w:tc>
          <w:tcPr/>
          <w:p>
            <w:pPr>
              <w:pStyle w:val="Compact"/>
              <w:jc w:val="left"/>
            </w:pPr>
            <w:r>
              <w:t xml:space="preserve">h1a, n (%)</w:t>
            </w:r>
          </w:p>
        </w:tc>
        <w:tc>
          <w:tcPr/>
          <w:p>
            <w:pPr>
              <w:pStyle w:val="Compact"/>
              <w:jc w:val="left"/>
            </w:pPr>
            <w:r>
              <w:t xml:space="preserve">0.0</w:t>
            </w:r>
          </w:p>
        </w:tc>
        <w:tc>
          <w:tcPr/>
          <w:p>
            <w:pPr>
              <w:pStyle w:val="Compact"/>
              <w:jc w:val="left"/>
            </w:pPr>
            <w:r>
              <w:t xml:space="preserve">nan</w:t>
            </w:r>
          </w:p>
        </w:tc>
        <w:tc>
          <w:tcPr/>
          <w:p>
            <w:pPr>
              <w:pStyle w:val="Compact"/>
              <w:jc w:val="left"/>
            </w:pPr>
            <w:r>
              <w:t xml:space="preserve">591 (18.5)</w:t>
            </w:r>
          </w:p>
        </w:tc>
        <w:tc>
          <w:tcPr/>
          <w:p>
            <w:pPr>
              <w:pStyle w:val="Compact"/>
              <w:jc w:val="left"/>
            </w:pPr>
            <w:r>
              <w:t xml:space="preserve">415 (15.2)</w:t>
            </w:r>
          </w:p>
        </w:tc>
        <w:tc>
          <w:tcPr/>
          <w:p>
            <w:pPr>
              <w:pStyle w:val="Compact"/>
              <w:jc w:val="left"/>
            </w:pPr>
            <w:r>
              <w:t xml:space="preserve">176 (37.3)</w:t>
            </w:r>
          </w:p>
        </w:tc>
        <w:tc>
          <w:tcPr/>
          <w:p>
            <w:pPr>
              <w:pStyle w:val="Compact"/>
              <w:jc w:val="left"/>
            </w:pPr>
            <w:r>
              <w:t xml:space="preserve">&lt;0.001</w:t>
            </w:r>
          </w:p>
        </w:tc>
        <w:tc>
          <w:tcPr/>
          <w:p>
            <w:pPr>
              <w:pStyle w:val="Compact"/>
              <w:jc w:val="left"/>
            </w:pPr>
            <w:r>
              <w:t xml:space="preserve">Chi-squared (warning: expected count &lt; 5)</w:t>
            </w:r>
          </w:p>
        </w:tc>
      </w:tr>
      <w:tr>
        <w:tc>
          <w:tcPr/>
          <w:p>
            <w:pPr>
              <w:pStyle w:val="Compact"/>
              <w:jc w:val="left"/>
            </w:pPr>
            <w:r>
              <w:t xml:space="preserve">h1a, n (%)</w:t>
            </w:r>
          </w:p>
        </w:tc>
        <w:tc>
          <w:tcPr/>
          <w:p>
            <w:pPr>
              <w:pStyle w:val="Compact"/>
              <w:jc w:val="left"/>
            </w:pPr>
            <w:r>
              <w:t xml:space="preserve">1.0</w:t>
            </w:r>
          </w:p>
        </w:tc>
        <w:tc>
          <w:tcPr/>
          <w:p>
            <w:pPr>
              <w:pStyle w:val="Compact"/>
              <w:jc w:val="left"/>
            </w:pPr>
            <w:r>
              <w:t xml:space="preserve">nan</w:t>
            </w:r>
          </w:p>
        </w:tc>
        <w:tc>
          <w:tcPr/>
          <w:p>
            <w:pPr>
              <w:pStyle w:val="Compact"/>
              <w:jc w:val="left"/>
            </w:pPr>
            <w:r>
              <w:t xml:space="preserve">2286 (71.6)</w:t>
            </w:r>
          </w:p>
        </w:tc>
        <w:tc>
          <w:tcPr/>
          <w:p>
            <w:pPr>
              <w:pStyle w:val="Compact"/>
              <w:jc w:val="left"/>
            </w:pPr>
            <w:r>
              <w:t xml:space="preserve">2053 (75.4)</w:t>
            </w:r>
          </w:p>
        </w:tc>
        <w:tc>
          <w:tcPr/>
          <w:p>
            <w:pPr>
              <w:pStyle w:val="Compact"/>
              <w:jc w:val="left"/>
            </w:pPr>
            <w:r>
              <w:t xml:space="preserve">233 (49.4)</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h1a, n (%)</w:t>
            </w:r>
          </w:p>
        </w:tc>
        <w:tc>
          <w:tcPr/>
          <w:p>
            <w:pPr>
              <w:pStyle w:val="Compact"/>
              <w:jc w:val="left"/>
            </w:pPr>
            <w:r>
              <w:t xml:space="preserve">2.0</w:t>
            </w:r>
          </w:p>
        </w:tc>
        <w:tc>
          <w:tcPr/>
          <w:p>
            <w:pPr>
              <w:pStyle w:val="Compact"/>
              <w:jc w:val="left"/>
            </w:pPr>
            <w:r>
              <w:t xml:space="preserve">nan</w:t>
            </w:r>
          </w:p>
        </w:tc>
        <w:tc>
          <w:tcPr/>
          <w:p>
            <w:pPr>
              <w:pStyle w:val="Compact"/>
              <w:jc w:val="left"/>
            </w:pPr>
            <w:r>
              <w:t xml:space="preserve">221 (6.9)</w:t>
            </w:r>
          </w:p>
        </w:tc>
        <w:tc>
          <w:tcPr/>
          <w:p>
            <w:pPr>
              <w:pStyle w:val="Compact"/>
              <w:jc w:val="left"/>
            </w:pPr>
            <w:r>
              <w:t xml:space="preserve">171 (6.3)</w:t>
            </w:r>
          </w:p>
        </w:tc>
        <w:tc>
          <w:tcPr/>
          <w:p>
            <w:pPr>
              <w:pStyle w:val="Compact"/>
              <w:jc w:val="left"/>
            </w:pPr>
            <w:r>
              <w:t xml:space="preserve">50 (10.6)</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h1a, n (%)</w:t>
            </w:r>
          </w:p>
        </w:tc>
        <w:tc>
          <w:tcPr/>
          <w:p>
            <w:pPr>
              <w:pStyle w:val="Compact"/>
              <w:jc w:val="left"/>
            </w:pPr>
            <w:r>
              <w:t xml:space="preserve">3.0</w:t>
            </w:r>
          </w:p>
        </w:tc>
        <w:tc>
          <w:tcPr/>
          <w:p>
            <w:pPr>
              <w:pStyle w:val="Compact"/>
              <w:jc w:val="left"/>
            </w:pPr>
            <w:r>
              <w:t xml:space="preserve">nan</w:t>
            </w:r>
          </w:p>
        </w:tc>
        <w:tc>
          <w:tcPr/>
          <w:p>
            <w:pPr>
              <w:pStyle w:val="Compact"/>
              <w:jc w:val="left"/>
            </w:pPr>
            <w:r>
              <w:t xml:space="preserve">18 (0.6)</w:t>
            </w:r>
          </w:p>
        </w:tc>
        <w:tc>
          <w:tcPr/>
          <w:p>
            <w:pPr>
              <w:pStyle w:val="Compact"/>
              <w:jc w:val="left"/>
            </w:pPr>
            <w:r>
              <w:t xml:space="preserve">16 (0.6)</w:t>
            </w:r>
          </w:p>
        </w:tc>
        <w:tc>
          <w:tcPr/>
          <w:p>
            <w:pPr>
              <w:pStyle w:val="Compact"/>
              <w:jc w:val="left"/>
            </w:pPr>
            <w:r>
              <w:t xml:space="preserve">2 (0.4)</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h1a, n (%)</w:t>
            </w:r>
          </w:p>
        </w:tc>
        <w:tc>
          <w:tcPr/>
          <w:p>
            <w:pPr>
              <w:pStyle w:val="Compact"/>
              <w:jc w:val="left"/>
            </w:pPr>
            <w:r>
              <w:t xml:space="preserve">4.0</w:t>
            </w:r>
          </w:p>
        </w:tc>
        <w:tc>
          <w:tcPr/>
          <w:p>
            <w:pPr>
              <w:pStyle w:val="Compact"/>
              <w:jc w:val="left"/>
            </w:pPr>
            <w:r>
              <w:t xml:space="preserve">nan</w:t>
            </w:r>
          </w:p>
        </w:tc>
        <w:tc>
          <w:tcPr/>
          <w:p>
            <w:pPr>
              <w:pStyle w:val="Compact"/>
              <w:jc w:val="left"/>
            </w:pPr>
            <w:r>
              <w:t xml:space="preserve">5 (0.2)</w:t>
            </w:r>
          </w:p>
        </w:tc>
        <w:tc>
          <w:tcPr/>
          <w:p>
            <w:pPr>
              <w:pStyle w:val="Compact"/>
              <w:jc w:val="left"/>
            </w:pPr>
            <w:r>
              <w:t xml:space="preserve">2 (0.1)</w:t>
            </w:r>
          </w:p>
        </w:tc>
        <w:tc>
          <w:tcPr/>
          <w:p>
            <w:pPr>
              <w:pStyle w:val="Compact"/>
              <w:jc w:val="left"/>
            </w:pPr>
            <w:r>
              <w:t xml:space="preserve">3 (0.6)</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h1a, n (%)</w:t>
            </w:r>
          </w:p>
        </w:tc>
        <w:tc>
          <w:tcPr/>
          <w:p>
            <w:pPr>
              <w:pStyle w:val="Compact"/>
              <w:jc w:val="left"/>
            </w:pPr>
            <w:r>
              <w:t xml:space="preserve">5.0</w:t>
            </w:r>
          </w:p>
        </w:tc>
        <w:tc>
          <w:tcPr/>
          <w:p>
            <w:pPr>
              <w:pStyle w:val="Compact"/>
              <w:jc w:val="left"/>
            </w:pPr>
            <w:r>
              <w:t xml:space="preserve">nan</w:t>
            </w:r>
          </w:p>
        </w:tc>
        <w:tc>
          <w:tcPr/>
          <w:p>
            <w:pPr>
              <w:pStyle w:val="Compact"/>
              <w:jc w:val="left"/>
            </w:pPr>
            <w:r>
              <w:t xml:space="preserve">7 (0.2)</w:t>
            </w:r>
          </w:p>
        </w:tc>
        <w:tc>
          <w:tcPr/>
          <w:p>
            <w:pPr>
              <w:pStyle w:val="Compact"/>
              <w:jc w:val="left"/>
            </w:pPr>
            <w:r>
              <w:t xml:space="preserve">7 (0.3)</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h1a, n (%)</w:t>
            </w:r>
          </w:p>
        </w:tc>
        <w:tc>
          <w:tcPr/>
          <w:p>
            <w:pPr>
              <w:pStyle w:val="Compact"/>
              <w:jc w:val="left"/>
            </w:pPr>
            <w:r>
              <w:t xml:space="preserve">6.0</w:t>
            </w:r>
          </w:p>
        </w:tc>
        <w:tc>
          <w:tcPr/>
          <w:p>
            <w:pPr>
              <w:pStyle w:val="Compact"/>
              <w:jc w:val="left"/>
            </w:pPr>
            <w:r>
              <w:t xml:space="preserve">nan</w:t>
            </w:r>
          </w:p>
        </w:tc>
        <w:tc>
          <w:tcPr/>
          <w:p>
            <w:pPr>
              <w:pStyle w:val="Compact"/>
              <w:jc w:val="left"/>
            </w:pPr>
            <w:r>
              <w:t xml:space="preserve">1 (0.0)</w:t>
            </w:r>
          </w:p>
        </w:tc>
        <w:tc>
          <w:tcPr/>
          <w:p>
            <w:pPr>
              <w:pStyle w:val="Compact"/>
              <w:jc w:val="left"/>
            </w:pPr>
            <w:r>
              <w:t xml:space="preserve">1 (0.0)</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h1a, n (%)</w:t>
            </w:r>
          </w:p>
        </w:tc>
        <w:tc>
          <w:tcPr/>
          <w:p>
            <w:pPr>
              <w:pStyle w:val="Compact"/>
              <w:jc w:val="left"/>
            </w:pPr>
            <w:r>
              <w:t xml:space="preserve">7.0</w:t>
            </w:r>
          </w:p>
        </w:tc>
        <w:tc>
          <w:tcPr/>
          <w:p>
            <w:pPr>
              <w:pStyle w:val="Compact"/>
              <w:jc w:val="left"/>
            </w:pPr>
            <w:r>
              <w:t xml:space="preserve">nan</w:t>
            </w:r>
          </w:p>
        </w:tc>
        <w:tc>
          <w:tcPr/>
          <w:p>
            <w:pPr>
              <w:pStyle w:val="Compact"/>
              <w:jc w:val="left"/>
            </w:pPr>
            <w:r>
              <w:t xml:space="preserve">51 (1.6)</w:t>
            </w:r>
          </w:p>
        </w:tc>
        <w:tc>
          <w:tcPr/>
          <w:p>
            <w:pPr>
              <w:pStyle w:val="Compact"/>
              <w:jc w:val="left"/>
            </w:pPr>
            <w:r>
              <w:t xml:space="preserve">50 (1.8)</w:t>
            </w:r>
          </w:p>
        </w:tc>
        <w:tc>
          <w:tcPr/>
          <w:p>
            <w:pPr>
              <w:pStyle w:val="Compact"/>
              <w:jc w:val="left"/>
            </w:pPr>
            <w:r>
              <w:t xml:space="preserve">1 (0.2)</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h1a, n (%)</w:t>
            </w:r>
          </w:p>
        </w:tc>
        <w:tc>
          <w:tcPr/>
          <w:p>
            <w:pPr>
              <w:pStyle w:val="Compact"/>
              <w:jc w:val="left"/>
            </w:pPr>
            <w:r>
              <w:t xml:space="preserve">8.0</w:t>
            </w:r>
          </w:p>
        </w:tc>
        <w:tc>
          <w:tcPr/>
          <w:p>
            <w:pPr>
              <w:pStyle w:val="Compact"/>
              <w:jc w:val="left"/>
            </w:pPr>
            <w:r>
              <w:t xml:space="preserve">nan</w:t>
            </w:r>
          </w:p>
        </w:tc>
        <w:tc>
          <w:tcPr/>
          <w:p>
            <w:pPr>
              <w:pStyle w:val="Compact"/>
              <w:jc w:val="left"/>
            </w:pPr>
            <w:r>
              <w:t xml:space="preserve">14 (0.4)</w:t>
            </w:r>
          </w:p>
        </w:tc>
        <w:tc>
          <w:tcPr/>
          <w:p>
            <w:pPr>
              <w:pStyle w:val="Compact"/>
              <w:jc w:val="left"/>
            </w:pPr>
            <w:r>
              <w:t xml:space="preserve">7 (0.3)</w:t>
            </w:r>
          </w:p>
        </w:tc>
        <w:tc>
          <w:tcPr/>
          <w:p>
            <w:pPr>
              <w:pStyle w:val="Compact"/>
              <w:jc w:val="left"/>
            </w:pPr>
            <w:r>
              <w:t xml:space="preserve">7 (1.5)</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antenat, mean (SD)</w:t>
            </w:r>
          </w:p>
        </w:tc>
        <w:tc>
          <w:tcPr/>
          <w:p>
            <w:pPr>
              <w:pStyle w:val="Compact"/>
              <w:jc w:val="left"/>
            </w:pPr>
            <w:r>
              <w:t xml:space="preserve">nan</w:t>
            </w:r>
          </w:p>
        </w:tc>
        <w:tc>
          <w:tcPr/>
          <w:p>
            <w:pPr>
              <w:pStyle w:val="Compact"/>
              <w:jc w:val="left"/>
            </w:pPr>
            <w:r>
              <w:t xml:space="preserve">146</w:t>
            </w:r>
          </w:p>
        </w:tc>
        <w:tc>
          <w:tcPr/>
          <w:p>
            <w:pPr>
              <w:pStyle w:val="Compact"/>
              <w:jc w:val="left"/>
            </w:pPr>
            <w:r>
              <w:t xml:space="preserve">6.6 (5.2)</w:t>
            </w:r>
          </w:p>
        </w:tc>
        <w:tc>
          <w:tcPr/>
          <w:p>
            <w:pPr>
              <w:pStyle w:val="Compact"/>
              <w:jc w:val="left"/>
            </w:pPr>
            <w:r>
              <w:t xml:space="preserve">6.9 (5.3)</w:t>
            </w:r>
          </w:p>
        </w:tc>
        <w:tc>
          <w:tcPr/>
          <w:p>
            <w:pPr>
              <w:pStyle w:val="Compact"/>
              <w:jc w:val="left"/>
            </w:pPr>
            <w:r>
              <w:t xml:space="preserve">4.9 (4.4)</w:t>
            </w:r>
          </w:p>
        </w:tc>
        <w:tc>
          <w:tcPr/>
          <w:p>
            <w:pPr>
              <w:pStyle w:val="Compact"/>
              <w:jc w:val="left"/>
            </w:pPr>
            <w:r>
              <w:t xml:space="preserve">&lt;0.001</w:t>
            </w:r>
          </w:p>
        </w:tc>
        <w:tc>
          <w:tcPr/>
          <w:p>
            <w:pPr>
              <w:pStyle w:val="Compact"/>
              <w:jc w:val="left"/>
            </w:pPr>
            <w:r>
              <w:t xml:space="preserve">Welch’s T-test</w:t>
            </w:r>
          </w:p>
        </w:tc>
      </w:tr>
      <w:tr>
        <w:tc>
          <w:tcPr/>
          <w:p>
            <w:pPr>
              <w:pStyle w:val="Compact"/>
              <w:jc w:val="left"/>
            </w:pPr>
            <w:r>
              <w:t xml:space="preserve">facility_del, n (%)</w:t>
            </w:r>
          </w:p>
        </w:tc>
        <w:tc>
          <w:tcPr/>
          <w:p>
            <w:pPr>
              <w:pStyle w:val="Compact"/>
              <w:jc w:val="left"/>
            </w:pPr>
            <w:r>
              <w:t xml:space="preserve">0</w:t>
            </w:r>
          </w:p>
        </w:tc>
        <w:tc>
          <w:tcPr/>
          <w:p>
            <w:pPr>
              <w:pStyle w:val="Compact"/>
              <w:jc w:val="left"/>
            </w:pPr>
            <w:r>
              <w:t xml:space="preserve">nan</w:t>
            </w:r>
          </w:p>
        </w:tc>
        <w:tc>
          <w:tcPr/>
          <w:p>
            <w:pPr>
              <w:pStyle w:val="Compact"/>
              <w:jc w:val="left"/>
            </w:pPr>
            <w:r>
              <w:t xml:space="preserve">2112 (66.1)</w:t>
            </w:r>
          </w:p>
        </w:tc>
        <w:tc>
          <w:tcPr/>
          <w:p>
            <w:pPr>
              <w:pStyle w:val="Compact"/>
              <w:jc w:val="left"/>
            </w:pPr>
            <w:r>
              <w:t xml:space="preserve">1764 (64.8)</w:t>
            </w:r>
          </w:p>
        </w:tc>
        <w:tc>
          <w:tcPr/>
          <w:p>
            <w:pPr>
              <w:pStyle w:val="Compact"/>
              <w:jc w:val="left"/>
            </w:pPr>
            <w:r>
              <w:t xml:space="preserve">348 (73.7)</w:t>
            </w:r>
          </w:p>
        </w:tc>
        <w:tc>
          <w:tcPr/>
          <w:p>
            <w:pPr>
              <w:pStyle w:val="Compact"/>
              <w:jc w:val="left"/>
            </w:pPr>
            <w:r>
              <w:t xml:space="preserve">&lt;0.001</w:t>
            </w:r>
          </w:p>
        </w:tc>
        <w:tc>
          <w:tcPr/>
          <w:p>
            <w:pPr>
              <w:pStyle w:val="Compact"/>
              <w:jc w:val="left"/>
            </w:pPr>
            <w:r>
              <w:t xml:space="preserve">Chi-squared</w:t>
            </w:r>
          </w:p>
        </w:tc>
      </w:tr>
      <w:tr>
        <w:tc>
          <w:tcPr/>
          <w:p>
            <w:pPr>
              <w:pStyle w:val="Compact"/>
              <w:jc w:val="left"/>
            </w:pPr>
            <w:r>
              <w:t xml:space="preserve">facility_del, n (%)</w:t>
            </w:r>
          </w:p>
        </w:tc>
        <w:tc>
          <w:tcPr/>
          <w:p>
            <w:pPr>
              <w:pStyle w:val="Compact"/>
              <w:jc w:val="left"/>
            </w:pPr>
            <w:r>
              <w:t xml:space="preserve">1</w:t>
            </w:r>
          </w:p>
        </w:tc>
        <w:tc>
          <w:tcPr/>
          <w:p>
            <w:pPr>
              <w:pStyle w:val="Compact"/>
              <w:jc w:val="left"/>
            </w:pPr>
            <w:r>
              <w:t xml:space="preserve">nan</w:t>
            </w:r>
          </w:p>
        </w:tc>
        <w:tc>
          <w:tcPr/>
          <w:p>
            <w:pPr>
              <w:pStyle w:val="Compact"/>
              <w:jc w:val="left"/>
            </w:pPr>
            <w:r>
              <w:t xml:space="preserve">1082 (33.9)</w:t>
            </w:r>
          </w:p>
        </w:tc>
        <w:tc>
          <w:tcPr/>
          <w:p>
            <w:pPr>
              <w:pStyle w:val="Compact"/>
              <w:jc w:val="left"/>
            </w:pPr>
            <w:r>
              <w:t xml:space="preserve">958 (35.2)</w:t>
            </w:r>
          </w:p>
        </w:tc>
        <w:tc>
          <w:tcPr/>
          <w:p>
            <w:pPr>
              <w:pStyle w:val="Compact"/>
              <w:jc w:val="left"/>
            </w:pPr>
            <w:r>
              <w:t xml:space="preserve">124 (26.3)</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h34, n (%)</w:t>
            </w:r>
          </w:p>
        </w:tc>
        <w:tc>
          <w:tcPr/>
          <w:p>
            <w:pPr>
              <w:pStyle w:val="Compact"/>
              <w:jc w:val="left"/>
            </w:pPr>
            <w:r>
              <w:t xml:space="preserve">0.0</w:t>
            </w:r>
          </w:p>
        </w:tc>
        <w:tc>
          <w:tcPr/>
          <w:p>
            <w:pPr>
              <w:pStyle w:val="Compact"/>
              <w:jc w:val="left"/>
            </w:pPr>
            <w:r>
              <w:t xml:space="preserve">nan</w:t>
            </w:r>
          </w:p>
        </w:tc>
        <w:tc>
          <w:tcPr/>
          <w:p>
            <w:pPr>
              <w:pStyle w:val="Compact"/>
              <w:jc w:val="left"/>
            </w:pPr>
            <w:r>
              <w:t xml:space="preserve">1345 (42.1)</w:t>
            </w:r>
          </w:p>
        </w:tc>
        <w:tc>
          <w:tcPr/>
          <w:p>
            <w:pPr>
              <w:pStyle w:val="Compact"/>
              <w:jc w:val="left"/>
            </w:pPr>
            <w:r>
              <w:t xml:space="preserve">1096 (40.3)</w:t>
            </w:r>
          </w:p>
        </w:tc>
        <w:tc>
          <w:tcPr/>
          <w:p>
            <w:pPr>
              <w:pStyle w:val="Compact"/>
              <w:jc w:val="left"/>
            </w:pPr>
            <w:r>
              <w:t xml:space="preserve">249 (52.8)</w:t>
            </w:r>
          </w:p>
        </w:tc>
        <w:tc>
          <w:tcPr/>
          <w:p>
            <w:pPr>
              <w:pStyle w:val="Compact"/>
              <w:jc w:val="left"/>
            </w:pPr>
            <w:r>
              <w:t xml:space="preserve">&lt;0.001</w:t>
            </w:r>
          </w:p>
        </w:tc>
        <w:tc>
          <w:tcPr/>
          <w:p>
            <w:pPr>
              <w:pStyle w:val="Compact"/>
              <w:jc w:val="left"/>
            </w:pPr>
            <w:r>
              <w:t xml:space="preserve">Chi-squared (warning: expected count &lt; 5)</w:t>
            </w:r>
          </w:p>
        </w:tc>
      </w:tr>
      <w:tr>
        <w:tc>
          <w:tcPr/>
          <w:p>
            <w:pPr>
              <w:pStyle w:val="Compact"/>
              <w:jc w:val="left"/>
            </w:pPr>
            <w:r>
              <w:t xml:space="preserve">h34, n (%)</w:t>
            </w:r>
          </w:p>
        </w:tc>
        <w:tc>
          <w:tcPr/>
          <w:p>
            <w:pPr>
              <w:pStyle w:val="Compact"/>
              <w:jc w:val="left"/>
            </w:pPr>
            <w:r>
              <w:t xml:space="preserve">1.0</w:t>
            </w:r>
          </w:p>
        </w:tc>
        <w:tc>
          <w:tcPr/>
          <w:p>
            <w:pPr>
              <w:pStyle w:val="Compact"/>
              <w:jc w:val="left"/>
            </w:pPr>
            <w:r>
              <w:t xml:space="preserve">nan</w:t>
            </w:r>
          </w:p>
        </w:tc>
        <w:tc>
          <w:tcPr/>
          <w:p>
            <w:pPr>
              <w:pStyle w:val="Compact"/>
              <w:jc w:val="left"/>
            </w:pPr>
            <w:r>
              <w:t xml:space="preserve">1843 (57.7)</w:t>
            </w:r>
          </w:p>
        </w:tc>
        <w:tc>
          <w:tcPr/>
          <w:p>
            <w:pPr>
              <w:pStyle w:val="Compact"/>
              <w:jc w:val="left"/>
            </w:pPr>
            <w:r>
              <w:t xml:space="preserve">1623 (59.6)</w:t>
            </w:r>
          </w:p>
        </w:tc>
        <w:tc>
          <w:tcPr/>
          <w:p>
            <w:pPr>
              <w:pStyle w:val="Compact"/>
              <w:jc w:val="left"/>
            </w:pPr>
            <w:r>
              <w:t xml:space="preserve">220 (46.6)</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h34, n (%)</w:t>
            </w:r>
          </w:p>
        </w:tc>
        <w:tc>
          <w:tcPr/>
          <w:p>
            <w:pPr>
              <w:pStyle w:val="Compact"/>
              <w:jc w:val="left"/>
            </w:pPr>
            <w:r>
              <w:t xml:space="preserve">8.0</w:t>
            </w:r>
          </w:p>
        </w:tc>
        <w:tc>
          <w:tcPr/>
          <w:p>
            <w:pPr>
              <w:pStyle w:val="Compact"/>
              <w:jc w:val="left"/>
            </w:pPr>
            <w:r>
              <w:t xml:space="preserve">nan</w:t>
            </w:r>
          </w:p>
        </w:tc>
        <w:tc>
          <w:tcPr/>
          <w:p>
            <w:pPr>
              <w:pStyle w:val="Compact"/>
              <w:jc w:val="left"/>
            </w:pPr>
            <w:r>
              <w:t xml:space="preserve">6 (0.2)</w:t>
            </w:r>
          </w:p>
        </w:tc>
        <w:tc>
          <w:tcPr/>
          <w:p>
            <w:pPr>
              <w:pStyle w:val="Compact"/>
              <w:jc w:val="left"/>
            </w:pPr>
            <w:r>
              <w:t xml:space="preserve">3 (0.1)</w:t>
            </w:r>
          </w:p>
        </w:tc>
        <w:tc>
          <w:tcPr/>
          <w:p>
            <w:pPr>
              <w:pStyle w:val="Compact"/>
              <w:jc w:val="left"/>
            </w:pPr>
            <w:r>
              <w:t xml:space="preserve">3 (0.6)</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m70, n (%)</w:t>
            </w:r>
          </w:p>
        </w:tc>
        <w:tc>
          <w:tcPr/>
          <w:p>
            <w:pPr>
              <w:pStyle w:val="Compact"/>
              <w:jc w:val="left"/>
            </w:pPr>
            <w:r>
              <w:t xml:space="preserve">0.0</w:t>
            </w:r>
          </w:p>
        </w:tc>
        <w:tc>
          <w:tcPr/>
          <w:p>
            <w:pPr>
              <w:pStyle w:val="Compact"/>
              <w:jc w:val="left"/>
            </w:pPr>
            <w:r>
              <w:t xml:space="preserve">nan</w:t>
            </w:r>
          </w:p>
        </w:tc>
        <w:tc>
          <w:tcPr/>
          <w:p>
            <w:pPr>
              <w:pStyle w:val="Compact"/>
              <w:jc w:val="left"/>
            </w:pPr>
            <w:r>
              <w:t xml:space="preserve">2454 (76.8)</w:t>
            </w:r>
          </w:p>
        </w:tc>
        <w:tc>
          <w:tcPr/>
          <w:p>
            <w:pPr>
              <w:pStyle w:val="Compact"/>
              <w:jc w:val="left"/>
            </w:pPr>
            <w:r>
              <w:t xml:space="preserve">2078 (76.3)</w:t>
            </w:r>
          </w:p>
        </w:tc>
        <w:tc>
          <w:tcPr/>
          <w:p>
            <w:pPr>
              <w:pStyle w:val="Compact"/>
              <w:jc w:val="left"/>
            </w:pPr>
            <w:r>
              <w:t xml:space="preserve">376 (79.7)</w:t>
            </w:r>
          </w:p>
        </w:tc>
        <w:tc>
          <w:tcPr/>
          <w:p>
            <w:pPr>
              <w:pStyle w:val="Compact"/>
              <w:jc w:val="left"/>
            </w:pPr>
            <w:r>
              <w:t xml:space="preserve">0.218</w:t>
            </w:r>
          </w:p>
        </w:tc>
        <w:tc>
          <w:tcPr/>
          <w:p>
            <w:pPr>
              <w:pStyle w:val="Compact"/>
              <w:jc w:val="left"/>
            </w:pPr>
            <w:r>
              <w:t xml:space="preserve">Chi-squared (warning: expected count &lt; 5)</w:t>
            </w:r>
          </w:p>
        </w:tc>
      </w:tr>
      <w:tr>
        <w:tc>
          <w:tcPr/>
          <w:p>
            <w:pPr>
              <w:pStyle w:val="Compact"/>
              <w:jc w:val="left"/>
            </w:pPr>
            <w:r>
              <w:t xml:space="preserve">m70, n (%)</w:t>
            </w:r>
          </w:p>
        </w:tc>
        <w:tc>
          <w:tcPr/>
          <w:p>
            <w:pPr>
              <w:pStyle w:val="Compact"/>
              <w:jc w:val="left"/>
            </w:pPr>
            <w:r>
              <w:t xml:space="preserve">1.0</w:t>
            </w:r>
          </w:p>
        </w:tc>
        <w:tc>
          <w:tcPr/>
          <w:p>
            <w:pPr>
              <w:pStyle w:val="Compact"/>
              <w:jc w:val="left"/>
            </w:pPr>
            <w:r>
              <w:t xml:space="preserve">nan</w:t>
            </w:r>
          </w:p>
        </w:tc>
        <w:tc>
          <w:tcPr/>
          <w:p>
            <w:pPr>
              <w:pStyle w:val="Compact"/>
              <w:jc w:val="left"/>
            </w:pPr>
            <w:r>
              <w:t xml:space="preserve">588 (18.4)</w:t>
            </w:r>
          </w:p>
        </w:tc>
        <w:tc>
          <w:tcPr/>
          <w:p>
            <w:pPr>
              <w:pStyle w:val="Compact"/>
              <w:jc w:val="left"/>
            </w:pPr>
            <w:r>
              <w:t xml:space="preserve">507 (18.6)</w:t>
            </w:r>
          </w:p>
        </w:tc>
        <w:tc>
          <w:tcPr/>
          <w:p>
            <w:pPr>
              <w:pStyle w:val="Compact"/>
              <w:jc w:val="left"/>
            </w:pPr>
            <w:r>
              <w:t xml:space="preserve">81 (17.2)</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m70, n (%)</w:t>
            </w:r>
          </w:p>
        </w:tc>
        <w:tc>
          <w:tcPr/>
          <w:p>
            <w:pPr>
              <w:pStyle w:val="Compact"/>
              <w:jc w:val="left"/>
            </w:pPr>
            <w:r>
              <w:t xml:space="preserve">8.0</w:t>
            </w:r>
          </w:p>
        </w:tc>
        <w:tc>
          <w:tcPr/>
          <w:p>
            <w:pPr>
              <w:pStyle w:val="Compact"/>
              <w:jc w:val="left"/>
            </w:pPr>
            <w:r>
              <w:t xml:space="preserve">nan</w:t>
            </w:r>
          </w:p>
        </w:tc>
        <w:tc>
          <w:tcPr/>
          <w:p>
            <w:pPr>
              <w:pStyle w:val="Compact"/>
              <w:jc w:val="left"/>
            </w:pPr>
            <w:r>
              <w:t xml:space="preserve">6 (0.2)</w:t>
            </w:r>
          </w:p>
        </w:tc>
        <w:tc>
          <w:tcPr/>
          <w:p>
            <w:pPr>
              <w:pStyle w:val="Compact"/>
              <w:jc w:val="left"/>
            </w:pPr>
            <w:r>
              <w:t xml:space="preserve">6 (0.2)</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m70, n (%)</w:t>
            </w:r>
          </w:p>
        </w:tc>
        <w:tc>
          <w:tcPr/>
          <w:p>
            <w:pPr>
              <w:pStyle w:val="Compact"/>
              <w:jc w:val="left"/>
            </w:pPr>
            <w:r>
              <w:t xml:space="preserve">nan</w:t>
            </w:r>
          </w:p>
        </w:tc>
        <w:tc>
          <w:tcPr/>
          <w:p>
            <w:pPr>
              <w:pStyle w:val="Compact"/>
              <w:jc w:val="left"/>
            </w:pPr>
            <w:r>
              <w:t xml:space="preserve">nan</w:t>
            </w:r>
          </w:p>
        </w:tc>
        <w:tc>
          <w:tcPr/>
          <w:p>
            <w:pPr>
              <w:pStyle w:val="Compact"/>
              <w:jc w:val="left"/>
            </w:pPr>
            <w:r>
              <w:t xml:space="preserve">146 (4.6)</w:t>
            </w:r>
          </w:p>
        </w:tc>
        <w:tc>
          <w:tcPr/>
          <w:p>
            <w:pPr>
              <w:pStyle w:val="Compact"/>
              <w:jc w:val="left"/>
            </w:pPr>
            <w:r>
              <w:t xml:space="preserve">131 (4.8)</w:t>
            </w:r>
          </w:p>
        </w:tc>
        <w:tc>
          <w:tcPr/>
          <w:p>
            <w:pPr>
              <w:pStyle w:val="Compact"/>
              <w:jc w:val="left"/>
            </w:pPr>
            <w:r>
              <w:t xml:space="preserve">15 (3.2)</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m74, n (%)</w:t>
            </w:r>
          </w:p>
        </w:tc>
        <w:tc>
          <w:tcPr/>
          <w:p>
            <w:pPr>
              <w:pStyle w:val="Compact"/>
              <w:jc w:val="left"/>
            </w:pPr>
            <w:r>
              <w:t xml:space="preserve">0.0</w:t>
            </w:r>
          </w:p>
        </w:tc>
        <w:tc>
          <w:tcPr/>
          <w:p>
            <w:pPr>
              <w:pStyle w:val="Compact"/>
              <w:jc w:val="left"/>
            </w:pPr>
            <w:r>
              <w:t xml:space="preserve">nan</w:t>
            </w:r>
          </w:p>
        </w:tc>
        <w:tc>
          <w:tcPr/>
          <w:p>
            <w:pPr>
              <w:pStyle w:val="Compact"/>
              <w:jc w:val="left"/>
            </w:pPr>
            <w:r>
              <w:t xml:space="preserve">347 (10.9)</w:t>
            </w:r>
          </w:p>
        </w:tc>
        <w:tc>
          <w:tcPr/>
          <w:p>
            <w:pPr>
              <w:pStyle w:val="Compact"/>
              <w:jc w:val="left"/>
            </w:pPr>
            <w:r>
              <w:t xml:space="preserve">279 (10.2)</w:t>
            </w:r>
          </w:p>
        </w:tc>
        <w:tc>
          <w:tcPr/>
          <w:p>
            <w:pPr>
              <w:pStyle w:val="Compact"/>
              <w:jc w:val="left"/>
            </w:pPr>
            <w:r>
              <w:t xml:space="preserve">68 (14.4)</w:t>
            </w:r>
          </w:p>
        </w:tc>
        <w:tc>
          <w:tcPr/>
          <w:p>
            <w:pPr>
              <w:pStyle w:val="Compact"/>
              <w:jc w:val="left"/>
            </w:pPr>
            <w:r>
              <w:t xml:space="preserve">&lt;0.001</w:t>
            </w:r>
          </w:p>
        </w:tc>
        <w:tc>
          <w:tcPr/>
          <w:p>
            <w:pPr>
              <w:pStyle w:val="Compact"/>
              <w:jc w:val="left"/>
            </w:pPr>
            <w:r>
              <w:t xml:space="preserve">Chi-squared (warning: expected count &lt; 5)</w:t>
            </w:r>
          </w:p>
        </w:tc>
      </w:tr>
      <w:tr>
        <w:tc>
          <w:tcPr/>
          <w:p>
            <w:pPr>
              <w:pStyle w:val="Compact"/>
              <w:jc w:val="left"/>
            </w:pPr>
            <w:r>
              <w:t xml:space="preserve">m74, n (%)</w:t>
            </w:r>
          </w:p>
        </w:tc>
        <w:tc>
          <w:tcPr/>
          <w:p>
            <w:pPr>
              <w:pStyle w:val="Compact"/>
              <w:jc w:val="left"/>
            </w:pPr>
            <w:r>
              <w:t xml:space="preserve">1.0</w:t>
            </w:r>
          </w:p>
        </w:tc>
        <w:tc>
          <w:tcPr/>
          <w:p>
            <w:pPr>
              <w:pStyle w:val="Compact"/>
              <w:jc w:val="left"/>
            </w:pPr>
            <w:r>
              <w:t xml:space="preserve">nan</w:t>
            </w:r>
          </w:p>
        </w:tc>
        <w:tc>
          <w:tcPr/>
          <w:p>
            <w:pPr>
              <w:pStyle w:val="Compact"/>
              <w:jc w:val="left"/>
            </w:pPr>
            <w:r>
              <w:t xml:space="preserve">1501 (47.0)</w:t>
            </w:r>
          </w:p>
        </w:tc>
        <w:tc>
          <w:tcPr/>
          <w:p>
            <w:pPr>
              <w:pStyle w:val="Compact"/>
              <w:jc w:val="left"/>
            </w:pPr>
            <w:r>
              <w:t xml:space="preserve">1322 (48.6)</w:t>
            </w:r>
          </w:p>
        </w:tc>
        <w:tc>
          <w:tcPr/>
          <w:p>
            <w:pPr>
              <w:pStyle w:val="Compact"/>
              <w:jc w:val="left"/>
            </w:pPr>
            <w:r>
              <w:t xml:space="preserve">179 (37.9)</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m74, n (%)</w:t>
            </w:r>
          </w:p>
        </w:tc>
        <w:tc>
          <w:tcPr/>
          <w:p>
            <w:pPr>
              <w:pStyle w:val="Compact"/>
              <w:jc w:val="left"/>
            </w:pPr>
            <w:r>
              <w:t xml:space="preserve">8.0</w:t>
            </w:r>
          </w:p>
        </w:tc>
        <w:tc>
          <w:tcPr/>
          <w:p>
            <w:pPr>
              <w:pStyle w:val="Compact"/>
              <w:jc w:val="left"/>
            </w:pPr>
            <w:r>
              <w:t xml:space="preserve">nan</w:t>
            </w:r>
          </w:p>
        </w:tc>
        <w:tc>
          <w:tcPr/>
          <w:p>
            <w:pPr>
              <w:pStyle w:val="Compact"/>
              <w:jc w:val="left"/>
            </w:pPr>
            <w:r>
              <w:t xml:space="preserve">5 (0.2)</w:t>
            </w:r>
          </w:p>
        </w:tc>
        <w:tc>
          <w:tcPr/>
          <w:p>
            <w:pPr>
              <w:pStyle w:val="Compact"/>
              <w:jc w:val="left"/>
            </w:pPr>
            <w:r>
              <w:t xml:space="preserve">4 (0.1)</w:t>
            </w:r>
          </w:p>
        </w:tc>
        <w:tc>
          <w:tcPr/>
          <w:p>
            <w:pPr>
              <w:pStyle w:val="Compact"/>
              <w:jc w:val="left"/>
            </w:pPr>
            <w:r>
              <w:t xml:space="preserve">1 (0.2)</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m74, n (%)</w:t>
            </w:r>
          </w:p>
        </w:tc>
        <w:tc>
          <w:tcPr/>
          <w:p>
            <w:pPr>
              <w:pStyle w:val="Compact"/>
              <w:jc w:val="left"/>
            </w:pPr>
            <w:r>
              <w:t xml:space="preserve">nan</w:t>
            </w:r>
          </w:p>
        </w:tc>
        <w:tc>
          <w:tcPr/>
          <w:p>
            <w:pPr>
              <w:pStyle w:val="Compact"/>
              <w:jc w:val="left"/>
            </w:pPr>
            <w:r>
              <w:t xml:space="preserve">nan</w:t>
            </w:r>
          </w:p>
        </w:tc>
        <w:tc>
          <w:tcPr/>
          <w:p>
            <w:pPr>
              <w:pStyle w:val="Compact"/>
              <w:jc w:val="left"/>
            </w:pPr>
            <w:r>
              <w:t xml:space="preserve">1341 (42.0)</w:t>
            </w:r>
          </w:p>
        </w:tc>
        <w:tc>
          <w:tcPr/>
          <w:p>
            <w:pPr>
              <w:pStyle w:val="Compact"/>
              <w:jc w:val="left"/>
            </w:pPr>
            <w:r>
              <w:t xml:space="preserve">1117 (41.0)</w:t>
            </w:r>
          </w:p>
        </w:tc>
        <w:tc>
          <w:tcPr/>
          <w:p>
            <w:pPr>
              <w:pStyle w:val="Compact"/>
              <w:jc w:val="left"/>
            </w:pPr>
            <w:r>
              <w:t xml:space="preserve">224 (47.5)</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v393, n (%)</w:t>
            </w:r>
          </w:p>
        </w:tc>
        <w:tc>
          <w:tcPr/>
          <w:p>
            <w:pPr>
              <w:pStyle w:val="Compact"/>
              <w:jc w:val="left"/>
            </w:pPr>
            <w:r>
              <w:t xml:space="preserve">0</w:t>
            </w:r>
          </w:p>
        </w:tc>
        <w:tc>
          <w:tcPr/>
          <w:p>
            <w:pPr>
              <w:pStyle w:val="Compact"/>
              <w:jc w:val="left"/>
            </w:pPr>
            <w:r>
              <w:t xml:space="preserve">nan</w:t>
            </w:r>
          </w:p>
        </w:tc>
        <w:tc>
          <w:tcPr/>
          <w:p>
            <w:pPr>
              <w:pStyle w:val="Compact"/>
              <w:jc w:val="left"/>
            </w:pPr>
            <w:r>
              <w:t xml:space="preserve">2719 (85.1)</w:t>
            </w:r>
          </w:p>
        </w:tc>
        <w:tc>
          <w:tcPr/>
          <w:p>
            <w:pPr>
              <w:pStyle w:val="Compact"/>
              <w:jc w:val="left"/>
            </w:pPr>
            <w:r>
              <w:t xml:space="preserve">2318 (85.2)</w:t>
            </w:r>
          </w:p>
        </w:tc>
        <w:tc>
          <w:tcPr/>
          <w:p>
            <w:pPr>
              <w:pStyle w:val="Compact"/>
              <w:jc w:val="left"/>
            </w:pPr>
            <w:r>
              <w:t xml:space="preserve">401 (85.0)</w:t>
            </w:r>
          </w:p>
        </w:tc>
        <w:tc>
          <w:tcPr/>
          <w:p>
            <w:pPr>
              <w:pStyle w:val="Compact"/>
              <w:jc w:val="left"/>
            </w:pPr>
            <w:r>
              <w:t xml:space="preserve">0.966</w:t>
            </w:r>
          </w:p>
        </w:tc>
        <w:tc>
          <w:tcPr/>
          <w:p>
            <w:pPr>
              <w:pStyle w:val="Compact"/>
              <w:jc w:val="left"/>
            </w:pPr>
            <w:r>
              <w:t xml:space="preserve">Chi-squared</w:t>
            </w:r>
          </w:p>
        </w:tc>
      </w:tr>
      <w:tr>
        <w:tc>
          <w:tcPr/>
          <w:p>
            <w:pPr>
              <w:pStyle w:val="Compact"/>
              <w:jc w:val="left"/>
            </w:pPr>
            <w:r>
              <w:t xml:space="preserve">v393, n (%)</w:t>
            </w:r>
          </w:p>
        </w:tc>
        <w:tc>
          <w:tcPr/>
          <w:p>
            <w:pPr>
              <w:pStyle w:val="Compact"/>
              <w:jc w:val="left"/>
            </w:pPr>
            <w:r>
              <w:t xml:space="preserve">1</w:t>
            </w:r>
          </w:p>
        </w:tc>
        <w:tc>
          <w:tcPr/>
          <w:p>
            <w:pPr>
              <w:pStyle w:val="Compact"/>
              <w:jc w:val="left"/>
            </w:pPr>
            <w:r>
              <w:t xml:space="preserve">nan</w:t>
            </w:r>
          </w:p>
        </w:tc>
        <w:tc>
          <w:tcPr/>
          <w:p>
            <w:pPr>
              <w:pStyle w:val="Compact"/>
              <w:jc w:val="left"/>
            </w:pPr>
            <w:r>
              <w:t xml:space="preserve">475 (14.9)</w:t>
            </w:r>
          </w:p>
        </w:tc>
        <w:tc>
          <w:tcPr/>
          <w:p>
            <w:pPr>
              <w:pStyle w:val="Compact"/>
              <w:jc w:val="left"/>
            </w:pPr>
            <w:r>
              <w:t xml:space="preserve">404 (14.8)</w:t>
            </w:r>
          </w:p>
        </w:tc>
        <w:tc>
          <w:tcPr/>
          <w:p>
            <w:pPr>
              <w:pStyle w:val="Compact"/>
              <w:jc w:val="left"/>
            </w:pPr>
            <w:r>
              <w:t xml:space="preserve">71 (15.0)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h69, n (%)</w:t>
            </w:r>
          </w:p>
        </w:tc>
        <w:tc>
          <w:tcPr/>
          <w:p>
            <w:pPr>
              <w:pStyle w:val="Compact"/>
              <w:jc w:val="left"/>
            </w:pPr>
            <w:r>
              <w:t xml:space="preserve">11.0</w:t>
            </w:r>
          </w:p>
        </w:tc>
        <w:tc>
          <w:tcPr/>
          <w:p>
            <w:pPr>
              <w:pStyle w:val="Compact"/>
              <w:jc w:val="left"/>
            </w:pPr>
            <w:r>
              <w:t xml:space="preserve">nan</w:t>
            </w:r>
          </w:p>
        </w:tc>
        <w:tc>
          <w:tcPr/>
          <w:p>
            <w:pPr>
              <w:pStyle w:val="Compact"/>
              <w:jc w:val="left"/>
            </w:pPr>
            <w:r>
              <w:t xml:space="preserve">34 (1.1)</w:t>
            </w:r>
          </w:p>
        </w:tc>
        <w:tc>
          <w:tcPr/>
          <w:p>
            <w:pPr>
              <w:pStyle w:val="Compact"/>
              <w:jc w:val="left"/>
            </w:pPr>
            <w:r>
              <w:t xml:space="preserve">30 (1.1)</w:t>
            </w:r>
          </w:p>
        </w:tc>
        <w:tc>
          <w:tcPr/>
          <w:p>
            <w:pPr>
              <w:pStyle w:val="Compact"/>
              <w:jc w:val="left"/>
            </w:pPr>
            <w:r>
              <w:t xml:space="preserve">4 (0.8)</w:t>
            </w:r>
          </w:p>
        </w:tc>
        <w:tc>
          <w:tcPr/>
          <w:p>
            <w:pPr>
              <w:pStyle w:val="Compact"/>
              <w:jc w:val="left"/>
            </w:pPr>
            <w:r>
              <w:t xml:space="preserve">&lt;0.001</w:t>
            </w:r>
          </w:p>
        </w:tc>
        <w:tc>
          <w:tcPr/>
          <w:p>
            <w:pPr>
              <w:pStyle w:val="Compact"/>
              <w:jc w:val="left"/>
            </w:pPr>
            <w:r>
              <w:t xml:space="preserve">Chi-squared (warning: expected count &lt; 5)</w:t>
            </w:r>
          </w:p>
        </w:tc>
      </w:tr>
      <w:tr>
        <w:tc>
          <w:tcPr/>
          <w:p>
            <w:pPr>
              <w:pStyle w:val="Compact"/>
              <w:jc w:val="left"/>
            </w:pPr>
            <w:r>
              <w:t xml:space="preserve">h69, n (%)</w:t>
            </w:r>
          </w:p>
        </w:tc>
        <w:tc>
          <w:tcPr/>
          <w:p>
            <w:pPr>
              <w:pStyle w:val="Compact"/>
              <w:jc w:val="left"/>
            </w:pPr>
            <w:r>
              <w:t xml:space="preserve">12.0</w:t>
            </w:r>
          </w:p>
        </w:tc>
        <w:tc>
          <w:tcPr/>
          <w:p>
            <w:pPr>
              <w:pStyle w:val="Compact"/>
              <w:jc w:val="left"/>
            </w:pPr>
            <w:r>
              <w:t xml:space="preserve">nan</w:t>
            </w:r>
          </w:p>
        </w:tc>
        <w:tc>
          <w:tcPr/>
          <w:p>
            <w:pPr>
              <w:pStyle w:val="Compact"/>
              <w:jc w:val="left"/>
            </w:pPr>
            <w:r>
              <w:t xml:space="preserve">39 (1.2)</w:t>
            </w:r>
          </w:p>
        </w:tc>
        <w:tc>
          <w:tcPr/>
          <w:p>
            <w:pPr>
              <w:pStyle w:val="Compact"/>
              <w:jc w:val="left"/>
            </w:pPr>
            <w:r>
              <w:t xml:space="preserve">37 (1.4)</w:t>
            </w:r>
          </w:p>
        </w:tc>
        <w:tc>
          <w:tcPr/>
          <w:p>
            <w:pPr>
              <w:pStyle w:val="Compact"/>
              <w:jc w:val="left"/>
            </w:pPr>
            <w:r>
              <w:t xml:space="preserve">2 (0.4)</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h69, n (%)</w:t>
            </w:r>
          </w:p>
        </w:tc>
        <w:tc>
          <w:tcPr/>
          <w:p>
            <w:pPr>
              <w:pStyle w:val="Compact"/>
              <w:jc w:val="left"/>
            </w:pPr>
            <w:r>
              <w:t xml:space="preserve">13.0</w:t>
            </w:r>
          </w:p>
        </w:tc>
        <w:tc>
          <w:tcPr/>
          <w:p>
            <w:pPr>
              <w:pStyle w:val="Compact"/>
              <w:jc w:val="left"/>
            </w:pPr>
            <w:r>
              <w:t xml:space="preserve">nan</w:t>
            </w:r>
          </w:p>
        </w:tc>
        <w:tc>
          <w:tcPr/>
          <w:p>
            <w:pPr>
              <w:pStyle w:val="Compact"/>
              <w:jc w:val="left"/>
            </w:pPr>
            <w:r>
              <w:t xml:space="preserve">416 (13.0)</w:t>
            </w:r>
          </w:p>
        </w:tc>
        <w:tc>
          <w:tcPr/>
          <w:p>
            <w:pPr>
              <w:pStyle w:val="Compact"/>
              <w:jc w:val="left"/>
            </w:pPr>
            <w:r>
              <w:t xml:space="preserve">347 (12.7)</w:t>
            </w:r>
          </w:p>
        </w:tc>
        <w:tc>
          <w:tcPr/>
          <w:p>
            <w:pPr>
              <w:pStyle w:val="Compact"/>
              <w:jc w:val="left"/>
            </w:pPr>
            <w:r>
              <w:t xml:space="preserve">69 (14.6)</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h69, n (%)</w:t>
            </w:r>
          </w:p>
        </w:tc>
        <w:tc>
          <w:tcPr/>
          <w:p>
            <w:pPr>
              <w:pStyle w:val="Compact"/>
              <w:jc w:val="left"/>
            </w:pPr>
            <w:r>
              <w:t xml:space="preserve">14.0</w:t>
            </w:r>
          </w:p>
        </w:tc>
        <w:tc>
          <w:tcPr/>
          <w:p>
            <w:pPr>
              <w:pStyle w:val="Compact"/>
              <w:jc w:val="left"/>
            </w:pPr>
            <w:r>
              <w:t xml:space="preserve">nan</w:t>
            </w:r>
          </w:p>
        </w:tc>
        <w:tc>
          <w:tcPr/>
          <w:p>
            <w:pPr>
              <w:pStyle w:val="Compact"/>
              <w:jc w:val="left"/>
            </w:pPr>
            <w:r>
              <w:t xml:space="preserve">1819 (57.0)</w:t>
            </w:r>
          </w:p>
        </w:tc>
        <w:tc>
          <w:tcPr/>
          <w:p>
            <w:pPr>
              <w:pStyle w:val="Compact"/>
              <w:jc w:val="left"/>
            </w:pPr>
            <w:r>
              <w:t xml:space="preserve">1564 (57.5)</w:t>
            </w:r>
          </w:p>
        </w:tc>
        <w:tc>
          <w:tcPr/>
          <w:p>
            <w:pPr>
              <w:pStyle w:val="Compact"/>
              <w:jc w:val="left"/>
            </w:pPr>
            <w:r>
              <w:t xml:space="preserve">255 (54.0)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h69, n (%)</w:t>
            </w:r>
          </w:p>
        </w:tc>
        <w:tc>
          <w:tcPr/>
          <w:p>
            <w:pPr>
              <w:pStyle w:val="Compact"/>
              <w:jc w:val="left"/>
            </w:pPr>
            <w:r>
              <w:t xml:space="preserve">15.0</w:t>
            </w:r>
          </w:p>
        </w:tc>
        <w:tc>
          <w:tcPr/>
          <w:p>
            <w:pPr>
              <w:pStyle w:val="Compact"/>
              <w:jc w:val="left"/>
            </w:pPr>
            <w:r>
              <w:t xml:space="preserve">nan</w:t>
            </w:r>
          </w:p>
        </w:tc>
        <w:tc>
          <w:tcPr/>
          <w:p>
            <w:pPr>
              <w:pStyle w:val="Compact"/>
              <w:jc w:val="left"/>
            </w:pPr>
            <w:r>
              <w:t xml:space="preserve">446 (14.0)</w:t>
            </w:r>
          </w:p>
        </w:tc>
        <w:tc>
          <w:tcPr/>
          <w:p>
            <w:pPr>
              <w:pStyle w:val="Compact"/>
              <w:jc w:val="left"/>
            </w:pPr>
            <w:r>
              <w:t xml:space="preserve">381 (14.0)</w:t>
            </w:r>
          </w:p>
        </w:tc>
        <w:tc>
          <w:tcPr/>
          <w:p>
            <w:pPr>
              <w:pStyle w:val="Compact"/>
              <w:jc w:val="left"/>
            </w:pPr>
            <w:r>
              <w:t xml:space="preserve">65 (13.8)</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h69, n (%)</w:t>
            </w:r>
          </w:p>
        </w:tc>
        <w:tc>
          <w:tcPr/>
          <w:p>
            <w:pPr>
              <w:pStyle w:val="Compact"/>
              <w:jc w:val="left"/>
            </w:pPr>
            <w:r>
              <w:t xml:space="preserve">16.0</w:t>
            </w:r>
          </w:p>
        </w:tc>
        <w:tc>
          <w:tcPr/>
          <w:p>
            <w:pPr>
              <w:pStyle w:val="Compact"/>
              <w:jc w:val="left"/>
            </w:pPr>
            <w:r>
              <w:t xml:space="preserve">nan</w:t>
            </w:r>
          </w:p>
        </w:tc>
        <w:tc>
          <w:tcPr/>
          <w:p>
            <w:pPr>
              <w:pStyle w:val="Compact"/>
              <w:jc w:val="left"/>
            </w:pPr>
            <w:r>
              <w:t xml:space="preserve">100 (3.1)</w:t>
            </w:r>
          </w:p>
        </w:tc>
        <w:tc>
          <w:tcPr/>
          <w:p>
            <w:pPr>
              <w:pStyle w:val="Compact"/>
              <w:jc w:val="left"/>
            </w:pPr>
            <w:r>
              <w:t xml:space="preserve">90 (3.3)</w:t>
            </w:r>
          </w:p>
        </w:tc>
        <w:tc>
          <w:tcPr/>
          <w:p>
            <w:pPr>
              <w:pStyle w:val="Compact"/>
              <w:jc w:val="left"/>
            </w:pPr>
            <w:r>
              <w:t xml:space="preserve">10 (2.1)</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h69, n (%)</w:t>
            </w:r>
          </w:p>
        </w:tc>
        <w:tc>
          <w:tcPr/>
          <w:p>
            <w:pPr>
              <w:pStyle w:val="Compact"/>
              <w:jc w:val="left"/>
            </w:pPr>
            <w:r>
              <w:t xml:space="preserve">21.0</w:t>
            </w:r>
          </w:p>
        </w:tc>
        <w:tc>
          <w:tcPr/>
          <w:p>
            <w:pPr>
              <w:pStyle w:val="Compact"/>
              <w:jc w:val="left"/>
            </w:pPr>
            <w:r>
              <w:t xml:space="preserve">nan</w:t>
            </w:r>
          </w:p>
        </w:tc>
        <w:tc>
          <w:tcPr/>
          <w:p>
            <w:pPr>
              <w:pStyle w:val="Compact"/>
              <w:jc w:val="left"/>
            </w:pPr>
            <w:r>
              <w:t xml:space="preserve">174 (5.4)</w:t>
            </w:r>
          </w:p>
        </w:tc>
        <w:tc>
          <w:tcPr/>
          <w:p>
            <w:pPr>
              <w:pStyle w:val="Compact"/>
              <w:jc w:val="left"/>
            </w:pPr>
            <w:r>
              <w:t xml:space="preserve">155 (5.7)</w:t>
            </w:r>
          </w:p>
        </w:tc>
        <w:tc>
          <w:tcPr/>
          <w:p>
            <w:pPr>
              <w:pStyle w:val="Compact"/>
              <w:jc w:val="left"/>
            </w:pPr>
            <w:r>
              <w:t xml:space="preserve">19 (4.0)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h69, n (%)</w:t>
            </w:r>
          </w:p>
        </w:tc>
        <w:tc>
          <w:tcPr/>
          <w:p>
            <w:pPr>
              <w:pStyle w:val="Compact"/>
              <w:jc w:val="left"/>
            </w:pPr>
            <w:r>
              <w:t xml:space="preserve">22.0</w:t>
            </w:r>
          </w:p>
        </w:tc>
        <w:tc>
          <w:tcPr/>
          <w:p>
            <w:pPr>
              <w:pStyle w:val="Compact"/>
              <w:jc w:val="left"/>
            </w:pPr>
            <w:r>
              <w:t xml:space="preserve">nan</w:t>
            </w:r>
          </w:p>
        </w:tc>
        <w:tc>
          <w:tcPr/>
          <w:p>
            <w:pPr>
              <w:pStyle w:val="Compact"/>
              <w:jc w:val="left"/>
            </w:pPr>
            <w:r>
              <w:t xml:space="preserve">37 (1.2)</w:t>
            </w:r>
          </w:p>
        </w:tc>
        <w:tc>
          <w:tcPr/>
          <w:p>
            <w:pPr>
              <w:pStyle w:val="Compact"/>
              <w:jc w:val="left"/>
            </w:pPr>
            <w:r>
              <w:t xml:space="preserve">27 (1.0)</w:t>
            </w:r>
          </w:p>
        </w:tc>
        <w:tc>
          <w:tcPr/>
          <w:p>
            <w:pPr>
              <w:pStyle w:val="Compact"/>
              <w:jc w:val="left"/>
            </w:pPr>
            <w:r>
              <w:t xml:space="preserve">10 (2.1)</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h69, n (%)</w:t>
            </w:r>
          </w:p>
        </w:tc>
        <w:tc>
          <w:tcPr/>
          <w:p>
            <w:pPr>
              <w:pStyle w:val="Compact"/>
              <w:jc w:val="left"/>
            </w:pPr>
            <w:r>
              <w:t xml:space="preserve">23.0</w:t>
            </w:r>
          </w:p>
        </w:tc>
        <w:tc>
          <w:tcPr/>
          <w:p>
            <w:pPr>
              <w:pStyle w:val="Compact"/>
              <w:jc w:val="left"/>
            </w:pPr>
            <w:r>
              <w:t xml:space="preserve">nan</w:t>
            </w:r>
          </w:p>
        </w:tc>
        <w:tc>
          <w:tcPr/>
          <w:p>
            <w:pPr>
              <w:pStyle w:val="Compact"/>
              <w:jc w:val="left"/>
            </w:pPr>
            <w:r>
              <w:t xml:space="preserve">2 (0.1)</w:t>
            </w:r>
          </w:p>
        </w:tc>
        <w:tc>
          <w:tcPr/>
          <w:p>
            <w:pPr>
              <w:pStyle w:val="Compact"/>
              <w:jc w:val="left"/>
            </w:pPr>
            <w:r>
              <w:t xml:space="preserve">1 (0.0)</w:t>
            </w:r>
          </w:p>
        </w:tc>
        <w:tc>
          <w:tcPr/>
          <w:p>
            <w:pPr>
              <w:pStyle w:val="Compact"/>
              <w:jc w:val="left"/>
            </w:pPr>
            <w:r>
              <w:t xml:space="preserve">1 (0.2)</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h69, n (%)</w:t>
            </w:r>
          </w:p>
        </w:tc>
        <w:tc>
          <w:tcPr/>
          <w:p>
            <w:pPr>
              <w:pStyle w:val="Compact"/>
              <w:jc w:val="left"/>
            </w:pPr>
            <w:r>
              <w:t xml:space="preserve">24.0</w:t>
            </w:r>
          </w:p>
        </w:tc>
        <w:tc>
          <w:tcPr/>
          <w:p>
            <w:pPr>
              <w:pStyle w:val="Compact"/>
              <w:jc w:val="left"/>
            </w:pPr>
            <w:r>
              <w:t xml:space="preserve">nan</w:t>
            </w:r>
          </w:p>
        </w:tc>
        <w:tc>
          <w:tcPr/>
          <w:p>
            <w:pPr>
              <w:pStyle w:val="Compact"/>
              <w:jc w:val="left"/>
            </w:pPr>
            <w:r>
              <w:t xml:space="preserve">1 (0.0)</w:t>
            </w:r>
          </w:p>
        </w:tc>
        <w:tc>
          <w:tcPr/>
          <w:p>
            <w:pPr>
              <w:pStyle w:val="Compact"/>
              <w:jc w:val="left"/>
            </w:pPr>
            <w:r>
              <w:t xml:space="preserve">1 (0.0)</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h69, n (%)</w:t>
            </w:r>
          </w:p>
        </w:tc>
        <w:tc>
          <w:tcPr/>
          <w:p>
            <w:pPr>
              <w:pStyle w:val="Compact"/>
              <w:jc w:val="left"/>
            </w:pPr>
            <w:r>
              <w:t xml:space="preserve">25.0</w:t>
            </w:r>
          </w:p>
        </w:tc>
        <w:tc>
          <w:tcPr/>
          <w:p>
            <w:pPr>
              <w:pStyle w:val="Compact"/>
              <w:jc w:val="left"/>
            </w:pPr>
            <w:r>
              <w:t xml:space="preserve">nan</w:t>
            </w:r>
          </w:p>
        </w:tc>
        <w:tc>
          <w:tcPr/>
          <w:p>
            <w:pPr>
              <w:pStyle w:val="Compact"/>
              <w:jc w:val="left"/>
            </w:pPr>
            <w:r>
              <w:t xml:space="preserve">2 (0.1)</w:t>
            </w:r>
          </w:p>
        </w:tc>
        <w:tc>
          <w:tcPr/>
          <w:p>
            <w:pPr>
              <w:pStyle w:val="Compact"/>
              <w:jc w:val="left"/>
            </w:pPr>
            <w:r>
              <w:t xml:space="preserve">2 (0.1)</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h69, n (%)</w:t>
            </w:r>
          </w:p>
        </w:tc>
        <w:tc>
          <w:tcPr/>
          <w:p>
            <w:pPr>
              <w:pStyle w:val="Compact"/>
              <w:jc w:val="left"/>
            </w:pPr>
            <w:r>
              <w:t xml:space="preserve">26.0</w:t>
            </w:r>
          </w:p>
        </w:tc>
        <w:tc>
          <w:tcPr/>
          <w:p>
            <w:pPr>
              <w:pStyle w:val="Compact"/>
              <w:jc w:val="left"/>
            </w:pPr>
            <w:r>
              <w:t xml:space="preserve">nan</w:t>
            </w:r>
          </w:p>
        </w:tc>
        <w:tc>
          <w:tcPr/>
          <w:p>
            <w:pPr>
              <w:pStyle w:val="Compact"/>
              <w:jc w:val="left"/>
            </w:pPr>
            <w:r>
              <w:t xml:space="preserve">8 (0.3)</w:t>
            </w:r>
          </w:p>
        </w:tc>
        <w:tc>
          <w:tcPr/>
          <w:p>
            <w:pPr>
              <w:pStyle w:val="Compact"/>
              <w:jc w:val="left"/>
            </w:pPr>
            <w:r>
              <w:t xml:space="preserve">3 (0.1)</w:t>
            </w:r>
          </w:p>
        </w:tc>
        <w:tc>
          <w:tcPr/>
          <w:p>
            <w:pPr>
              <w:pStyle w:val="Compact"/>
              <w:jc w:val="left"/>
            </w:pPr>
            <w:r>
              <w:t xml:space="preserve">5 (1.1)</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h69, n (%)</w:t>
            </w:r>
          </w:p>
        </w:tc>
        <w:tc>
          <w:tcPr/>
          <w:p>
            <w:pPr>
              <w:pStyle w:val="Compact"/>
              <w:jc w:val="left"/>
            </w:pPr>
            <w:r>
              <w:t xml:space="preserve">27.0</w:t>
            </w:r>
          </w:p>
        </w:tc>
        <w:tc>
          <w:tcPr/>
          <w:p>
            <w:pPr>
              <w:pStyle w:val="Compact"/>
              <w:jc w:val="left"/>
            </w:pPr>
            <w:r>
              <w:t xml:space="preserve">nan</w:t>
            </w:r>
          </w:p>
        </w:tc>
        <w:tc>
          <w:tcPr/>
          <w:p>
            <w:pPr>
              <w:pStyle w:val="Compact"/>
              <w:jc w:val="left"/>
            </w:pPr>
            <w:r>
              <w:t xml:space="preserve">59 (1.8)</w:t>
            </w:r>
          </w:p>
        </w:tc>
        <w:tc>
          <w:tcPr/>
          <w:p>
            <w:pPr>
              <w:pStyle w:val="Compact"/>
              <w:jc w:val="left"/>
            </w:pPr>
            <w:r>
              <w:t xml:space="preserve">46 (1.7)</w:t>
            </w:r>
          </w:p>
        </w:tc>
        <w:tc>
          <w:tcPr/>
          <w:p>
            <w:pPr>
              <w:pStyle w:val="Compact"/>
              <w:jc w:val="left"/>
            </w:pPr>
            <w:r>
              <w:t xml:space="preserve">13 (2.8)</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h69, n (%)</w:t>
            </w:r>
          </w:p>
        </w:tc>
        <w:tc>
          <w:tcPr/>
          <w:p>
            <w:pPr>
              <w:pStyle w:val="Compact"/>
              <w:jc w:val="left"/>
            </w:pPr>
            <w:r>
              <w:t xml:space="preserve">31.0</w:t>
            </w:r>
          </w:p>
        </w:tc>
        <w:tc>
          <w:tcPr/>
          <w:p>
            <w:pPr>
              <w:pStyle w:val="Compact"/>
              <w:jc w:val="left"/>
            </w:pPr>
            <w:r>
              <w:t xml:space="preserve">nan</w:t>
            </w:r>
          </w:p>
        </w:tc>
        <w:tc>
          <w:tcPr/>
          <w:p>
            <w:pPr>
              <w:pStyle w:val="Compact"/>
              <w:jc w:val="left"/>
            </w:pPr>
            <w:r>
              <w:t xml:space="preserve">8 (0.3)</w:t>
            </w:r>
          </w:p>
        </w:tc>
        <w:tc>
          <w:tcPr/>
          <w:p>
            <w:pPr>
              <w:pStyle w:val="Compact"/>
              <w:jc w:val="left"/>
            </w:pPr>
            <w:r>
              <w:t xml:space="preserve">8 (0.3)</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h69, n (%)</w:t>
            </w:r>
          </w:p>
        </w:tc>
        <w:tc>
          <w:tcPr/>
          <w:p>
            <w:pPr>
              <w:pStyle w:val="Compact"/>
              <w:jc w:val="left"/>
            </w:pPr>
            <w:r>
              <w:t xml:space="preserve">32.0</w:t>
            </w:r>
          </w:p>
        </w:tc>
        <w:tc>
          <w:tcPr/>
          <w:p>
            <w:pPr>
              <w:pStyle w:val="Compact"/>
              <w:jc w:val="left"/>
            </w:pPr>
            <w:r>
              <w:t xml:space="preserve">nan</w:t>
            </w:r>
          </w:p>
        </w:tc>
        <w:tc>
          <w:tcPr/>
          <w:p>
            <w:pPr>
              <w:pStyle w:val="Compact"/>
              <w:jc w:val="left"/>
            </w:pPr>
            <w:r>
              <w:t xml:space="preserve">2 (0.1)</w:t>
            </w:r>
          </w:p>
        </w:tc>
        <w:tc>
          <w:tcPr/>
          <w:p>
            <w:pPr>
              <w:pStyle w:val="Compact"/>
              <w:jc w:val="left"/>
            </w:pPr>
            <w:r>
              <w:t xml:space="preserve">2 (0.1)</w:t>
            </w:r>
          </w:p>
        </w:tc>
        <w:tc>
          <w:tcPr/>
          <w:p>
            <w:pPr>
              <w:pStyle w:val="Compact"/>
              <w:jc w:val="left"/>
            </w:pPr>
            <w:r>
              <w:t xml:space="preserve">0 (0.0)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h69, n (%)</w:t>
            </w:r>
          </w:p>
        </w:tc>
        <w:tc>
          <w:tcPr/>
          <w:p>
            <w:pPr>
              <w:pStyle w:val="Compact"/>
              <w:jc w:val="left"/>
            </w:pPr>
            <w:r>
              <w:t xml:space="preserve">36.0</w:t>
            </w:r>
          </w:p>
        </w:tc>
        <w:tc>
          <w:tcPr/>
          <w:p>
            <w:pPr>
              <w:pStyle w:val="Compact"/>
              <w:jc w:val="left"/>
            </w:pPr>
            <w:r>
              <w:t xml:space="preserve">nan</w:t>
            </w:r>
          </w:p>
        </w:tc>
        <w:tc>
          <w:tcPr/>
          <w:p>
            <w:pPr>
              <w:pStyle w:val="Compact"/>
              <w:jc w:val="left"/>
            </w:pPr>
            <w:r>
              <w:t xml:space="preserve">10 (0.3)</w:t>
            </w:r>
          </w:p>
        </w:tc>
        <w:tc>
          <w:tcPr/>
          <w:p>
            <w:pPr>
              <w:pStyle w:val="Compact"/>
              <w:jc w:val="left"/>
            </w:pPr>
            <w:r>
              <w:t xml:space="preserve">4 (0.1)</w:t>
            </w:r>
          </w:p>
        </w:tc>
        <w:tc>
          <w:tcPr/>
          <w:p>
            <w:pPr>
              <w:pStyle w:val="Compact"/>
              <w:jc w:val="left"/>
            </w:pPr>
            <w:r>
              <w:t xml:space="preserve">6 (1.3)</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h69, n (%)</w:t>
            </w:r>
          </w:p>
        </w:tc>
        <w:tc>
          <w:tcPr/>
          <w:p>
            <w:pPr>
              <w:pStyle w:val="Compact"/>
              <w:jc w:val="left"/>
            </w:pPr>
            <w:r>
              <w:t xml:space="preserve">41.0</w:t>
            </w:r>
          </w:p>
        </w:tc>
        <w:tc>
          <w:tcPr/>
          <w:p>
            <w:pPr>
              <w:pStyle w:val="Compact"/>
              <w:jc w:val="left"/>
            </w:pPr>
            <w:r>
              <w:t xml:space="preserve">nan</w:t>
            </w:r>
          </w:p>
        </w:tc>
        <w:tc>
          <w:tcPr/>
          <w:p>
            <w:pPr>
              <w:pStyle w:val="Compact"/>
              <w:jc w:val="left"/>
            </w:pPr>
            <w:r>
              <w:t xml:space="preserve">37 (1.2)</w:t>
            </w:r>
          </w:p>
        </w:tc>
        <w:tc>
          <w:tcPr/>
          <w:p>
            <w:pPr>
              <w:pStyle w:val="Compact"/>
              <w:jc w:val="left"/>
            </w:pPr>
            <w:r>
              <w:t xml:space="preserve">24 (0.9)</w:t>
            </w:r>
          </w:p>
        </w:tc>
        <w:tc>
          <w:tcPr/>
          <w:p>
            <w:pPr>
              <w:pStyle w:val="Compact"/>
              <w:jc w:val="left"/>
            </w:pPr>
            <w:r>
              <w:t xml:space="preserve">13 (2.8)</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contact_count, mean (SD)</w:t>
            </w:r>
          </w:p>
        </w:tc>
        <w:tc>
          <w:tcPr/>
          <w:p>
            <w:pPr>
              <w:pStyle w:val="Compact"/>
              <w:jc w:val="left"/>
            </w:pPr>
            <w:r>
              <w:t xml:space="preserve">nan</w:t>
            </w:r>
          </w:p>
        </w:tc>
        <w:tc>
          <w:tcPr/>
          <w:p>
            <w:pPr>
              <w:pStyle w:val="Compact"/>
              <w:jc w:val="left"/>
            </w:pPr>
            <w:r>
              <w:t xml:space="preserve">0</w:t>
            </w:r>
          </w:p>
        </w:tc>
        <w:tc>
          <w:tcPr/>
          <w:p>
            <w:pPr>
              <w:pStyle w:val="Compact"/>
              <w:jc w:val="left"/>
            </w:pPr>
            <w:r>
              <w:t xml:space="preserve">6.7 (5.5)</w:t>
            </w:r>
          </w:p>
        </w:tc>
        <w:tc>
          <w:tcPr/>
          <w:p>
            <w:pPr>
              <w:pStyle w:val="Compact"/>
              <w:jc w:val="left"/>
            </w:pPr>
            <w:r>
              <w:t xml:space="preserve">7.0 (5.5)</w:t>
            </w:r>
          </w:p>
        </w:tc>
        <w:tc>
          <w:tcPr/>
          <w:p>
            <w:pPr>
              <w:pStyle w:val="Compact"/>
              <w:jc w:val="left"/>
            </w:pPr>
            <w:r>
              <w:t xml:space="preserve">5.0 (4.6)</w:t>
            </w:r>
          </w:p>
        </w:tc>
        <w:tc>
          <w:tcPr/>
          <w:p>
            <w:pPr>
              <w:pStyle w:val="Compact"/>
              <w:jc w:val="left"/>
            </w:pPr>
            <w:r>
              <w:t xml:space="preserve">&lt;0.001</w:t>
            </w:r>
          </w:p>
        </w:tc>
        <w:tc>
          <w:tcPr/>
          <w:p>
            <w:pPr>
              <w:pStyle w:val="Compact"/>
              <w:jc w:val="left"/>
            </w:pPr>
            <w:r>
              <w:t xml:space="preserve">Welch’s T-test</w:t>
            </w:r>
          </w:p>
        </w:tc>
      </w:tr>
      <w:tr>
        <w:tc>
          <w:tcPr/>
          <w:p>
            <w:pPr>
              <w:pStyle w:val="Compact"/>
              <w:jc w:val="left"/>
            </w:pPr>
            <w:r>
              <w:t xml:space="preserve">h11, n (%)</w:t>
            </w:r>
          </w:p>
        </w:tc>
        <w:tc>
          <w:tcPr/>
          <w:p>
            <w:pPr>
              <w:pStyle w:val="Compact"/>
              <w:jc w:val="left"/>
            </w:pPr>
            <w:r>
              <w:t xml:space="preserve">0.0</w:t>
            </w:r>
          </w:p>
        </w:tc>
        <w:tc>
          <w:tcPr/>
          <w:p>
            <w:pPr>
              <w:pStyle w:val="Compact"/>
              <w:jc w:val="left"/>
            </w:pPr>
            <w:r>
              <w:t xml:space="preserve">nan</w:t>
            </w:r>
          </w:p>
        </w:tc>
        <w:tc>
          <w:tcPr/>
          <w:p>
            <w:pPr>
              <w:pStyle w:val="Compact"/>
              <w:jc w:val="left"/>
            </w:pPr>
            <w:r>
              <w:t xml:space="preserve">2537 (79.4)</w:t>
            </w:r>
          </w:p>
        </w:tc>
        <w:tc>
          <w:tcPr/>
          <w:p>
            <w:pPr>
              <w:pStyle w:val="Compact"/>
              <w:jc w:val="left"/>
            </w:pPr>
            <w:r>
              <w:t xml:space="preserve">2160 (79.4)</w:t>
            </w:r>
          </w:p>
        </w:tc>
        <w:tc>
          <w:tcPr/>
          <w:p>
            <w:pPr>
              <w:pStyle w:val="Compact"/>
              <w:jc w:val="left"/>
            </w:pPr>
            <w:r>
              <w:t xml:space="preserve">377 (79.9)</w:t>
            </w:r>
          </w:p>
        </w:tc>
        <w:tc>
          <w:tcPr/>
          <w:p>
            <w:pPr>
              <w:pStyle w:val="Compact"/>
              <w:jc w:val="left"/>
            </w:pPr>
            <w:r>
              <w:t xml:space="preserve">0.632</w:t>
            </w:r>
          </w:p>
        </w:tc>
        <w:tc>
          <w:tcPr/>
          <w:p>
            <w:pPr>
              <w:pStyle w:val="Compact"/>
              <w:jc w:val="left"/>
            </w:pPr>
            <w:r>
              <w:t xml:space="preserve">Chi-squared (warning: expected count &lt; 5)</w:t>
            </w:r>
          </w:p>
        </w:tc>
      </w:tr>
      <w:tr>
        <w:tc>
          <w:tcPr/>
          <w:p>
            <w:pPr>
              <w:pStyle w:val="Compact"/>
              <w:jc w:val="left"/>
            </w:pPr>
            <w:r>
              <w:t xml:space="preserve">h11, n (%)</w:t>
            </w:r>
          </w:p>
        </w:tc>
        <w:tc>
          <w:tcPr/>
          <w:p>
            <w:pPr>
              <w:pStyle w:val="Compact"/>
              <w:jc w:val="left"/>
            </w:pPr>
            <w:r>
              <w:t xml:space="preserve">2.0</w:t>
            </w:r>
          </w:p>
        </w:tc>
        <w:tc>
          <w:tcPr/>
          <w:p>
            <w:pPr>
              <w:pStyle w:val="Compact"/>
              <w:jc w:val="left"/>
            </w:pPr>
            <w:r>
              <w:t xml:space="preserve">nan</w:t>
            </w:r>
          </w:p>
        </w:tc>
        <w:tc>
          <w:tcPr/>
          <w:p>
            <w:pPr>
              <w:pStyle w:val="Compact"/>
              <w:jc w:val="left"/>
            </w:pPr>
            <w:r>
              <w:t xml:space="preserve">654 (20.5)</w:t>
            </w:r>
          </w:p>
        </w:tc>
        <w:tc>
          <w:tcPr/>
          <w:p>
            <w:pPr>
              <w:pStyle w:val="Compact"/>
              <w:jc w:val="left"/>
            </w:pPr>
            <w:r>
              <w:t xml:space="preserve">560 (20.6)</w:t>
            </w:r>
          </w:p>
        </w:tc>
        <w:tc>
          <w:tcPr/>
          <w:p>
            <w:pPr>
              <w:pStyle w:val="Compact"/>
              <w:jc w:val="left"/>
            </w:pPr>
            <w:r>
              <w:t xml:space="preserve">94 (19.9)</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h11, n (%)</w:t>
            </w:r>
          </w:p>
        </w:tc>
        <w:tc>
          <w:tcPr/>
          <w:p>
            <w:pPr>
              <w:pStyle w:val="Compact"/>
              <w:jc w:val="left"/>
            </w:pPr>
            <w:r>
              <w:t xml:space="preserve">8.0</w:t>
            </w:r>
          </w:p>
        </w:tc>
        <w:tc>
          <w:tcPr/>
          <w:p>
            <w:pPr>
              <w:pStyle w:val="Compact"/>
              <w:jc w:val="left"/>
            </w:pPr>
            <w:r>
              <w:t xml:space="preserve">nan</w:t>
            </w:r>
          </w:p>
        </w:tc>
        <w:tc>
          <w:tcPr/>
          <w:p>
            <w:pPr>
              <w:pStyle w:val="Compact"/>
              <w:jc w:val="left"/>
            </w:pPr>
            <w:r>
              <w:t xml:space="preserve">3 (0.1)</w:t>
            </w:r>
          </w:p>
        </w:tc>
        <w:tc>
          <w:tcPr/>
          <w:p>
            <w:pPr>
              <w:pStyle w:val="Compact"/>
              <w:jc w:val="left"/>
            </w:pPr>
            <w:r>
              <w:t xml:space="preserve">2 (0.1)</w:t>
            </w:r>
          </w:p>
        </w:tc>
        <w:tc>
          <w:tcPr/>
          <w:p>
            <w:pPr>
              <w:pStyle w:val="Compact"/>
              <w:jc w:val="left"/>
            </w:pPr>
            <w:r>
              <w:t xml:space="preserve">1 (0.2)</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h22, n (%)</w:t>
            </w:r>
          </w:p>
        </w:tc>
        <w:tc>
          <w:tcPr/>
          <w:p>
            <w:pPr>
              <w:pStyle w:val="Compact"/>
              <w:jc w:val="left"/>
            </w:pPr>
            <w:r>
              <w:t xml:space="preserve">0.0</w:t>
            </w:r>
          </w:p>
        </w:tc>
        <w:tc>
          <w:tcPr/>
          <w:p>
            <w:pPr>
              <w:pStyle w:val="Compact"/>
              <w:jc w:val="left"/>
            </w:pPr>
            <w:r>
              <w:t xml:space="preserve">nan</w:t>
            </w:r>
          </w:p>
        </w:tc>
        <w:tc>
          <w:tcPr/>
          <w:p>
            <w:pPr>
              <w:pStyle w:val="Compact"/>
              <w:jc w:val="left"/>
            </w:pPr>
            <w:r>
              <w:t xml:space="preserve">2504 (78.4)</w:t>
            </w:r>
          </w:p>
        </w:tc>
        <w:tc>
          <w:tcPr/>
          <w:p>
            <w:pPr>
              <w:pStyle w:val="Compact"/>
              <w:jc w:val="left"/>
            </w:pPr>
            <w:r>
              <w:t xml:space="preserve">2124 (78.0)</w:t>
            </w:r>
          </w:p>
        </w:tc>
        <w:tc>
          <w:tcPr/>
          <w:p>
            <w:pPr>
              <w:pStyle w:val="Compact"/>
              <w:jc w:val="left"/>
            </w:pPr>
            <w:r>
              <w:t xml:space="preserve">380 (80.5)</w:t>
            </w:r>
          </w:p>
        </w:tc>
        <w:tc>
          <w:tcPr/>
          <w:p>
            <w:pPr>
              <w:pStyle w:val="Compact"/>
              <w:jc w:val="left"/>
            </w:pPr>
            <w:r>
              <w:t xml:space="preserve">0.165</w:t>
            </w:r>
          </w:p>
        </w:tc>
        <w:tc>
          <w:tcPr/>
          <w:p>
            <w:pPr>
              <w:pStyle w:val="Compact"/>
              <w:jc w:val="left"/>
            </w:pPr>
            <w:r>
              <w:t xml:space="preserve">Chi-squared (warning: expected count &lt; 5)</w:t>
            </w:r>
          </w:p>
        </w:tc>
      </w:tr>
      <w:tr>
        <w:tc>
          <w:tcPr/>
          <w:p>
            <w:pPr>
              <w:pStyle w:val="Compact"/>
              <w:jc w:val="left"/>
            </w:pPr>
            <w:r>
              <w:t xml:space="preserve">h22, n (%)</w:t>
            </w:r>
          </w:p>
        </w:tc>
        <w:tc>
          <w:tcPr/>
          <w:p>
            <w:pPr>
              <w:pStyle w:val="Compact"/>
              <w:jc w:val="left"/>
            </w:pPr>
            <w:r>
              <w:t xml:space="preserve">1.0</w:t>
            </w:r>
          </w:p>
        </w:tc>
        <w:tc>
          <w:tcPr/>
          <w:p>
            <w:pPr>
              <w:pStyle w:val="Compact"/>
              <w:jc w:val="left"/>
            </w:pPr>
            <w:r>
              <w:t xml:space="preserve">nan</w:t>
            </w:r>
          </w:p>
        </w:tc>
        <w:tc>
          <w:tcPr/>
          <w:p>
            <w:pPr>
              <w:pStyle w:val="Compact"/>
              <w:jc w:val="left"/>
            </w:pPr>
            <w:r>
              <w:t xml:space="preserve">688 (21.5)</w:t>
            </w:r>
          </w:p>
        </w:tc>
        <w:tc>
          <w:tcPr/>
          <w:p>
            <w:pPr>
              <w:pStyle w:val="Compact"/>
              <w:jc w:val="left"/>
            </w:pPr>
            <w:r>
              <w:t xml:space="preserve">597 (21.9)</w:t>
            </w:r>
          </w:p>
        </w:tc>
        <w:tc>
          <w:tcPr/>
          <w:p>
            <w:pPr>
              <w:pStyle w:val="Compact"/>
              <w:jc w:val="left"/>
            </w:pPr>
            <w:r>
              <w:t xml:space="preserve">91 (19.3)</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h22, n (%)</w:t>
            </w:r>
          </w:p>
        </w:tc>
        <w:tc>
          <w:tcPr/>
          <w:p>
            <w:pPr>
              <w:pStyle w:val="Compact"/>
              <w:jc w:val="left"/>
            </w:pPr>
            <w:r>
              <w:t xml:space="preserve">8.0</w:t>
            </w:r>
          </w:p>
        </w:tc>
        <w:tc>
          <w:tcPr/>
          <w:p>
            <w:pPr>
              <w:pStyle w:val="Compact"/>
              <w:jc w:val="left"/>
            </w:pPr>
            <w:r>
              <w:t xml:space="preserve">nan</w:t>
            </w:r>
          </w:p>
        </w:tc>
        <w:tc>
          <w:tcPr/>
          <w:p>
            <w:pPr>
              <w:pStyle w:val="Compact"/>
              <w:jc w:val="left"/>
            </w:pPr>
            <w:r>
              <w:t xml:space="preserve">2 (0.1)</w:t>
            </w:r>
          </w:p>
        </w:tc>
        <w:tc>
          <w:tcPr/>
          <w:p>
            <w:pPr>
              <w:pStyle w:val="Compact"/>
              <w:jc w:val="left"/>
            </w:pPr>
            <w:r>
              <w:t xml:space="preserve">1 (0.0)</w:t>
            </w:r>
          </w:p>
        </w:tc>
        <w:tc>
          <w:tcPr/>
          <w:p>
            <w:pPr>
              <w:pStyle w:val="Compact"/>
              <w:jc w:val="left"/>
            </w:pPr>
            <w:r>
              <w:t xml:space="preserve">1 (0.2)</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zone_label, n (%)</w:t>
            </w:r>
          </w:p>
        </w:tc>
        <w:tc>
          <w:tcPr/>
          <w:p>
            <w:pPr>
              <w:pStyle w:val="Compact"/>
              <w:jc w:val="left"/>
            </w:pPr>
            <w:r>
              <w:t xml:space="preserve">North Central</w:t>
            </w:r>
          </w:p>
        </w:tc>
        <w:tc>
          <w:tcPr/>
          <w:p>
            <w:pPr>
              <w:pStyle w:val="Compact"/>
              <w:jc w:val="left"/>
            </w:pPr>
            <w:r>
              <w:t xml:space="preserve">nan</w:t>
            </w:r>
          </w:p>
        </w:tc>
        <w:tc>
          <w:tcPr/>
          <w:p>
            <w:pPr>
              <w:pStyle w:val="Compact"/>
              <w:jc w:val="left"/>
            </w:pPr>
            <w:r>
              <w:t xml:space="preserve">541 (16.9)</w:t>
            </w:r>
          </w:p>
        </w:tc>
        <w:tc>
          <w:tcPr/>
          <w:p>
            <w:pPr>
              <w:pStyle w:val="Compact"/>
              <w:jc w:val="left"/>
            </w:pPr>
            <w:r>
              <w:t xml:space="preserve">430 (15.8)</w:t>
            </w:r>
          </w:p>
        </w:tc>
        <w:tc>
          <w:tcPr/>
          <w:p>
            <w:pPr>
              <w:pStyle w:val="Compact"/>
              <w:jc w:val="left"/>
            </w:pPr>
            <w:r>
              <w:t xml:space="preserve">111 (23.5)</w:t>
            </w:r>
          </w:p>
        </w:tc>
        <w:tc>
          <w:tcPr/>
          <w:p>
            <w:pPr>
              <w:pStyle w:val="Compact"/>
              <w:jc w:val="left"/>
            </w:pPr>
            <w:r>
              <w:t xml:space="preserve">&lt;0.001</w:t>
            </w:r>
          </w:p>
        </w:tc>
        <w:tc>
          <w:tcPr/>
          <w:p>
            <w:pPr>
              <w:pStyle w:val="Compact"/>
              <w:jc w:val="left"/>
            </w:pPr>
            <w:r>
              <w:t xml:space="preserve">Chi-squared</w:t>
            </w:r>
          </w:p>
        </w:tc>
      </w:tr>
      <w:tr>
        <w:tc>
          <w:tcPr/>
          <w:p>
            <w:pPr>
              <w:pStyle w:val="Compact"/>
              <w:jc w:val="left"/>
            </w:pPr>
            <w:r>
              <w:t xml:space="preserve">zone_label, n (%)</w:t>
            </w:r>
          </w:p>
        </w:tc>
        <w:tc>
          <w:tcPr/>
          <w:p>
            <w:pPr>
              <w:pStyle w:val="Compact"/>
              <w:jc w:val="left"/>
            </w:pPr>
            <w:r>
              <w:t xml:space="preserve">North East</w:t>
            </w:r>
          </w:p>
        </w:tc>
        <w:tc>
          <w:tcPr/>
          <w:p>
            <w:pPr>
              <w:pStyle w:val="Compact"/>
              <w:jc w:val="left"/>
            </w:pPr>
            <w:r>
              <w:t xml:space="preserve">nan</w:t>
            </w:r>
          </w:p>
        </w:tc>
        <w:tc>
          <w:tcPr/>
          <w:p>
            <w:pPr>
              <w:pStyle w:val="Compact"/>
              <w:jc w:val="left"/>
            </w:pPr>
            <w:r>
              <w:t xml:space="preserve">659 (20.6)</w:t>
            </w:r>
          </w:p>
        </w:tc>
        <w:tc>
          <w:tcPr/>
          <w:p>
            <w:pPr>
              <w:pStyle w:val="Compact"/>
              <w:jc w:val="left"/>
            </w:pPr>
            <w:r>
              <w:t xml:space="preserve">549 (20.2)</w:t>
            </w:r>
          </w:p>
        </w:tc>
        <w:tc>
          <w:tcPr/>
          <w:p>
            <w:pPr>
              <w:pStyle w:val="Compact"/>
              <w:jc w:val="left"/>
            </w:pPr>
            <w:r>
              <w:t xml:space="preserve">110 (23.3)</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zone_label, n (%)</w:t>
            </w:r>
          </w:p>
        </w:tc>
        <w:tc>
          <w:tcPr/>
          <w:p>
            <w:pPr>
              <w:pStyle w:val="Compact"/>
              <w:jc w:val="left"/>
            </w:pPr>
            <w:r>
              <w:t xml:space="preserve">North West</w:t>
            </w:r>
          </w:p>
        </w:tc>
        <w:tc>
          <w:tcPr/>
          <w:p>
            <w:pPr>
              <w:pStyle w:val="Compact"/>
              <w:jc w:val="left"/>
            </w:pPr>
            <w:r>
              <w:t xml:space="preserve">nan</w:t>
            </w:r>
          </w:p>
        </w:tc>
        <w:tc>
          <w:tcPr/>
          <w:p>
            <w:pPr>
              <w:pStyle w:val="Compact"/>
              <w:jc w:val="left"/>
            </w:pPr>
            <w:r>
              <w:t xml:space="preserve">635 (19.9)</w:t>
            </w:r>
          </w:p>
        </w:tc>
        <w:tc>
          <w:tcPr/>
          <w:p>
            <w:pPr>
              <w:pStyle w:val="Compact"/>
              <w:jc w:val="left"/>
            </w:pPr>
            <w:r>
              <w:t xml:space="preserve">550 (20.2)</w:t>
            </w:r>
          </w:p>
        </w:tc>
        <w:tc>
          <w:tcPr/>
          <w:p>
            <w:pPr>
              <w:pStyle w:val="Compact"/>
              <w:jc w:val="left"/>
            </w:pPr>
            <w:r>
              <w:t xml:space="preserve">85 (18.0)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zone_label, n (%)</w:t>
            </w:r>
          </w:p>
        </w:tc>
        <w:tc>
          <w:tcPr/>
          <w:p>
            <w:pPr>
              <w:pStyle w:val="Compact"/>
              <w:jc w:val="left"/>
            </w:pPr>
            <w:r>
              <w:t xml:space="preserve">South East</w:t>
            </w:r>
          </w:p>
        </w:tc>
        <w:tc>
          <w:tcPr/>
          <w:p>
            <w:pPr>
              <w:pStyle w:val="Compact"/>
              <w:jc w:val="left"/>
            </w:pPr>
            <w:r>
              <w:t xml:space="preserve">nan</w:t>
            </w:r>
          </w:p>
        </w:tc>
        <w:tc>
          <w:tcPr/>
          <w:p>
            <w:pPr>
              <w:pStyle w:val="Compact"/>
              <w:jc w:val="left"/>
            </w:pPr>
            <w:r>
              <w:t xml:space="preserve">505 (15.8)</w:t>
            </w:r>
          </w:p>
        </w:tc>
        <w:tc>
          <w:tcPr/>
          <w:p>
            <w:pPr>
              <w:pStyle w:val="Compact"/>
              <w:jc w:val="left"/>
            </w:pPr>
            <w:r>
              <w:t xml:space="preserve">439 (16.1)</w:t>
            </w:r>
          </w:p>
        </w:tc>
        <w:tc>
          <w:tcPr/>
          <w:p>
            <w:pPr>
              <w:pStyle w:val="Compact"/>
              <w:jc w:val="left"/>
            </w:pPr>
            <w:r>
              <w:t xml:space="preserve">66 (14.0)</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zone_label, n (%)</w:t>
            </w:r>
          </w:p>
        </w:tc>
        <w:tc>
          <w:tcPr/>
          <w:p>
            <w:pPr>
              <w:pStyle w:val="Compact"/>
              <w:jc w:val="left"/>
            </w:pPr>
            <w:r>
              <w:t xml:space="preserve">South South</w:t>
            </w:r>
          </w:p>
        </w:tc>
        <w:tc>
          <w:tcPr/>
          <w:p>
            <w:pPr>
              <w:pStyle w:val="Compact"/>
              <w:jc w:val="left"/>
            </w:pPr>
            <w:r>
              <w:t xml:space="preserve">nan</w:t>
            </w:r>
          </w:p>
        </w:tc>
        <w:tc>
          <w:tcPr/>
          <w:p>
            <w:pPr>
              <w:pStyle w:val="Compact"/>
              <w:jc w:val="left"/>
            </w:pPr>
            <w:r>
              <w:t xml:space="preserve">454 (14.2)</w:t>
            </w:r>
          </w:p>
        </w:tc>
        <w:tc>
          <w:tcPr/>
          <w:p>
            <w:pPr>
              <w:pStyle w:val="Compact"/>
              <w:jc w:val="left"/>
            </w:pPr>
            <w:r>
              <w:t xml:space="preserve">409 (15.0)</w:t>
            </w:r>
          </w:p>
        </w:tc>
        <w:tc>
          <w:tcPr/>
          <w:p>
            <w:pPr>
              <w:pStyle w:val="Compact"/>
              <w:jc w:val="left"/>
            </w:pPr>
            <w:r>
              <w:t xml:space="preserve">45 (9.5)</w:t>
            </w:r>
          </w:p>
        </w:tc>
        <w:tc>
          <w:tcPr/>
          <w:p>
            <w:pPr>
              <w:pStyle w:val="Compact"/>
              <w:jc w:val="left"/>
            </w:pPr>
            <w:r>
              <w:t xml:space="preserve">nan</w:t>
            </w:r>
          </w:p>
        </w:tc>
        <w:tc>
          <w:tcPr/>
          <w:p>
            <w:pPr>
              <w:pStyle w:val="Compact"/>
              <w:jc w:val="left"/>
            </w:pPr>
            <w:r>
              <w:t xml:space="preserve">nan</w:t>
            </w:r>
          </w:p>
        </w:tc>
      </w:tr>
      <w:tr>
        <w:tc>
          <w:tcPr/>
          <w:p>
            <w:pPr>
              <w:pStyle w:val="Compact"/>
              <w:jc w:val="left"/>
            </w:pPr>
            <w:r>
              <w:t xml:space="preserve">zone_label, n (%)</w:t>
            </w:r>
          </w:p>
        </w:tc>
        <w:tc>
          <w:tcPr/>
          <w:p>
            <w:pPr>
              <w:pStyle w:val="Compact"/>
              <w:jc w:val="left"/>
            </w:pPr>
            <w:r>
              <w:t xml:space="preserve">South West</w:t>
            </w:r>
          </w:p>
        </w:tc>
        <w:tc>
          <w:tcPr/>
          <w:p>
            <w:pPr>
              <w:pStyle w:val="Compact"/>
              <w:jc w:val="left"/>
            </w:pPr>
            <w:r>
              <w:t xml:space="preserve">nan</w:t>
            </w:r>
          </w:p>
        </w:tc>
        <w:tc>
          <w:tcPr/>
          <w:p>
            <w:pPr>
              <w:pStyle w:val="Compact"/>
              <w:jc w:val="left"/>
            </w:pPr>
            <w:r>
              <w:t xml:space="preserve">400 (12.5)</w:t>
            </w:r>
          </w:p>
        </w:tc>
        <w:tc>
          <w:tcPr/>
          <w:p>
            <w:pPr>
              <w:pStyle w:val="Compact"/>
              <w:jc w:val="left"/>
            </w:pPr>
            <w:r>
              <w:t xml:space="preserve">345 (12.7)</w:t>
            </w:r>
          </w:p>
        </w:tc>
        <w:tc>
          <w:tcPr/>
          <w:p>
            <w:pPr>
              <w:pStyle w:val="Compact"/>
              <w:jc w:val="left"/>
            </w:pPr>
            <w:r>
              <w:t xml:space="preserve">55 (11.7)</w:t>
            </w:r>
          </w:p>
        </w:tc>
        <w:tc>
          <w:tcPr/>
          <w:p>
            <w:pPr>
              <w:pStyle w:val="Compact"/>
              <w:jc w:val="left"/>
            </w:pPr>
            <w:r>
              <w:t xml:space="preserve">nan</w:t>
            </w:r>
          </w:p>
        </w:tc>
        <w:tc>
          <w:tcPr/>
          <w:p>
            <w:pPr>
              <w:pStyle w:val="Compact"/>
              <w:jc w:val="left"/>
            </w:pPr>
            <w:r>
              <w:t xml:space="preserve">nan</w:t>
            </w:r>
          </w:p>
        </w:tc>
      </w:tr>
    </w:tbl>
    <w:p>
      <w:pPr>
        <w:pStyle w:val="BodyText"/>
      </w:pPr>
      <w:r>
        <w:rPr>
          <w:i/>
          <w:iCs/>
        </w:rPr>
        <w:t xml:space="preserve">Values are n (%) for categorical and mean (SD) for continuous variables. Survey-weighted estimates applied sample weight v005/1,000,000.</w:t>
      </w:r>
    </w:p>
    <w:p>
      <w:r>
        <w:pict>
          <v:rect style="width:0;height:1.5pt" o:hralign="center" o:hrstd="t" o:hr="t"/>
        </w:pict>
      </w:r>
    </w:p>
    <w:p>
      <w:pPr>
        <w:pStyle w:val="FirstParagraph"/>
      </w:pPr>
      <w:r>
        <w:rPr>
          <w:b/>
          <w:bCs/>
        </w:rPr>
        <w:t xml:space="preserve">Table 2.</w:t>
      </w:r>
      <w:r>
        <w:t xml:space="preserve"> </w:t>
      </w:r>
      <w:r>
        <w:t xml:space="preserve">Prediction-model discrimination and calibration for DTP1→DTP2 (T1) and DTP2→DTP3 (T2) transitions, with 95 % confidence intervals from 1,000-sample bootstrap. Brier score and calibration slope reported pre- and post-isotonic recalibration.</w:t>
      </w:r>
    </w:p>
    <w:tbl>
      <w:tblPr>
        <w:tblStyle w:val="Table"/>
        <w:tblW w:type="pct" w:w="5000"/>
        <w:tblLayout w:type="fixed"/>
        <w:tblLook w:firstRow="1" w:lastRow="0" w:firstColumn="0" w:lastColumn="0" w:noHBand="0" w:noVBand="0" w:val="0020"/>
      </w:tblPr>
      <w:tblGrid>
        <w:gridCol w:w="938"/>
        <w:gridCol w:w="352"/>
        <w:gridCol w:w="821"/>
        <w:gridCol w:w="1232"/>
        <w:gridCol w:w="1232"/>
        <w:gridCol w:w="1525"/>
        <w:gridCol w:w="1818"/>
      </w:tblGrid>
      <w:tr>
        <w:trPr>
          <w:tblHeader w:val="on"/>
        </w:trPr>
        <w:tc>
          <w:tcPr/>
          <w:p>
            <w:pPr>
              <w:pStyle w:val="Compact"/>
              <w:jc w:val="left"/>
            </w:pPr>
            <w:r>
              <w:t xml:space="preserve">Transition</w:t>
            </w:r>
          </w:p>
        </w:tc>
        <w:tc>
          <w:tcPr/>
          <w:p>
            <w:pPr>
              <w:pStyle w:val="Compact"/>
              <w:jc w:val="right"/>
            </w:pPr>
            <w:r>
              <w:t xml:space="preserve">N</w:t>
            </w:r>
          </w:p>
        </w:tc>
        <w:tc>
          <w:tcPr/>
          <w:p>
            <w:pPr>
              <w:pStyle w:val="Compact"/>
              <w:jc w:val="right"/>
            </w:pPr>
            <w:r>
              <w:t xml:space="preserve">Prevalence</w:t>
            </w:r>
          </w:p>
        </w:tc>
        <w:tc>
          <w:tcPr/>
          <w:p>
            <w:pPr>
              <w:pStyle w:val="Compact"/>
              <w:jc w:val="left"/>
            </w:pPr>
            <w:r>
              <w:t xml:space="preserve">AUROC (95% CI)</w:t>
            </w:r>
          </w:p>
        </w:tc>
        <w:tc>
          <w:tcPr/>
          <w:p>
            <w:pPr>
              <w:pStyle w:val="Compact"/>
              <w:jc w:val="left"/>
            </w:pPr>
            <w:r>
              <w:t xml:space="preserve">AUPRC (95% CI)</w:t>
            </w:r>
          </w:p>
        </w:tc>
        <w:tc>
          <w:tcPr/>
          <w:p>
            <w:pPr>
              <w:pStyle w:val="Compact"/>
              <w:jc w:val="left"/>
            </w:pPr>
            <w:r>
              <w:t xml:space="preserve">Brier (orig. → recal.)</w:t>
            </w:r>
          </w:p>
        </w:tc>
        <w:tc>
          <w:tcPr/>
          <w:p>
            <w:pPr>
              <w:pStyle w:val="Compact"/>
              <w:jc w:val="left"/>
            </w:pPr>
            <w:r>
              <w:t xml:space="preserve">Cal. slope (orig. → recal.)</w:t>
            </w:r>
          </w:p>
        </w:tc>
      </w:tr>
      <w:tr>
        <w:tc>
          <w:tcPr/>
          <w:p>
            <w:pPr>
              <w:pStyle w:val="Compact"/>
              <w:jc w:val="left"/>
            </w:pPr>
            <w:r>
              <w:t xml:space="preserve">T1 (DTP1→DTP2)</w:t>
            </w:r>
          </w:p>
        </w:tc>
        <w:tc>
          <w:tcPr/>
          <w:p>
            <w:pPr>
              <w:pStyle w:val="Compact"/>
              <w:jc w:val="right"/>
            </w:pPr>
            <w:r>
              <w:t xml:space="preserve">3194</w:t>
            </w:r>
          </w:p>
        </w:tc>
        <w:tc>
          <w:tcPr/>
          <w:p>
            <w:pPr>
              <w:pStyle w:val="Compact"/>
              <w:jc w:val="right"/>
            </w:pPr>
            <w:r>
              <w:t xml:space="preserve">0.0401</w:t>
            </w:r>
          </w:p>
        </w:tc>
        <w:tc>
          <w:tcPr/>
          <w:p>
            <w:pPr>
              <w:pStyle w:val="Compact"/>
              <w:jc w:val="left"/>
            </w:pPr>
            <w:r>
              <w:t xml:space="preserve">0.910 (0.885–0.932)</w:t>
            </w:r>
          </w:p>
        </w:tc>
        <w:tc>
          <w:tcPr/>
          <w:p>
            <w:pPr>
              <w:pStyle w:val="Compact"/>
              <w:jc w:val="left"/>
            </w:pPr>
            <w:r>
              <w:t xml:space="preserve">0.299 (0.230–0.387)</w:t>
            </w:r>
          </w:p>
        </w:tc>
        <w:tc>
          <w:tcPr/>
          <w:p>
            <w:pPr>
              <w:pStyle w:val="Compact"/>
              <w:jc w:val="left"/>
            </w:pPr>
            <w:r>
              <w:t xml:space="preserve">0.0358 → 0.0319</w:t>
            </w:r>
          </w:p>
        </w:tc>
        <w:tc>
          <w:tcPr/>
          <w:p>
            <w:pPr>
              <w:pStyle w:val="Compact"/>
              <w:jc w:val="left"/>
            </w:pPr>
            <w:r>
              <w:t xml:space="preserve">0.874 → 0.959</w:t>
            </w:r>
          </w:p>
        </w:tc>
      </w:tr>
      <w:tr>
        <w:tc>
          <w:tcPr/>
          <w:p>
            <w:pPr>
              <w:pStyle w:val="Compact"/>
              <w:jc w:val="left"/>
            </w:pPr>
            <w:r>
              <w:t xml:space="preserve">T2 (DTP2→DTP3)</w:t>
            </w:r>
          </w:p>
        </w:tc>
        <w:tc>
          <w:tcPr/>
          <w:p>
            <w:pPr>
              <w:pStyle w:val="Compact"/>
              <w:jc w:val="right"/>
            </w:pPr>
            <w:r>
              <w:t xml:space="preserve">3023</w:t>
            </w:r>
          </w:p>
        </w:tc>
        <w:tc>
          <w:tcPr/>
          <w:p>
            <w:pPr>
              <w:pStyle w:val="Compact"/>
              <w:jc w:val="right"/>
            </w:pPr>
            <w:r>
              <w:t xml:space="preserve">0.0394</w:t>
            </w:r>
          </w:p>
        </w:tc>
        <w:tc>
          <w:tcPr/>
          <w:p>
            <w:pPr>
              <w:pStyle w:val="Compact"/>
              <w:jc w:val="left"/>
            </w:pPr>
            <w:r>
              <w:t xml:space="preserve">0.943 (0.929–0.957)</w:t>
            </w:r>
          </w:p>
        </w:tc>
        <w:tc>
          <w:tcPr/>
          <w:p>
            <w:pPr>
              <w:pStyle w:val="Compact"/>
              <w:jc w:val="left"/>
            </w:pPr>
            <w:r>
              <w:t xml:space="preserve">0.548 (0.454–0.640)</w:t>
            </w:r>
          </w:p>
        </w:tc>
        <w:tc>
          <w:tcPr/>
          <w:p>
            <w:pPr>
              <w:pStyle w:val="Compact"/>
              <w:jc w:val="left"/>
            </w:pPr>
            <w:r>
              <w:t xml:space="preserve">0.0274 → 0.0255</w:t>
            </w:r>
          </w:p>
        </w:tc>
        <w:tc>
          <w:tcPr/>
          <w:p>
            <w:pPr>
              <w:pStyle w:val="Compact"/>
              <w:jc w:val="left"/>
            </w:pPr>
            <w:r>
              <w:t xml:space="preserve">1.596 → 0.969</w:t>
            </w:r>
          </w:p>
        </w:tc>
      </w:tr>
    </w:tbl>
    <w:p>
      <w:pPr>
        <w:pStyle w:val="BodyText"/>
      </w:pPr>
      <w:r>
        <w:rPr>
          <w:i/>
          <w:iCs/>
        </w:rPr>
        <w:t xml:space="preserve">AUROC = area under receiver-operating-characteristic curve; AUPRC = area under precision-recall curve.</w:t>
      </w:r>
    </w:p>
    <w:p>
      <w:r>
        <w:pict>
          <v:rect style="width:0;height:1.5pt" o:hralign="center" o:hrstd="t" o:hr="t"/>
        </w:pict>
      </w:r>
    </w:p>
    <w:p>
      <w:pPr>
        <w:pStyle w:val="FirstParagraph"/>
      </w:pPr>
      <w:r>
        <w:rPr>
          <w:b/>
          <w:bCs/>
        </w:rPr>
        <w:t xml:space="preserve">Table 3.</w:t>
      </w:r>
      <w:r>
        <w:t xml:space="preserve"> </w:t>
      </w:r>
      <w:r>
        <w:t xml:space="preserve">Microsimulation results for scenarios S0–S5 with 1,000-iteration probabilistic sensitivity analysis. DTP3 coverage and cost per child reported as mean with 95 % bootstrap CI.</w:t>
      </w:r>
    </w:p>
    <w:tbl>
      <w:tblPr>
        <w:tblStyle w:val="Table"/>
        <w:tblW w:type="pct" w:w="5000"/>
        <w:tblLayout w:type="fixed"/>
        <w:tblLook w:firstRow="1" w:lastRow="0" w:firstColumn="0" w:lastColumn="0" w:noHBand="0" w:noVBand="0" w:val="0020"/>
      </w:tblPr>
      <w:tblGrid>
        <w:gridCol w:w="1428"/>
        <w:gridCol w:w="2012"/>
        <w:gridCol w:w="2337"/>
        <w:gridCol w:w="2142"/>
      </w:tblGrid>
      <w:tr>
        <w:trPr>
          <w:tblHeader w:val="on"/>
        </w:trPr>
        <w:tc>
          <w:tcPr/>
          <w:p>
            <w:pPr>
              <w:pStyle w:val="Compact"/>
              <w:jc w:val="left"/>
            </w:pPr>
            <w:r>
              <w:t xml:space="preserve">Scenario</w:t>
            </w:r>
          </w:p>
        </w:tc>
        <w:tc>
          <w:tcPr/>
          <w:p>
            <w:pPr>
              <w:pStyle w:val="Compact"/>
              <w:jc w:val="left"/>
            </w:pPr>
            <w:r>
              <w:t xml:space="preserve">DTP3 coverage mean (95% CI)</w:t>
            </w:r>
          </w:p>
        </w:tc>
        <w:tc>
          <w:tcPr/>
          <w:p>
            <w:pPr>
              <w:pStyle w:val="Compact"/>
              <w:jc w:val="left"/>
            </w:pPr>
            <w:r>
              <w:t xml:space="preserve">Cost per child (₦) mean (95% CI)</w:t>
            </w:r>
          </w:p>
        </w:tc>
        <w:tc>
          <w:tcPr/>
          <w:p>
            <w:pPr>
              <w:pStyle w:val="Compact"/>
              <w:jc w:val="left"/>
            </w:pPr>
            <w:r>
              <w:t xml:space="preserve">ICER vs S0 (₦ per % coverage)</w:t>
            </w:r>
          </w:p>
        </w:tc>
      </w:tr>
      <w:tr>
        <w:tc>
          <w:tcPr/>
          <w:p>
            <w:pPr>
              <w:pStyle w:val="Compact"/>
              <w:jc w:val="left"/>
            </w:pPr>
            <w:r>
              <w:t xml:space="preserve">S0: Status Quo</w:t>
            </w:r>
          </w:p>
        </w:tc>
        <w:tc>
          <w:tcPr/>
          <w:p>
            <w:pPr>
              <w:pStyle w:val="Compact"/>
              <w:jc w:val="left"/>
            </w:pPr>
            <w:r>
              <w:t xml:space="preserve">0.914 (0.902–0.925)</w:t>
            </w:r>
          </w:p>
        </w:tc>
        <w:tc>
          <w:tcPr/>
          <w:p>
            <w:pPr>
              <w:pStyle w:val="Compact"/>
              <w:jc w:val="left"/>
            </w:pPr>
            <w:r>
              <w:t xml:space="preserve">0 (0–0)</w:t>
            </w:r>
          </w:p>
        </w:tc>
        <w:tc>
          <w:tcPr/>
          <w:p>
            <w:pPr>
              <w:pStyle w:val="Compact"/>
              <w:jc w:val="left"/>
            </w:pPr>
            <w:r>
              <w:t xml:space="preserve">—</w:t>
            </w:r>
          </w:p>
        </w:tc>
      </w:tr>
      <w:tr>
        <w:tc>
          <w:tcPr/>
          <w:p>
            <w:pPr>
              <w:pStyle w:val="Compact"/>
              <w:jc w:val="left"/>
            </w:pPr>
            <w:r>
              <w:t xml:space="preserve">S1: Uniform SMS</w:t>
            </w:r>
          </w:p>
        </w:tc>
        <w:tc>
          <w:tcPr/>
          <w:p>
            <w:pPr>
              <w:pStyle w:val="Compact"/>
              <w:jc w:val="left"/>
            </w:pPr>
            <w:r>
              <w:t xml:space="preserve">0.921 (0.910–0.932)</w:t>
            </w:r>
          </w:p>
        </w:tc>
        <w:tc>
          <w:tcPr/>
          <w:p>
            <w:pPr>
              <w:pStyle w:val="Compact"/>
              <w:jc w:val="left"/>
            </w:pPr>
            <w:r>
              <w:t xml:space="preserve">101 (57–157)</w:t>
            </w:r>
          </w:p>
        </w:tc>
        <w:tc>
          <w:tcPr/>
          <w:p>
            <w:pPr>
              <w:pStyle w:val="Compact"/>
              <w:jc w:val="left"/>
            </w:pPr>
            <w:r>
              <w:t xml:space="preserve">137</w:t>
            </w:r>
          </w:p>
        </w:tc>
      </w:tr>
      <w:tr>
        <w:tc>
          <w:tcPr/>
          <w:p>
            <w:pPr>
              <w:pStyle w:val="Compact"/>
              <w:jc w:val="left"/>
            </w:pPr>
            <w:r>
              <w:t xml:space="preserve">S2: Uniform CHW</w:t>
            </w:r>
          </w:p>
        </w:tc>
        <w:tc>
          <w:tcPr/>
          <w:p>
            <w:pPr>
              <w:pStyle w:val="Compact"/>
              <w:jc w:val="left"/>
            </w:pPr>
            <w:r>
              <w:t xml:space="preserve">0.929 (0.918–0.939)</w:t>
            </w:r>
          </w:p>
        </w:tc>
        <w:tc>
          <w:tcPr/>
          <w:p>
            <w:pPr>
              <w:pStyle w:val="Compact"/>
              <w:jc w:val="left"/>
            </w:pPr>
            <w:r>
              <w:t xml:space="preserve">1013 (569–1572)</w:t>
            </w:r>
          </w:p>
        </w:tc>
        <w:tc>
          <w:tcPr/>
          <w:p>
            <w:pPr>
              <w:pStyle w:val="Compact"/>
              <w:jc w:val="left"/>
            </w:pPr>
            <w:r>
              <w:t xml:space="preserve">673</w:t>
            </w:r>
          </w:p>
        </w:tc>
      </w:tr>
      <w:tr>
        <w:tc>
          <w:tcPr/>
          <w:p>
            <w:pPr>
              <w:pStyle w:val="Compact"/>
              <w:jc w:val="left"/>
            </w:pPr>
            <w:r>
              <w:t xml:space="preserve">S3: Risk-Targeted</w:t>
            </w:r>
          </w:p>
        </w:tc>
        <w:tc>
          <w:tcPr/>
          <w:p>
            <w:pPr>
              <w:pStyle w:val="Compact"/>
              <w:jc w:val="left"/>
            </w:pPr>
            <w:r>
              <w:t xml:space="preserve">0.929 (0.918–0.939)</w:t>
            </w:r>
          </w:p>
        </w:tc>
        <w:tc>
          <w:tcPr/>
          <w:p>
            <w:pPr>
              <w:pStyle w:val="Compact"/>
              <w:jc w:val="left"/>
            </w:pPr>
            <w:r>
              <w:t xml:space="preserve">445 (271–654)</w:t>
            </w:r>
          </w:p>
        </w:tc>
        <w:tc>
          <w:tcPr/>
          <w:p>
            <w:pPr>
              <w:pStyle w:val="Compact"/>
              <w:jc w:val="left"/>
            </w:pPr>
            <w:r>
              <w:t xml:space="preserve">301</w:t>
            </w:r>
          </w:p>
        </w:tc>
      </w:tr>
      <w:tr>
        <w:tc>
          <w:tcPr/>
          <w:p>
            <w:pPr>
              <w:pStyle w:val="Compact"/>
              <w:jc w:val="left"/>
            </w:pPr>
            <w:r>
              <w:t xml:space="preserve">S4: RL-Optimised</w:t>
            </w:r>
          </w:p>
        </w:tc>
        <w:tc>
          <w:tcPr/>
          <w:p>
            <w:pPr>
              <w:pStyle w:val="Compact"/>
              <w:jc w:val="left"/>
            </w:pPr>
            <w:r>
              <w:t xml:space="preserve">0.925 (0.914–0.935)</w:t>
            </w:r>
          </w:p>
        </w:tc>
        <w:tc>
          <w:tcPr/>
          <w:p>
            <w:pPr>
              <w:pStyle w:val="Compact"/>
              <w:jc w:val="left"/>
            </w:pPr>
            <w:r>
              <w:t xml:space="preserve">748 (428–1148)</w:t>
            </w:r>
          </w:p>
        </w:tc>
        <w:tc>
          <w:tcPr/>
          <w:p>
            <w:pPr>
              <w:pStyle w:val="Compact"/>
              <w:jc w:val="left"/>
            </w:pPr>
            <w:r>
              <w:t xml:space="preserve">699</w:t>
            </w:r>
          </w:p>
        </w:tc>
      </w:tr>
      <w:tr>
        <w:tc>
          <w:tcPr/>
          <w:p>
            <w:pPr>
              <w:pStyle w:val="Compact"/>
              <w:jc w:val="left"/>
            </w:pPr>
            <w:r>
              <w:t xml:space="preserve">S5: Bandit-Allocated</w:t>
            </w:r>
          </w:p>
        </w:tc>
        <w:tc>
          <w:tcPr/>
          <w:p>
            <w:pPr>
              <w:pStyle w:val="Compact"/>
              <w:jc w:val="left"/>
            </w:pPr>
            <w:r>
              <w:t xml:space="preserve">0.929 (0.918–0.939)</w:t>
            </w:r>
          </w:p>
        </w:tc>
        <w:tc>
          <w:tcPr/>
          <w:p>
            <w:pPr>
              <w:pStyle w:val="Compact"/>
              <w:jc w:val="left"/>
            </w:pPr>
            <w:r>
              <w:t xml:space="preserve">605 (363–909)</w:t>
            </w:r>
          </w:p>
        </w:tc>
        <w:tc>
          <w:tcPr/>
          <w:p>
            <w:pPr>
              <w:pStyle w:val="Compact"/>
              <w:jc w:val="left"/>
            </w:pPr>
            <w:r>
              <w:t xml:space="preserve">404</w:t>
            </w:r>
          </w:p>
        </w:tc>
      </w:tr>
    </w:tbl>
    <w:p>
      <w:pPr>
        <w:pStyle w:val="BodyText"/>
      </w:pPr>
      <w:r>
        <w:rPr>
          <w:i/>
          <w:iCs/>
        </w:rPr>
        <w:t xml:space="preserve">ICER = incremental cost-effectiveness ratio. Cost-effectiveness probability at willingness-to-pay λ = ₦50,000 per additional child fully vaccinated shown in Figure 4 (CEAC).</w:t>
      </w:r>
    </w:p>
    <w:p>
      <w:r>
        <w:pict>
          <v:rect style="width:0;height:1.5pt" o:hralign="center" o:hrstd="t" o:hr="t"/>
        </w:pict>
      </w:r>
    </w:p>
    <w:p>
      <w:pPr>
        <w:pStyle w:val="FirstParagraph"/>
      </w:pPr>
      <w:r>
        <w:rPr>
          <w:b/>
          <w:bCs/>
        </w:rPr>
        <w:t xml:space="preserve">Table 4.</w:t>
      </w:r>
      <w:r>
        <w:t xml:space="preserve"> </w:t>
      </w:r>
      <w:r>
        <w:t xml:space="preserve">One-way deterministic sensitivity of key parameters on DTP3 coverage (tornado analysis, top ten by absolute range).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parameter</w:t>
            </w:r>
          </w:p>
        </w:tc>
        <w:tc>
          <w:tcPr/>
          <w:p>
            <w:pPr>
              <w:pStyle w:val="Compact"/>
              <w:jc w:val="right"/>
            </w:pPr>
            <w:r>
              <w:t xml:space="preserve">low</w:t>
            </w:r>
          </w:p>
        </w:tc>
        <w:tc>
          <w:tcPr/>
          <w:p>
            <w:pPr>
              <w:pStyle w:val="Compact"/>
              <w:jc w:val="right"/>
            </w:pPr>
            <w:r>
              <w:t xml:space="preserve">high</w:t>
            </w:r>
          </w:p>
        </w:tc>
        <w:tc>
          <w:tcPr/>
          <w:p>
            <w:pPr>
              <w:pStyle w:val="Compact"/>
              <w:jc w:val="right"/>
            </w:pPr>
            <w:r>
              <w:t xml:space="preserve">base</w:t>
            </w:r>
          </w:p>
        </w:tc>
        <w:tc>
          <w:tcPr/>
          <w:p>
            <w:pPr>
              <w:pStyle w:val="Compact"/>
              <w:jc w:val="right"/>
            </w:pPr>
            <w:r>
              <w:t xml:space="preserve">range</w:t>
            </w:r>
          </w:p>
        </w:tc>
      </w:tr>
      <w:tr>
        <w:tc>
          <w:tcPr/>
          <w:p>
            <w:pPr>
              <w:pStyle w:val="Compact"/>
              <w:jc w:val="left"/>
            </w:pPr>
            <w:r>
              <w:t xml:space="preserve">RRR (-25%)</w:t>
            </w:r>
          </w:p>
        </w:tc>
        <w:tc>
          <w:tcPr/>
          <w:p>
            <w:pPr>
              <w:pStyle w:val="Compact"/>
              <w:jc w:val="right"/>
            </w:pPr>
            <w:r>
              <w:t xml:space="preserve">0.9201</w:t>
            </w:r>
          </w:p>
        </w:tc>
        <w:tc>
          <w:tcPr/>
          <w:p>
            <w:pPr>
              <w:pStyle w:val="Compact"/>
              <w:jc w:val="right"/>
            </w:pPr>
            <w:r>
              <w:t xml:space="preserve">0.9277</w:t>
            </w:r>
          </w:p>
        </w:tc>
        <w:tc>
          <w:tcPr/>
          <w:p>
            <w:pPr>
              <w:pStyle w:val="Compact"/>
              <w:jc w:val="right"/>
            </w:pPr>
            <w:r>
              <w:t xml:space="preserve">0.9241</w:t>
            </w:r>
          </w:p>
        </w:tc>
        <w:tc>
          <w:tcPr/>
          <w:p>
            <w:pPr>
              <w:pStyle w:val="Compact"/>
              <w:jc w:val="right"/>
            </w:pPr>
            <w:r>
              <w:t xml:space="preserve">0.0076</w:t>
            </w:r>
          </w:p>
        </w:tc>
      </w:tr>
      <w:tr>
        <w:tc>
          <w:tcPr/>
          <w:p>
            <w:pPr>
              <w:pStyle w:val="Compact"/>
              <w:jc w:val="left"/>
            </w:pPr>
            <w:r>
              <w:t xml:space="preserve">Cost (-25%)</w:t>
            </w:r>
          </w:p>
        </w:tc>
        <w:tc>
          <w:tcPr/>
          <w:p>
            <w:pPr>
              <w:pStyle w:val="Compact"/>
              <w:jc w:val="right"/>
            </w:pPr>
            <w:r>
              <w:t xml:space="preserve">0.9238</w:t>
            </w:r>
          </w:p>
        </w:tc>
        <w:tc>
          <w:tcPr/>
          <w:p>
            <w:pPr>
              <w:pStyle w:val="Compact"/>
              <w:jc w:val="right"/>
            </w:pPr>
            <w:r>
              <w:t xml:space="preserve">0.9238</w:t>
            </w:r>
          </w:p>
        </w:tc>
        <w:tc>
          <w:tcPr/>
          <w:p>
            <w:pPr>
              <w:pStyle w:val="Compact"/>
              <w:jc w:val="right"/>
            </w:pPr>
            <w:r>
              <w:t xml:space="preserve">0.9241</w:t>
            </w:r>
          </w:p>
        </w:tc>
        <w:tc>
          <w:tcPr/>
          <w:p>
            <w:pPr>
              <w:pStyle w:val="Compact"/>
              <w:jc w:val="right"/>
            </w:pPr>
            <w:r>
              <w:t xml:space="preserve">0.0000</w:t>
            </w:r>
          </w:p>
        </w:tc>
      </w:tr>
    </w:tbl>
    <w:p>
      <w:pPr>
        <w:pStyle w:val="BodyText"/>
      </w:pPr>
      <w:r>
        <w:rPr>
          <w:i/>
          <w:iCs/>
        </w:rPr>
        <w:t xml:space="preserve">Low/high ranges varied ±25 % around base values; base values taken from literature review (see supplementary Table S2.1).</w:t>
      </w:r>
    </w:p>
    <w:bookmarkEnd w:id="54"/>
    <w:bookmarkStart w:id="55" w:name="supplementary-materials"/>
    <w:p>
      <w:pPr>
        <w:pStyle w:val="Heading2"/>
      </w:pPr>
      <w:r>
        <w:t xml:space="preserve">Supplementary Materials</w:t>
      </w:r>
    </w:p>
    <w:p>
      <w:pPr>
        <w:pStyle w:val="FirstParagraph"/>
      </w:pPr>
      <w:r>
        <w:t xml:space="preserve">The following supporting information accompanies this article: Figure S1 (Calibration T1 pre-recalibration); Figure S2 (Calibration T1 post-recalibration); Figure S3 (Calibration T2 pre-recalibration); Figure S4 (Calibration T2 post-recalibration); Figure S5 (SHAP beeswarm T1); Figure S6 (SHAP beeswarm T2); Figure S7 (FQI convergence); Figure S8 (CQL α-sensitivity); Figure S9 (Off-policy evaluation comparison); Figure S10 (Local Moran clusters); Figure S11 (State-level prevalence); Figure S12 (Andersen-domain decomposition); Tables S1–S5 (subgroup performance by zone, state, wealth quintile, urban/rural, maternal education); Table S6 (RL policy lookup excerpt); Table S7 (model-input parameter table); Table S8 (reproducibility parameter table); Table S9 (TRIPOD-AI checklist); Table S10 (CHEERS 2022 checklist); Table S11 (Gottesman 2019 issue-response table); extended methods (Sections S1.1–S1.4).</w:t>
      </w:r>
    </w:p>
    <w:bookmarkEnd w:id="55"/>
    <w:bookmarkStart w:id="56" w:name="author-contributions"/>
    <w:p>
      <w:pPr>
        <w:pStyle w:val="Heading2"/>
      </w:pPr>
      <w:r>
        <w:t xml:space="preserve">Author Contributions</w:t>
      </w:r>
    </w:p>
    <w:p>
      <w:pPr>
        <w:pStyle w:val="FirstParagraph"/>
      </w:pPr>
      <w:r>
        <w:t xml:space="preserve">[PLEASE VERIFY: author CRediT roles. Template row per author:]</w:t>
      </w:r>
      <w:r>
        <w:t xml:space="preserve"> </w:t>
      </w:r>
      <w:r>
        <w:t xml:space="preserve">Conceptualisation, [PLEASE VERIFY: Initials]; Methodology, [PLEASE VERIFY: Initials]; Formal Analysis, [PLEASE VERIFY: Initials]; Writing — Original Draft, [PLEASE VERIFY: Initials]; Writing — Review &amp; Editing, [PLEASE VERIFY: Initials]; Supervision, [PLEASE VERIFY: Initials]; Funding Acquisition, [PLEASE VERIFY: Initials]. All authors have read and agreed to the published version of the manuscript.</w:t>
      </w:r>
    </w:p>
    <w:bookmarkEnd w:id="56"/>
    <w:bookmarkStart w:id="57" w:name="funding"/>
    <w:p>
      <w:pPr>
        <w:pStyle w:val="Heading2"/>
      </w:pPr>
      <w:r>
        <w:t xml:space="preserve">Funding</w:t>
      </w:r>
    </w:p>
    <w:p>
      <w:pPr>
        <w:pStyle w:val="FirstParagraph"/>
      </w:pPr>
      <w:r>
        <w:t xml:space="preserve">[PLEASE VERIFY: funding source and grant number. If unfunded, use MDPI standard sentence:</w:t>
      </w:r>
      <w:r>
        <w:t xml:space="preserve"> </w:t>
      </w:r>
      <w:r>
        <w:t xml:space="preserve">“This research received no external funding.”</w:t>
      </w:r>
      <w:r>
        <w:t xml:space="preserve">]</w:t>
      </w:r>
    </w:p>
    <w:bookmarkEnd w:id="57"/>
    <w:bookmarkStart w:id="58" w:name="institutional-review-board-statement"/>
    <w:p>
      <w:pPr>
        <w:pStyle w:val="Heading2"/>
      </w:pPr>
      <w:r>
        <w:t xml:space="preserve">Institutional Review Board Statement</w:t>
      </w:r>
    </w:p>
    <w:p>
      <w:pPr>
        <w:pStyle w:val="FirstParagraph"/>
      </w:pPr>
      <w:r>
        <w:t xml:space="preserve">The Demographic and Health Survey Program protocols are reviewed and approved by the ICF Institutional Review Board (Rockville, MD, USA) and the Nigeria National Health Research Ethics Committee. The 2024 Nigeria DHS was conducted under these approvals. Secondary analysis of the publicly available, de-identified DHS dataset did not require additional ethical review under ICF DHS terms of use.</w:t>
      </w:r>
    </w:p>
    <w:bookmarkEnd w:id="58"/>
    <w:bookmarkStart w:id="59" w:name="informed-consent-statement"/>
    <w:p>
      <w:pPr>
        <w:pStyle w:val="Heading2"/>
      </w:pPr>
      <w:r>
        <w:t xml:space="preserve">Informed Consent Statement</w:t>
      </w:r>
    </w:p>
    <w:p>
      <w:pPr>
        <w:pStyle w:val="FirstParagraph"/>
      </w:pPr>
      <w:r>
        <w:t xml:space="preserve">Written informed consent was obtained from all participants or their legal guardians by the DHS primary data collectors. No additional consent was sought for this secondary analysis.</w:t>
      </w:r>
    </w:p>
    <w:bookmarkEnd w:id="59"/>
    <w:bookmarkStart w:id="60" w:name="data-availability-statement"/>
    <w:p>
      <w:pPr>
        <w:pStyle w:val="Heading2"/>
      </w:pPr>
      <w:r>
        <w:t xml:space="preserve">Data Availability Statement</w:t>
      </w:r>
    </w:p>
    <w:p>
      <w:pPr>
        <w:pStyle w:val="FirstParagraph"/>
      </w:pPr>
      <w:r>
        <w:t xml:space="preserve">The DHS 2024 Nigeria datasets are available from the DHS Program upon registration at https://dhsprogram.com. All analytic code, derived artefacts, and the interactive dashboard are openly available at https://github.com/olatechie/dropout. The deployed dashboard is hosted at https://olatechie.github.io/dropout/.</w:t>
      </w:r>
    </w:p>
    <w:bookmarkEnd w:id="60"/>
    <w:bookmarkStart w:id="132" w:name="conflicts-of-interest"/>
    <w:p>
      <w:pPr>
        <w:pStyle w:val="Heading2"/>
      </w:pPr>
      <w:r>
        <w:t xml:space="preserve">Conflicts of Interest</w:t>
      </w:r>
    </w:p>
    <w:p>
      <w:pPr>
        <w:pStyle w:val="FirstParagraph"/>
      </w:pPr>
      <w:r>
        <w:t xml:space="preserve">[PLEASE VERIFY: conflicts statement. If none:</w:t>
      </w:r>
      <w:r>
        <w:t xml:space="preserve"> </w:t>
      </w:r>
      <w:r>
        <w:t xml:space="preserve">“The authors declare no conflict of interest.”</w:t>
      </w:r>
      <w:r>
        <w:t xml:space="preserve">]</w:t>
      </w:r>
    </w:p>
    <w:bookmarkStart w:id="131" w:name="refs"/>
    <w:bookmarkStart w:id="62" w:name="ref-ref3_adedokun2023zero"/>
    <w:p>
      <w:pPr>
        <w:pStyle w:val="Bibliography"/>
      </w:pPr>
      <w:r>
        <w:t xml:space="preserve">1.</w:t>
      </w:r>
      <w:r>
        <w:t xml:space="preserve"> </w:t>
      </w:r>
      <w:r>
        <w:t xml:space="preserve">	</w:t>
      </w:r>
      <w:r>
        <w:t xml:space="preserve">Adedokun, S.T. et al.</w:t>
      </w:r>
      <w:r>
        <w:t xml:space="preserve"> </w:t>
      </w:r>
      <w:r>
        <w:t xml:space="preserve">Zero-Dose, Under-Immunized, and Dropout Children in</w:t>
      </w:r>
      <w:r>
        <w:t xml:space="preserve"> </w:t>
      </w:r>
      <w:r>
        <w:t xml:space="preserve">Nigeria</w:t>
      </w:r>
      <w:r>
        <w:t xml:space="preserve">: The Trend and Its Contributing Factors over Time.</w:t>
      </w:r>
      <w:r>
        <w:t xml:space="preserve"> </w:t>
      </w:r>
      <w:r>
        <w:rPr>
          <w:i/>
          <w:iCs/>
        </w:rPr>
        <w:t xml:space="preserve">Vaccines</w:t>
      </w:r>
      <w:r>
        <w:t xml:space="preserve"> </w:t>
      </w:r>
      <w:r>
        <w:rPr>
          <w:b/>
          <w:bCs/>
        </w:rPr>
        <w:t xml:space="preserve">2023</w:t>
      </w:r>
      <w:r>
        <w:t xml:space="preserve">,</w:t>
      </w:r>
      <w:r>
        <w:t xml:space="preserve"> </w:t>
      </w:r>
      <w:r>
        <w:rPr>
          <w:i/>
          <w:iCs/>
        </w:rPr>
        <w:t xml:space="preserve">11</w:t>
      </w:r>
      <w:r>
        <w:t xml:space="preserve">, 167, doi:</w:t>
      </w:r>
      <w:hyperlink r:id="rId61">
        <w:r>
          <w:rPr>
            <w:rStyle w:val="Hyperlink"/>
          </w:rPr>
          <w:t xml:space="preserve">10.3390/vaccines11010167</w:t>
        </w:r>
      </w:hyperlink>
      <w:r>
        <w:t xml:space="preserve">.</w:t>
      </w:r>
    </w:p>
    <w:bookmarkEnd w:id="62"/>
    <w:bookmarkStart w:id="64" w:name="ref-ref4_who2020ia2030"/>
    <w:p>
      <w:pPr>
        <w:pStyle w:val="Bibliography"/>
      </w:pPr>
      <w:r>
        <w:t xml:space="preserve">2.</w:t>
      </w:r>
      <w:r>
        <w:t xml:space="preserve"> </w:t>
      </w:r>
      <w:r>
        <w:t xml:space="preserve">	</w:t>
      </w:r>
      <w:r>
        <w:t xml:space="preserve">World Health Organization; UNICEF</w:t>
      </w:r>
      <w:r>
        <w:t xml:space="preserve"> </w:t>
      </w:r>
      <w:hyperlink r:id="rId63">
        <w:r>
          <w:rPr>
            <w:rStyle w:val="Hyperlink"/>
          </w:rPr>
          <w:t xml:space="preserve">Immunisation Agenda 2030: A Global Strategy to Leave No One Behind</w:t>
        </w:r>
      </w:hyperlink>
      <w:r>
        <w:t xml:space="preserve"> </w:t>
      </w:r>
      <w:r>
        <w:t xml:space="preserve">2020.</w:t>
      </w:r>
    </w:p>
    <w:bookmarkEnd w:id="64"/>
    <w:bookmarkStart w:id="66" w:name="ref-ref7_adeyinka2025widening"/>
    <w:p>
      <w:pPr>
        <w:pStyle w:val="Bibliography"/>
      </w:pPr>
      <w:r>
        <w:t xml:space="preserve">3.</w:t>
      </w:r>
      <w:r>
        <w:t xml:space="preserve"> </w:t>
      </w:r>
      <w:r>
        <w:t xml:space="preserve">	</w:t>
      </w:r>
      <w:r>
        <w:t xml:space="preserve">Adeyinka, D.A. et al.</w:t>
      </w:r>
      <w:r>
        <w:t xml:space="preserve"> </w:t>
      </w:r>
      <w:r>
        <w:t xml:space="preserve">Widening Geographical Inequities in</w:t>
      </w:r>
      <w:r>
        <w:t xml:space="preserve"> </w:t>
      </w:r>
      <w:r>
        <w:t xml:space="preserve">DTP</w:t>
      </w:r>
      <w:r>
        <w:t xml:space="preserve"> </w:t>
      </w:r>
      <w:r>
        <w:t xml:space="preserve">Vaccination Coverage and Zero-Dose Prevalence Across</w:t>
      </w:r>
      <w:r>
        <w:t xml:space="preserve"> </w:t>
      </w:r>
      <w:r>
        <w:t xml:space="preserve">Nigeria</w:t>
      </w:r>
      <w:r>
        <w:t xml:space="preserve">: An Ecological Trend Analysis (2018–2024).</w:t>
      </w:r>
      <w:r>
        <w:t xml:space="preserve"> </w:t>
      </w:r>
      <w:r>
        <w:rPr>
          <w:i/>
          <w:iCs/>
        </w:rPr>
        <w:t xml:space="preserve">Vaccines</w:t>
      </w:r>
      <w:r>
        <w:t xml:space="preserve"> </w:t>
      </w:r>
      <w:r>
        <w:rPr>
          <w:b/>
          <w:bCs/>
        </w:rPr>
        <w:t xml:space="preserve">2025</w:t>
      </w:r>
      <w:r>
        <w:t xml:space="preserve">,</w:t>
      </w:r>
      <w:r>
        <w:t xml:space="preserve"> </w:t>
      </w:r>
      <w:r>
        <w:rPr>
          <w:i/>
          <w:iCs/>
        </w:rPr>
        <w:t xml:space="preserve">13</w:t>
      </w:r>
      <w:r>
        <w:t xml:space="preserve">, 1135, doi:</w:t>
      </w:r>
      <w:hyperlink r:id="rId65">
        <w:r>
          <w:rPr>
            <w:rStyle w:val="Hyperlink"/>
          </w:rPr>
          <w:t xml:space="preserve">10.3390/vaccines13111135</w:t>
        </w:r>
      </w:hyperlink>
      <w:r>
        <w:t xml:space="preserve">.</w:t>
      </w:r>
    </w:p>
    <w:bookmarkEnd w:id="66"/>
    <w:bookmarkStart w:id="68" w:name="ref-ref17_collins2024tripod"/>
    <w:p>
      <w:pPr>
        <w:pStyle w:val="Bibliography"/>
      </w:pPr>
      <w:r>
        <w:t xml:space="preserve">4.</w:t>
      </w:r>
      <w:r>
        <w:t xml:space="preserve"> </w:t>
      </w:r>
      <w:r>
        <w:t xml:space="preserve">	</w:t>
      </w:r>
      <w:r>
        <w:t xml:space="preserve">Collins, G.S.; Moons, K.G.M.; Dhiman, P.; Riley, R.D.; Beam, A.L.; Van Calster, B.; Ghassemi, M.; Liu, X.; Reitsma, J.B.; Smeden, M. van; et al.</w:t>
      </w:r>
      <w:r>
        <w:t xml:space="preserve"> </w:t>
      </w:r>
      <w:r>
        <w:t xml:space="preserve">TRIPOD+AI</w:t>
      </w:r>
      <w:r>
        <w:t xml:space="preserve"> </w:t>
      </w:r>
      <w:r>
        <w:t xml:space="preserve">Statement: Updated Guidance for Reporting Clinical Prediction Models That Use Regression or Machine Learning Methods.</w:t>
      </w:r>
      <w:r>
        <w:t xml:space="preserve"> </w:t>
      </w:r>
      <w:r>
        <w:rPr>
          <w:i/>
          <w:iCs/>
        </w:rPr>
        <w:t xml:space="preserve">BMJ</w:t>
      </w:r>
      <w:r>
        <w:t xml:space="preserve"> </w:t>
      </w:r>
      <w:r>
        <w:rPr>
          <w:b/>
          <w:bCs/>
        </w:rPr>
        <w:t xml:space="preserve">2024</w:t>
      </w:r>
      <w:r>
        <w:t xml:space="preserve">,</w:t>
      </w:r>
      <w:r>
        <w:t xml:space="preserve"> </w:t>
      </w:r>
      <w:r>
        <w:rPr>
          <w:i/>
          <w:iCs/>
        </w:rPr>
        <w:t xml:space="preserve">385</w:t>
      </w:r>
      <w:r>
        <w:t xml:space="preserve">, e078378, doi:</w:t>
      </w:r>
      <w:hyperlink r:id="rId67">
        <w:r>
          <w:rPr>
            <w:rStyle w:val="Hyperlink"/>
          </w:rPr>
          <w:t xml:space="preserve">10.1136/bmj-2023-078378</w:t>
        </w:r>
      </w:hyperlink>
      <w:r>
        <w:t xml:space="preserve">.</w:t>
      </w:r>
    </w:p>
    <w:bookmarkEnd w:id="68"/>
    <w:bookmarkStart w:id="70" w:name="ref-ref18_npc2025ndhs"/>
    <w:p>
      <w:pPr>
        <w:pStyle w:val="Bibliography"/>
      </w:pPr>
      <w:r>
        <w:t xml:space="preserve">5.</w:t>
      </w:r>
      <w:r>
        <w:t xml:space="preserve"> </w:t>
      </w:r>
      <w:r>
        <w:t xml:space="preserve">	</w:t>
      </w:r>
      <w:r>
        <w:t xml:space="preserve">National Population Commission (NPC) Nigeria; ICF</w:t>
      </w:r>
      <w:r>
        <w:t xml:space="preserve"> </w:t>
      </w:r>
      <w:hyperlink r:id="rId69">
        <w:r>
          <w:rPr>
            <w:rStyle w:val="Hyperlink"/>
          </w:rPr>
          <w:t xml:space="preserve">Nigeria Demographic and Health Survey 2024</w:t>
        </w:r>
      </w:hyperlink>
      <w:r>
        <w:t xml:space="preserve"> </w:t>
      </w:r>
      <w:r>
        <w:t xml:space="preserve">2025.</w:t>
      </w:r>
    </w:p>
    <w:bookmarkEnd w:id="70"/>
    <w:bookmarkStart w:id="72" w:name="ref-ref50_gavi2022zerodose"/>
    <w:p>
      <w:pPr>
        <w:pStyle w:val="Bibliography"/>
      </w:pPr>
      <w:r>
        <w:t xml:space="preserve">6.</w:t>
      </w:r>
      <w:r>
        <w:t xml:space="preserve"> </w:t>
      </w:r>
      <w:r>
        <w:t xml:space="preserve">	</w:t>
      </w:r>
      <w:r>
        <w:t xml:space="preserve">Gavi, the Vaccine Alliance</w:t>
      </w:r>
      <w:r>
        <w:t xml:space="preserve"> </w:t>
      </w:r>
      <w:hyperlink r:id="rId71">
        <w:r>
          <w:rPr>
            <w:rStyle w:val="Hyperlink"/>
          </w:rPr>
          <w:t xml:space="preserve">Zero-Dose Learning Agenda</w:t>
        </w:r>
      </w:hyperlink>
      <w:r>
        <w:t xml:space="preserve"> </w:t>
      </w:r>
      <w:r>
        <w:t xml:space="preserve">2022.</w:t>
      </w:r>
    </w:p>
    <w:bookmarkEnd w:id="72"/>
    <w:bookmarkStart w:id="74" w:name="ref-ref1_uthman2024systematic"/>
    <w:p>
      <w:pPr>
        <w:pStyle w:val="Bibliography"/>
      </w:pPr>
      <w:r>
        <w:t xml:space="preserve">7.</w:t>
      </w:r>
      <w:r>
        <w:t xml:space="preserve"> </w:t>
      </w:r>
      <w:r>
        <w:t xml:space="preserve">	</w:t>
      </w:r>
      <w:r>
        <w:t xml:space="preserve">Uthman, O.A.; Sambala, E.Z.; et al.</w:t>
      </w:r>
      <w:r>
        <w:t xml:space="preserve"> </w:t>
      </w:r>
      <w:r>
        <w:t xml:space="preserve">Systematic Review of Social Determinants of Childhood Immunisation in Low- and Middle-Income Countries and Equity Impact Analysis of Childhood Vaccination Coverage in</w:t>
      </w:r>
      <w:r>
        <w:t xml:space="preserve"> </w:t>
      </w:r>
      <w:r>
        <w:t xml:space="preserve">Nigeria</w:t>
      </w:r>
      <w:r>
        <w:t xml:space="preserve">.</w:t>
      </w:r>
      <w:r>
        <w:t xml:space="preserve"> </w:t>
      </w:r>
      <w:r>
        <w:rPr>
          <w:i/>
          <w:iCs/>
        </w:rPr>
        <w:t xml:space="preserve">PLOS ONE</w:t>
      </w:r>
      <w:r>
        <w:t xml:space="preserve"> </w:t>
      </w:r>
      <w:r>
        <w:rPr>
          <w:b/>
          <w:bCs/>
        </w:rPr>
        <w:t xml:space="preserve">2024</w:t>
      </w:r>
      <w:r>
        <w:t xml:space="preserve">,</w:t>
      </w:r>
      <w:r>
        <w:t xml:space="preserve"> </w:t>
      </w:r>
      <w:r>
        <w:rPr>
          <w:i/>
          <w:iCs/>
        </w:rPr>
        <w:t xml:space="preserve">19</w:t>
      </w:r>
      <w:r>
        <w:t xml:space="preserve">, e0297326, doi:</w:t>
      </w:r>
      <w:hyperlink r:id="rId73">
        <w:r>
          <w:rPr>
            <w:rStyle w:val="Hyperlink"/>
          </w:rPr>
          <w:t xml:space="preserve">10.1371/journal.pone.0297326</w:t>
        </w:r>
      </w:hyperlink>
      <w:r>
        <w:t xml:space="preserve">.</w:t>
      </w:r>
    </w:p>
    <w:bookmarkEnd w:id="74"/>
    <w:bookmarkStart w:id="76" w:name="ref-ref5_tessema2024pentavalent"/>
    <w:p>
      <w:pPr>
        <w:pStyle w:val="Bibliography"/>
      </w:pPr>
      <w:r>
        <w:t xml:space="preserve">8.</w:t>
      </w:r>
      <w:r>
        <w:t xml:space="preserve"> </w:t>
      </w:r>
      <w:r>
        <w:t xml:space="preserve">	</w:t>
      </w:r>
      <w:r>
        <w:t xml:space="preserve">Tessema, Z.T. et al.</w:t>
      </w:r>
      <w:r>
        <w:t xml:space="preserve"> </w:t>
      </w:r>
      <w:r>
        <w:t xml:space="preserve">Individual and Community-Level Determinants of Pentavalent Vaccination Dropouts Among Under-Five Children in Sub-</w:t>
      </w:r>
      <w:r>
        <w:t xml:space="preserve">Saharan</w:t>
      </w:r>
      <w:r>
        <w:t xml:space="preserve"> </w:t>
      </w:r>
      <w:r>
        <w:t xml:space="preserve">African</w:t>
      </w:r>
      <w:r>
        <w:t xml:space="preserve"> </w:t>
      </w:r>
      <w:r>
        <w:t xml:space="preserve">Countries: A Multilevel Analysis.</w:t>
      </w:r>
      <w:r>
        <w:t xml:space="preserve"> </w:t>
      </w:r>
      <w:r>
        <w:rPr>
          <w:i/>
          <w:iCs/>
        </w:rPr>
        <w:t xml:space="preserve">BMC Public Health</w:t>
      </w:r>
      <w:r>
        <w:t xml:space="preserve"> </w:t>
      </w:r>
      <w:r>
        <w:rPr>
          <w:b/>
          <w:bCs/>
        </w:rPr>
        <w:t xml:space="preserve">2024</w:t>
      </w:r>
      <w:r>
        <w:t xml:space="preserve">,</w:t>
      </w:r>
      <w:r>
        <w:t xml:space="preserve"> </w:t>
      </w:r>
      <w:r>
        <w:rPr>
          <w:i/>
          <w:iCs/>
        </w:rPr>
        <w:t xml:space="preserve">24</w:t>
      </w:r>
      <w:r>
        <w:t xml:space="preserve">, 456, doi:</w:t>
      </w:r>
      <w:hyperlink r:id="rId75">
        <w:r>
          <w:rPr>
            <w:rStyle w:val="Hyperlink"/>
          </w:rPr>
          <w:t xml:space="preserve">10.1186/s12889-024-17905-3</w:t>
        </w:r>
      </w:hyperlink>
      <w:r>
        <w:t xml:space="preserve">.</w:t>
      </w:r>
    </w:p>
    <w:bookmarkEnd w:id="76"/>
    <w:bookmarkStart w:id="78" w:name="ref-ref2_sridhar2014missed"/>
    <w:p>
      <w:pPr>
        <w:pStyle w:val="Bibliography"/>
      </w:pPr>
      <w:r>
        <w:t xml:space="preserve">9.</w:t>
      </w:r>
      <w:r>
        <w:t xml:space="preserve"> </w:t>
      </w:r>
      <w:r>
        <w:t xml:space="preserve">	</w:t>
      </w:r>
      <w:r>
        <w:t xml:space="preserve">Sridhar, S.; Maleq, N.; Guillermet, E.; et al.</w:t>
      </w:r>
      <w:r>
        <w:t xml:space="preserve"> </w:t>
      </w:r>
      <w:r>
        <w:t xml:space="preserve">A Systematic Literature Review of Missed Opportunities for Immunization in Low- and Middle-Income Countries.</w:t>
      </w:r>
      <w:r>
        <w:t xml:space="preserve"> </w:t>
      </w:r>
      <w:r>
        <w:rPr>
          <w:i/>
          <w:iCs/>
        </w:rPr>
        <w:t xml:space="preserve">Vaccine</w:t>
      </w:r>
      <w:r>
        <w:t xml:space="preserve"> </w:t>
      </w:r>
      <w:r>
        <w:rPr>
          <w:b/>
          <w:bCs/>
        </w:rPr>
        <w:t xml:space="preserve">2014</w:t>
      </w:r>
      <w:r>
        <w:t xml:space="preserve">,</w:t>
      </w:r>
      <w:r>
        <w:t xml:space="preserve"> </w:t>
      </w:r>
      <w:r>
        <w:rPr>
          <w:i/>
          <w:iCs/>
        </w:rPr>
        <w:t xml:space="preserve">32</w:t>
      </w:r>
      <w:r>
        <w:t xml:space="preserve">, 6870–6879, doi:</w:t>
      </w:r>
      <w:hyperlink r:id="rId77">
        <w:r>
          <w:rPr>
            <w:rStyle w:val="Hyperlink"/>
          </w:rPr>
          <w:t xml:space="preserve">10.1016/j.vaccine.2014.10.063</w:t>
        </w:r>
      </w:hyperlink>
      <w:r>
        <w:t xml:space="preserve">.</w:t>
      </w:r>
    </w:p>
    <w:bookmarkEnd w:id="78"/>
    <w:bookmarkStart w:id="80" w:name="ref-ref45_laryea2014determinants"/>
    <w:p>
      <w:pPr>
        <w:pStyle w:val="Bibliography"/>
      </w:pPr>
      <w:r>
        <w:t xml:space="preserve">10.</w:t>
      </w:r>
      <w:r>
        <w:t xml:space="preserve"> </w:t>
      </w:r>
      <w:r>
        <w:t xml:space="preserve">	</w:t>
      </w:r>
      <w:r>
        <w:t xml:space="preserve">Laryea, D.O. et al.</w:t>
      </w:r>
      <w:r>
        <w:t xml:space="preserve"> </w:t>
      </w:r>
      <w:r>
        <w:t xml:space="preserve">Determinants of Uptake of Third Doses of Oral Polio and</w:t>
      </w:r>
      <w:r>
        <w:t xml:space="preserve"> </w:t>
      </w:r>
      <w:r>
        <w:t xml:space="preserve">DTP</w:t>
      </w:r>
      <w:r>
        <w:t xml:space="preserve"> </w:t>
      </w:r>
      <w:r>
        <w:t xml:space="preserve">Vaccines in the</w:t>
      </w:r>
      <w:r>
        <w:t xml:space="preserve"> </w:t>
      </w:r>
      <w:r>
        <w:t xml:space="preserve">Ibadan</w:t>
      </w:r>
      <w:r>
        <w:t xml:space="preserve"> </w:t>
      </w:r>
      <w:r>
        <w:t xml:space="preserve">North</w:t>
      </w:r>
      <w:r>
        <w:t xml:space="preserve"> </w:t>
      </w:r>
      <w:r>
        <w:t xml:space="preserve">Local Government Area</w:t>
      </w:r>
      <w:r>
        <w:t xml:space="preserve"> </w:t>
      </w:r>
      <w:r>
        <w:t xml:space="preserve">of</w:t>
      </w:r>
      <w:r>
        <w:t xml:space="preserve"> </w:t>
      </w:r>
      <w:r>
        <w:t xml:space="preserve">Nigeria</w:t>
      </w:r>
      <w:r>
        <w:t xml:space="preserve">.</w:t>
      </w:r>
      <w:r>
        <w:t xml:space="preserve"> </w:t>
      </w:r>
      <w:r>
        <w:rPr>
          <w:i/>
          <w:iCs/>
        </w:rPr>
        <w:t xml:space="preserve">International Health</w:t>
      </w:r>
      <w:r>
        <w:t xml:space="preserve"> </w:t>
      </w:r>
      <w:r>
        <w:rPr>
          <w:b/>
          <w:bCs/>
        </w:rPr>
        <w:t xml:space="preserve">2014</w:t>
      </w:r>
      <w:r>
        <w:t xml:space="preserve">,</w:t>
      </w:r>
      <w:r>
        <w:t xml:space="preserve"> </w:t>
      </w:r>
      <w:r>
        <w:rPr>
          <w:i/>
          <w:iCs/>
        </w:rPr>
        <w:t xml:space="preserve">6</w:t>
      </w:r>
      <w:r>
        <w:t xml:space="preserve">, 213–224, doi:</w:t>
      </w:r>
      <w:hyperlink r:id="rId79">
        <w:r>
          <w:rPr>
            <w:rStyle w:val="Hyperlink"/>
          </w:rPr>
          <w:t xml:space="preserve">10.1093/inthealth/ihu027</w:t>
        </w:r>
      </w:hyperlink>
      <w:r>
        <w:t xml:space="preserve">.</w:t>
      </w:r>
    </w:p>
    <w:bookmarkEnd w:id="80"/>
    <w:bookmarkStart w:id="82" w:name="ref-ref43_wiysonge2012individual"/>
    <w:p>
      <w:pPr>
        <w:pStyle w:val="Bibliography"/>
      </w:pPr>
      <w:r>
        <w:t xml:space="preserve">11.</w:t>
      </w:r>
      <w:r>
        <w:t xml:space="preserve"> </w:t>
      </w:r>
      <w:r>
        <w:t xml:space="preserve">	</w:t>
      </w:r>
      <w:r>
        <w:t xml:space="preserve">Wiysonge, C.S. et al.</w:t>
      </w:r>
      <w:r>
        <w:t xml:space="preserve"> </w:t>
      </w:r>
      <w:r>
        <w:t xml:space="preserve">Individual and Contextual Factors Associated with Low Childhood Immunisation Coverage in Sub-</w:t>
      </w:r>
      <w:r>
        <w:t xml:space="preserve">Saharan</w:t>
      </w:r>
      <w:r>
        <w:t xml:space="preserve"> </w:t>
      </w:r>
      <w:r>
        <w:t xml:space="preserve">Africa</w:t>
      </w:r>
      <w:r>
        <w:t xml:space="preserve">: A Multilevel Analysis.</w:t>
      </w:r>
      <w:r>
        <w:t xml:space="preserve"> </w:t>
      </w:r>
      <w:r>
        <w:rPr>
          <w:i/>
          <w:iCs/>
        </w:rPr>
        <w:t xml:space="preserve">PLOS ONE</w:t>
      </w:r>
      <w:r>
        <w:t xml:space="preserve"> </w:t>
      </w:r>
      <w:r>
        <w:rPr>
          <w:b/>
          <w:bCs/>
        </w:rPr>
        <w:t xml:space="preserve">2012</w:t>
      </w:r>
      <w:r>
        <w:t xml:space="preserve">,</w:t>
      </w:r>
      <w:r>
        <w:t xml:space="preserve"> </w:t>
      </w:r>
      <w:r>
        <w:rPr>
          <w:i/>
          <w:iCs/>
        </w:rPr>
        <w:t xml:space="preserve">7</w:t>
      </w:r>
      <w:r>
        <w:t xml:space="preserve">, e37905, doi:</w:t>
      </w:r>
      <w:hyperlink r:id="rId81">
        <w:r>
          <w:rPr>
            <w:rStyle w:val="Hyperlink"/>
          </w:rPr>
          <w:t xml:space="preserve">10.1371/journal.pone.0037905</w:t>
        </w:r>
      </w:hyperlink>
      <w:r>
        <w:t xml:space="preserve">.</w:t>
      </w:r>
    </w:p>
    <w:bookmarkEnd w:id="82"/>
    <w:bookmarkStart w:id="84" w:name="ref-ref42_adegboye2021factors"/>
    <w:p>
      <w:pPr>
        <w:pStyle w:val="Bibliography"/>
      </w:pPr>
      <w:r>
        <w:t xml:space="preserve">12.</w:t>
      </w:r>
      <w:r>
        <w:t xml:space="preserve"> </w:t>
      </w:r>
      <w:r>
        <w:t xml:space="preserve">	</w:t>
      </w:r>
      <w:r>
        <w:t xml:space="preserve">Adegboye, O.A. et al.</w:t>
      </w:r>
      <w:r>
        <w:t xml:space="preserve"> </w:t>
      </w:r>
      <w:r>
        <w:t xml:space="preserve">Factors Influencing Childhood Immunisation Uptake in</w:t>
      </w:r>
      <w:r>
        <w:t xml:space="preserve"> </w:t>
      </w:r>
      <w:r>
        <w:t xml:space="preserve">Africa</w:t>
      </w:r>
      <w:r>
        <w:t xml:space="preserve">: A Systematic Review.</w:t>
      </w:r>
      <w:r>
        <w:t xml:space="preserve"> </w:t>
      </w:r>
      <w:r>
        <w:rPr>
          <w:i/>
          <w:iCs/>
        </w:rPr>
        <w:t xml:space="preserve">BMC Public Health</w:t>
      </w:r>
      <w:r>
        <w:t xml:space="preserve"> </w:t>
      </w:r>
      <w:r>
        <w:rPr>
          <w:b/>
          <w:bCs/>
        </w:rPr>
        <w:t xml:space="preserve">2021</w:t>
      </w:r>
      <w:r>
        <w:t xml:space="preserve">,</w:t>
      </w:r>
      <w:r>
        <w:t xml:space="preserve"> </w:t>
      </w:r>
      <w:r>
        <w:rPr>
          <w:i/>
          <w:iCs/>
        </w:rPr>
        <w:t xml:space="preserve">21</w:t>
      </w:r>
      <w:r>
        <w:t xml:space="preserve">, 1475, doi:</w:t>
      </w:r>
      <w:hyperlink r:id="rId83">
        <w:r>
          <w:rPr>
            <w:rStyle w:val="Hyperlink"/>
          </w:rPr>
          <w:t xml:space="preserve">10.1186/s12889-021-11466-5</w:t>
        </w:r>
      </w:hyperlink>
      <w:r>
        <w:t xml:space="preserve">.</w:t>
      </w:r>
    </w:p>
    <w:bookmarkEnd w:id="84"/>
    <w:bookmarkStart w:id="86" w:name="ref-ref9_eze2021mhealth"/>
    <w:p>
      <w:pPr>
        <w:pStyle w:val="Bibliography"/>
      </w:pPr>
      <w:r>
        <w:t xml:space="preserve">13.</w:t>
      </w:r>
      <w:r>
        <w:t xml:space="preserve"> </w:t>
      </w:r>
      <w:r>
        <w:t xml:space="preserve">	</w:t>
      </w:r>
      <w:r>
        <w:t xml:space="preserve">Eze, P. et al.</w:t>
      </w:r>
      <w:r>
        <w:t xml:space="preserve"> </w:t>
      </w:r>
      <w:r>
        <w:t xml:space="preserve">Effect of</w:t>
      </w:r>
      <w:r>
        <w:t xml:space="preserve"> </w:t>
      </w:r>
      <w:r>
        <w:t xml:space="preserve">mHealth</w:t>
      </w:r>
      <w:r>
        <w:t xml:space="preserve"> </w:t>
      </w:r>
      <w:r>
        <w:t xml:space="preserve">Interventions on Childhood Immunization in Low- and Middle-Income Countries: A Meta-Analysis.</w:t>
      </w:r>
      <w:r>
        <w:t xml:space="preserve"> </w:t>
      </w:r>
      <w:r>
        <w:rPr>
          <w:i/>
          <w:iCs/>
        </w:rPr>
        <w:t xml:space="preserve">Human Vaccines &amp; Immunotherapeutics</w:t>
      </w:r>
      <w:r>
        <w:t xml:space="preserve"> </w:t>
      </w:r>
      <w:r>
        <w:rPr>
          <w:b/>
          <w:bCs/>
        </w:rPr>
        <w:t xml:space="preserve">2021</w:t>
      </w:r>
      <w:r>
        <w:t xml:space="preserve">,</w:t>
      </w:r>
      <w:r>
        <w:t xml:space="preserve"> </w:t>
      </w:r>
      <w:r>
        <w:rPr>
          <w:i/>
          <w:iCs/>
        </w:rPr>
        <w:t xml:space="preserve">17</w:t>
      </w:r>
      <w:r>
        <w:t xml:space="preserve">, 507–515, doi:</w:t>
      </w:r>
      <w:hyperlink r:id="rId85">
        <w:r>
          <w:rPr>
            <w:rStyle w:val="Hyperlink"/>
          </w:rPr>
          <w:t xml:space="preserve">10.1080/21645515.2020.1785149</w:t>
        </w:r>
      </w:hyperlink>
      <w:r>
        <w:t xml:space="preserve">.</w:t>
      </w:r>
    </w:p>
    <w:bookmarkEnd w:id="86"/>
    <w:bookmarkStart w:id="88" w:name="ref-ref49_cochrane2018reminder"/>
    <w:p>
      <w:pPr>
        <w:pStyle w:val="Bibliography"/>
      </w:pPr>
      <w:r>
        <w:t xml:space="preserve">14.</w:t>
      </w:r>
      <w:r>
        <w:t xml:space="preserve"> </w:t>
      </w:r>
      <w:r>
        <w:t xml:space="preserve">	</w:t>
      </w:r>
      <w:r>
        <w:t xml:space="preserve">Jacobson Vann, J.C. et al.</w:t>
      </w:r>
      <w:r>
        <w:t xml:space="preserve"> </w:t>
      </w:r>
      <w:r>
        <w:t xml:space="preserve">Patient Reminder and Recall Interventions to Improve Immunization Rates.</w:t>
      </w:r>
      <w:r>
        <w:t xml:space="preserve"> </w:t>
      </w:r>
      <w:r>
        <w:rPr>
          <w:i/>
          <w:iCs/>
        </w:rPr>
        <w:t xml:space="preserve">Cochrane Database of Systematic Reviews</w:t>
      </w:r>
      <w:r>
        <w:t xml:space="preserve"> </w:t>
      </w:r>
      <w:r>
        <w:rPr>
          <w:b/>
          <w:bCs/>
        </w:rPr>
        <w:t xml:space="preserve">2018</w:t>
      </w:r>
      <w:r>
        <w:t xml:space="preserve">,</w:t>
      </w:r>
      <w:r>
        <w:t xml:space="preserve"> </w:t>
      </w:r>
      <w:r>
        <w:rPr>
          <w:i/>
          <w:iCs/>
        </w:rPr>
        <w:t xml:space="preserve">1</w:t>
      </w:r>
      <w:r>
        <w:t xml:space="preserve">, CD003941, doi:</w:t>
      </w:r>
      <w:hyperlink r:id="rId87">
        <w:r>
          <w:rPr>
            <w:rStyle w:val="Hyperlink"/>
          </w:rPr>
          <w:t xml:space="preserve">10.1002/14651858.CD003941.pub3</w:t>
        </w:r>
      </w:hyperlink>
      <w:r>
        <w:t xml:space="preserve">.</w:t>
      </w:r>
    </w:p>
    <w:bookmarkEnd w:id="88"/>
    <w:bookmarkStart w:id="90" w:name="ref-ref11_banerjee2010improving"/>
    <w:p>
      <w:pPr>
        <w:pStyle w:val="Bibliography"/>
      </w:pPr>
      <w:r>
        <w:t xml:space="preserve">15.</w:t>
      </w:r>
      <w:r>
        <w:t xml:space="preserve"> </w:t>
      </w:r>
      <w:r>
        <w:t xml:space="preserve">	</w:t>
      </w:r>
      <w:r>
        <w:t xml:space="preserve">Banerjee, A.V.; Duflo, E.; Glennerster, R.; et al.</w:t>
      </w:r>
      <w:r>
        <w:t xml:space="preserve"> </w:t>
      </w:r>
      <w:r>
        <w:t xml:space="preserve">Improving Immunisation Coverage in Rural</w:t>
      </w:r>
      <w:r>
        <w:t xml:space="preserve"> </w:t>
      </w:r>
      <w:r>
        <w:t xml:space="preserve">India</w:t>
      </w:r>
      <w:r>
        <w:t xml:space="preserve">: Clustered Randomised Controlled Evaluation of Immunisation Campaigns with and Without Incentives.</w:t>
      </w:r>
      <w:r>
        <w:t xml:space="preserve"> </w:t>
      </w:r>
      <w:r>
        <w:rPr>
          <w:i/>
          <w:iCs/>
        </w:rPr>
        <w:t xml:space="preserve">BMJ</w:t>
      </w:r>
      <w:r>
        <w:t xml:space="preserve"> </w:t>
      </w:r>
      <w:r>
        <w:rPr>
          <w:b/>
          <w:bCs/>
        </w:rPr>
        <w:t xml:space="preserve">2010</w:t>
      </w:r>
      <w:r>
        <w:t xml:space="preserve">,</w:t>
      </w:r>
      <w:r>
        <w:t xml:space="preserve"> </w:t>
      </w:r>
      <w:r>
        <w:rPr>
          <w:i/>
          <w:iCs/>
        </w:rPr>
        <w:t xml:space="preserve">340</w:t>
      </w:r>
      <w:r>
        <w:t xml:space="preserve">, c2220, doi:</w:t>
      </w:r>
      <w:hyperlink r:id="rId89">
        <w:r>
          <w:rPr>
            <w:rStyle w:val="Hyperlink"/>
          </w:rPr>
          <w:t xml:space="preserve">10.1136/bmj.c2220</w:t>
        </w:r>
      </w:hyperlink>
      <w:r>
        <w:t xml:space="preserve">.</w:t>
      </w:r>
    </w:p>
    <w:bookmarkEnd w:id="90"/>
    <w:bookmarkStart w:id="91" w:name="ref-ref12_ernst2005treebased"/>
    <w:p>
      <w:pPr>
        <w:pStyle w:val="Bibliography"/>
      </w:pPr>
      <w:r>
        <w:t xml:space="preserve">16.</w:t>
      </w:r>
      <w:r>
        <w:t xml:space="preserve"> </w:t>
      </w:r>
      <w:r>
        <w:t xml:space="preserve">	</w:t>
      </w:r>
      <w:r>
        <w:t xml:space="preserve">Ernst, D.; Geurts, P.; Wehenkel, L. Tree-Based Batch Mode Reinforcement Learning.</w:t>
      </w:r>
      <w:r>
        <w:t xml:space="preserve"> </w:t>
      </w:r>
      <w:r>
        <w:rPr>
          <w:i/>
          <w:iCs/>
        </w:rPr>
        <w:t xml:space="preserve">Journal of Machine Learning Research</w:t>
      </w:r>
      <w:r>
        <w:t xml:space="preserve"> </w:t>
      </w:r>
      <w:r>
        <w:rPr>
          <w:b/>
          <w:bCs/>
        </w:rPr>
        <w:t xml:space="preserve">2005</w:t>
      </w:r>
      <w:r>
        <w:t xml:space="preserve">,</w:t>
      </w:r>
      <w:r>
        <w:t xml:space="preserve"> </w:t>
      </w:r>
      <w:r>
        <w:rPr>
          <w:i/>
          <w:iCs/>
        </w:rPr>
        <w:t xml:space="preserve">6</w:t>
      </w:r>
      <w:r>
        <w:t xml:space="preserve">, 503–556.</w:t>
      </w:r>
    </w:p>
    <w:bookmarkEnd w:id="91"/>
    <w:bookmarkStart w:id="92" w:name="ref-ref13_kumar2020conservative"/>
    <w:p>
      <w:pPr>
        <w:pStyle w:val="Bibliography"/>
      </w:pPr>
      <w:r>
        <w:t xml:space="preserve">17.</w:t>
      </w:r>
      <w:r>
        <w:t xml:space="preserve"> </w:t>
      </w:r>
      <w:r>
        <w:t xml:space="preserve">	</w:t>
      </w:r>
      <w:r>
        <w:t xml:space="preserve">Kumar, A.; Zhou, A.; Tucker, G.; Levine, S. Conservative</w:t>
      </w:r>
      <w:r>
        <w:t xml:space="preserve"> </w:t>
      </w:r>
      <w:r>
        <w:t xml:space="preserve">Q</w:t>
      </w:r>
      <w:r>
        <w:t xml:space="preserve">-Learning for Offline Reinforcement Learning. In Proceedings of the Advances in neural information processing systems (NeurIPS); 2020; Vol. 33, pp. 1179–1191.</w:t>
      </w:r>
    </w:p>
    <w:bookmarkEnd w:id="92"/>
    <w:bookmarkStart w:id="93" w:name="ref-ref21_nphcda2018nsipss"/>
    <w:p>
      <w:pPr>
        <w:pStyle w:val="Bibliography"/>
      </w:pPr>
      <w:r>
        <w:t xml:space="preserve">18.</w:t>
      </w:r>
      <w:r>
        <w:t xml:space="preserve"> </w:t>
      </w:r>
      <w:r>
        <w:t xml:space="preserve">	</w:t>
      </w:r>
      <w:r>
        <w:t xml:space="preserve">National Primary Health Care Development Agency (NPHCDA) National Strategic Immunisation Plan and Schedule of Services 2018–2028 2018.</w:t>
      </w:r>
    </w:p>
    <w:bookmarkEnd w:id="93"/>
    <w:bookmarkStart w:id="95" w:name="ref-ref8_andersen1995revisiting"/>
    <w:p>
      <w:pPr>
        <w:pStyle w:val="Bibliography"/>
      </w:pPr>
      <w:r>
        <w:t xml:space="preserve">19.</w:t>
      </w:r>
      <w:r>
        <w:t xml:space="preserve"> </w:t>
      </w:r>
      <w:r>
        <w:t xml:space="preserve">	</w:t>
      </w:r>
      <w:r>
        <w:t xml:space="preserve">Andersen, R.M. Revisiting the Behavioral Model and Access to Medical Care: Does It Matter?</w:t>
      </w:r>
      <w:r>
        <w:t xml:space="preserve"> </w:t>
      </w:r>
      <w:r>
        <w:rPr>
          <w:i/>
          <w:iCs/>
        </w:rPr>
        <w:t xml:space="preserve">Journal of Health and Social Behavior</w:t>
      </w:r>
      <w:r>
        <w:t xml:space="preserve"> </w:t>
      </w:r>
      <w:r>
        <w:rPr>
          <w:b/>
          <w:bCs/>
        </w:rPr>
        <w:t xml:space="preserve">1995</w:t>
      </w:r>
      <w:r>
        <w:t xml:space="preserve">,</w:t>
      </w:r>
      <w:r>
        <w:t xml:space="preserve"> </w:t>
      </w:r>
      <w:r>
        <w:rPr>
          <w:i/>
          <w:iCs/>
        </w:rPr>
        <w:t xml:space="preserve">36</w:t>
      </w:r>
      <w:r>
        <w:t xml:space="preserve">, 1–10, doi:</w:t>
      </w:r>
      <w:hyperlink r:id="rId94">
        <w:r>
          <w:rPr>
            <w:rStyle w:val="Hyperlink"/>
          </w:rPr>
          <w:t xml:space="preserve">10.2307/2137284</w:t>
        </w:r>
      </w:hyperlink>
      <w:r>
        <w:t xml:space="preserve">.</w:t>
      </w:r>
    </w:p>
    <w:bookmarkEnd w:id="95"/>
    <w:bookmarkStart w:id="97" w:name="ref-ref22_chen2016xgboost"/>
    <w:p>
      <w:pPr>
        <w:pStyle w:val="Bibliography"/>
      </w:pPr>
      <w:r>
        <w:t xml:space="preserve">20.</w:t>
      </w:r>
      <w:r>
        <w:t xml:space="preserve"> </w:t>
      </w:r>
      <w:r>
        <w:t xml:space="preserve">	</w:t>
      </w:r>
      <w:r>
        <w:t xml:space="preserve">Chen, T.; Guestrin, C.</w:t>
      </w:r>
      <w:r>
        <w:t xml:space="preserve"> </w:t>
      </w:r>
      <w:hyperlink r:id="rId96">
        <w:r>
          <w:rPr>
            <w:rStyle w:val="Hyperlink"/>
          </w:rPr>
          <w:t xml:space="preserve">XGBoost</w:t>
        </w:r>
        <w:r>
          <w:rPr>
            <w:rStyle w:val="Hyperlink"/>
          </w:rPr>
          <w:t xml:space="preserve">: A Scalable Tree Boosting System</w:t>
        </w:r>
      </w:hyperlink>
      <w:r>
        <w:t xml:space="preserve">. In Proceedings of the Proceedings of the 22nd ACM SIGKDD international conference on knowledge discovery and data mining; 2016; pp. 785–794.</w:t>
      </w:r>
    </w:p>
    <w:bookmarkEnd w:id="97"/>
    <w:bookmarkStart w:id="99" w:name="ref-ref14_komorowski2018artificial"/>
    <w:p>
      <w:pPr>
        <w:pStyle w:val="Bibliography"/>
      </w:pPr>
      <w:r>
        <w:t xml:space="preserve">21.</w:t>
      </w:r>
      <w:r>
        <w:t xml:space="preserve"> </w:t>
      </w:r>
      <w:r>
        <w:t xml:space="preserve">	</w:t>
      </w:r>
      <w:r>
        <w:t xml:space="preserve">Komorowski, M.; Celi, L.A.; Badawi, O.; et al.</w:t>
      </w:r>
      <w:r>
        <w:t xml:space="preserve"> </w:t>
      </w:r>
      <w:r>
        <w:t xml:space="preserve">The</w:t>
      </w:r>
      <w:r>
        <w:t xml:space="preserve"> </w:t>
      </w:r>
      <w:r>
        <w:t xml:space="preserve">Artificial Intelligence Clinician</w:t>
      </w:r>
      <w:r>
        <w:t xml:space="preserve"> </w:t>
      </w:r>
      <w:r>
        <w:t xml:space="preserve">Learns Optimal Treatment Strategies for Sepsis in Intensive Care.</w:t>
      </w:r>
      <w:r>
        <w:t xml:space="preserve"> </w:t>
      </w:r>
      <w:r>
        <w:rPr>
          <w:i/>
          <w:iCs/>
        </w:rPr>
        <w:t xml:space="preserve">Nature Medicine</w:t>
      </w:r>
      <w:r>
        <w:t xml:space="preserve"> </w:t>
      </w:r>
      <w:r>
        <w:rPr>
          <w:b/>
          <w:bCs/>
        </w:rPr>
        <w:t xml:space="preserve">2018</w:t>
      </w:r>
      <w:r>
        <w:t xml:space="preserve">,</w:t>
      </w:r>
      <w:r>
        <w:t xml:space="preserve"> </w:t>
      </w:r>
      <w:r>
        <w:rPr>
          <w:i/>
          <w:iCs/>
        </w:rPr>
        <w:t xml:space="preserve">24</w:t>
      </w:r>
      <w:r>
        <w:t xml:space="preserve">, 1716–1720, doi:</w:t>
      </w:r>
      <w:hyperlink r:id="rId98">
        <w:r>
          <w:rPr>
            <w:rStyle w:val="Hyperlink"/>
          </w:rPr>
          <w:t xml:space="preserve">10.1038/s41591-018-0213-5</w:t>
        </w:r>
      </w:hyperlink>
      <w:r>
        <w:t xml:space="preserve">.</w:t>
      </w:r>
    </w:p>
    <w:bookmarkEnd w:id="99"/>
    <w:bookmarkStart w:id="101" w:name="ref-ref38_marseille2015thresholds"/>
    <w:p>
      <w:pPr>
        <w:pStyle w:val="Bibliography"/>
      </w:pPr>
      <w:r>
        <w:t xml:space="preserve">22.</w:t>
      </w:r>
      <w:r>
        <w:t xml:space="preserve"> </w:t>
      </w:r>
      <w:r>
        <w:t xml:space="preserve">	</w:t>
      </w:r>
      <w:r>
        <w:t xml:space="preserve">Marseille, E.; Larson, B.; Kazi, D.S.; et al.</w:t>
      </w:r>
      <w:r>
        <w:t xml:space="preserve"> </w:t>
      </w:r>
      <w:r>
        <w:t xml:space="preserve">Thresholds for the Cost-Effectiveness of Interventions: Alternative Approaches.</w:t>
      </w:r>
      <w:r>
        <w:t xml:space="preserve"> </w:t>
      </w:r>
      <w:r>
        <w:rPr>
          <w:i/>
          <w:iCs/>
        </w:rPr>
        <w:t xml:space="preserve">Bulletin of the World Health Organization</w:t>
      </w:r>
      <w:r>
        <w:t xml:space="preserve"> </w:t>
      </w:r>
      <w:r>
        <w:rPr>
          <w:b/>
          <w:bCs/>
        </w:rPr>
        <w:t xml:space="preserve">2015</w:t>
      </w:r>
      <w:r>
        <w:t xml:space="preserve">,</w:t>
      </w:r>
      <w:r>
        <w:t xml:space="preserve"> </w:t>
      </w:r>
      <w:r>
        <w:rPr>
          <w:i/>
          <w:iCs/>
        </w:rPr>
        <w:t xml:space="preserve">93</w:t>
      </w:r>
      <w:r>
        <w:t xml:space="preserve">, 118–124, doi:</w:t>
      </w:r>
      <w:hyperlink r:id="rId100">
        <w:r>
          <w:rPr>
            <w:rStyle w:val="Hyperlink"/>
          </w:rPr>
          <w:t xml:space="preserve">10.2471/BLT.14.138206</w:t>
        </w:r>
      </w:hyperlink>
      <w:r>
        <w:t xml:space="preserve">.</w:t>
      </w:r>
    </w:p>
    <w:bookmarkEnd w:id="101"/>
    <w:bookmarkStart w:id="103" w:name="ref-ref41_who2019digital"/>
    <w:p>
      <w:pPr>
        <w:pStyle w:val="Bibliography"/>
      </w:pPr>
      <w:r>
        <w:t xml:space="preserve">23.</w:t>
      </w:r>
      <w:r>
        <w:t xml:space="preserve"> </w:t>
      </w:r>
      <w:r>
        <w:t xml:space="preserve">	</w:t>
      </w:r>
      <w:r>
        <w:t xml:space="preserve">World Health Organization</w:t>
      </w:r>
      <w:r>
        <w:t xml:space="preserve"> </w:t>
      </w:r>
      <w:hyperlink r:id="rId102">
        <w:r>
          <w:rPr>
            <w:rStyle w:val="Hyperlink"/>
          </w:rPr>
          <w:t xml:space="preserve">WHO</w:t>
        </w:r>
        <w:r>
          <w:rPr>
            <w:rStyle w:val="Hyperlink"/>
          </w:rPr>
          <w:t xml:space="preserve"> </w:t>
        </w:r>
        <w:r>
          <w:rPr>
            <w:rStyle w:val="Hyperlink"/>
          </w:rPr>
          <w:t xml:space="preserve">Guideline: Recommendations on Digital Interventions for Health System Strengthening</w:t>
        </w:r>
      </w:hyperlink>
      <w:r>
        <w:t xml:space="preserve"> </w:t>
      </w:r>
      <w:r>
        <w:t xml:space="preserve">2019.</w:t>
      </w:r>
    </w:p>
    <w:bookmarkEnd w:id="103"/>
    <w:bookmarkStart w:id="105" w:name="ref-ref19_icf2023geostat"/>
    <w:p>
      <w:pPr>
        <w:pStyle w:val="Bibliography"/>
      </w:pPr>
      <w:r>
        <w:t xml:space="preserve">24.</w:t>
      </w:r>
      <w:r>
        <w:t xml:space="preserve"> </w:t>
      </w:r>
      <w:r>
        <w:t xml:space="preserve">	</w:t>
      </w:r>
      <w:r>
        <w:t xml:space="preserve">ICF</w:t>
      </w:r>
      <w:r>
        <w:t xml:space="preserve"> </w:t>
      </w:r>
      <w:hyperlink r:id="rId104">
        <w:r>
          <w:rPr>
            <w:rStyle w:val="Hyperlink"/>
          </w:rPr>
          <w:t xml:space="preserve">The</w:t>
        </w:r>
        <w:r>
          <w:rPr>
            <w:rStyle w:val="Hyperlink"/>
          </w:rPr>
          <w:t xml:space="preserve"> </w:t>
        </w:r>
        <w:r>
          <w:rPr>
            <w:rStyle w:val="Hyperlink"/>
          </w:rPr>
          <w:t xml:space="preserve">DHS</w:t>
        </w:r>
        <w:r>
          <w:rPr>
            <w:rStyle w:val="Hyperlink"/>
          </w:rPr>
          <w:t xml:space="preserve"> </w:t>
        </w:r>
        <w:r>
          <w:rPr>
            <w:rStyle w:val="Hyperlink"/>
          </w:rPr>
          <w:t xml:space="preserve">Program Geospatial Covariates Dataset</w:t>
        </w:r>
      </w:hyperlink>
      <w:r>
        <w:t xml:space="preserve"> </w:t>
      </w:r>
      <w:r>
        <w:t xml:space="preserve">2023.</w:t>
      </w:r>
    </w:p>
    <w:bookmarkEnd w:id="105"/>
    <w:bookmarkStart w:id="107" w:name="ref-ref50_wuenic2024"/>
    <w:p>
      <w:pPr>
        <w:pStyle w:val="Bibliography"/>
      </w:pPr>
      <w:r>
        <w:t xml:space="preserve">25.</w:t>
      </w:r>
      <w:r>
        <w:t xml:space="preserve"> </w:t>
      </w:r>
      <w:r>
        <w:t xml:space="preserve">	</w:t>
      </w:r>
      <w:r>
        <w:t xml:space="preserve">WHO and UNICEF</w:t>
      </w:r>
      <w:r>
        <w:t xml:space="preserve"> </w:t>
      </w:r>
      <w:hyperlink r:id="rId106">
        <w:r>
          <w:rPr>
            <w:rStyle w:val="Hyperlink"/>
          </w:rPr>
          <w:t xml:space="preserve">WHO/UNICEF</w:t>
        </w:r>
        <w:r>
          <w:rPr>
            <w:rStyle w:val="Hyperlink"/>
          </w:rPr>
          <w:t xml:space="preserve"> </w:t>
        </w:r>
        <w:r>
          <w:rPr>
            <w:rStyle w:val="Hyperlink"/>
          </w:rPr>
          <w:t xml:space="preserve">Estimates of National Immunization Coverage (</w:t>
        </w:r>
        <w:r>
          <w:rPr>
            <w:rStyle w:val="Hyperlink"/>
          </w:rPr>
          <w:t xml:space="preserve">WUENIC</w:t>
        </w:r>
        <w:r>
          <w:rPr>
            <w:rStyle w:val="Hyperlink"/>
          </w:rPr>
          <w:t xml:space="preserve">) 2024 Revision</w:t>
        </w:r>
      </w:hyperlink>
      <w:r>
        <w:t xml:space="preserve"> </w:t>
      </w:r>
      <w:r>
        <w:t xml:space="preserve">2024.</w:t>
      </w:r>
    </w:p>
    <w:bookmarkEnd w:id="107"/>
    <w:bookmarkStart w:id="109" w:name="ref-worldpop2020"/>
    <w:p>
      <w:pPr>
        <w:pStyle w:val="Bibliography"/>
      </w:pPr>
      <w:r>
        <w:t xml:space="preserve">26.</w:t>
      </w:r>
      <w:r>
        <w:t xml:space="preserve"> </w:t>
      </w:r>
      <w:r>
        <w:t xml:space="preserve">	</w:t>
      </w:r>
      <w:r>
        <w:t xml:space="preserve">WorldPop; Center for International Earth Science Information Network (CIESIN), Columbia University</w:t>
      </w:r>
      <w:r>
        <w:t xml:space="preserve"> </w:t>
      </w:r>
      <w:hyperlink r:id="rId108">
        <w:r>
          <w:rPr>
            <w:rStyle w:val="Hyperlink"/>
          </w:rPr>
          <w:t xml:space="preserve">Global High Resolution Population Denominators Project —</w:t>
        </w:r>
        <w:r>
          <w:rPr>
            <w:rStyle w:val="Hyperlink"/>
          </w:rPr>
          <w:t xml:space="preserve"> </w:t>
        </w:r>
        <w:r>
          <w:rPr>
            <w:rStyle w:val="Hyperlink"/>
          </w:rPr>
          <w:t xml:space="preserve">UN</w:t>
        </w:r>
        <w:r>
          <w:rPr>
            <w:rStyle w:val="Hyperlink"/>
          </w:rPr>
          <w:t xml:space="preserve"> </w:t>
        </w:r>
        <w:r>
          <w:rPr>
            <w:rStyle w:val="Hyperlink"/>
          </w:rPr>
          <w:t xml:space="preserve">Adjusted Population Density 2020</w:t>
        </w:r>
      </w:hyperlink>
      <w:r>
        <w:t xml:space="preserve"> </w:t>
      </w:r>
      <w:r>
        <w:t xml:space="preserve">2020.</w:t>
      </w:r>
    </w:p>
    <w:bookmarkEnd w:id="109"/>
    <w:bookmarkStart w:id="111" w:name="ref-malariaatlas2020"/>
    <w:p>
      <w:pPr>
        <w:pStyle w:val="Bibliography"/>
      </w:pPr>
      <w:r>
        <w:t xml:space="preserve">27.</w:t>
      </w:r>
      <w:r>
        <w:t xml:space="preserve"> </w:t>
      </w:r>
      <w:r>
        <w:t xml:space="preserve">	</w:t>
      </w:r>
      <w:r>
        <w:t xml:space="preserve">Malaria Atlas Project</w:t>
      </w:r>
      <w:r>
        <w:t xml:space="preserve"> </w:t>
      </w:r>
      <w:hyperlink r:id="rId110">
        <w:r>
          <w:rPr>
            <w:rStyle w:val="Hyperlink"/>
          </w:rPr>
          <w:t xml:space="preserve">Malaria Prevalence and</w:t>
        </w:r>
        <w:r>
          <w:rPr>
            <w:rStyle w:val="Hyperlink"/>
          </w:rPr>
          <w:t xml:space="preserve"> </w:t>
        </w:r>
        <w:r>
          <w:rPr>
            <w:rStyle w:val="Hyperlink"/>
          </w:rPr>
          <w:t xml:space="preserve">ITN</w:t>
        </w:r>
        <w:r>
          <w:rPr>
            <w:rStyle w:val="Hyperlink"/>
          </w:rPr>
          <w:t xml:space="preserve"> </w:t>
        </w:r>
        <w:r>
          <w:rPr>
            <w:rStyle w:val="Hyperlink"/>
          </w:rPr>
          <w:t xml:space="preserve">Coverage Estimates 2020</w:t>
        </w:r>
      </w:hyperlink>
      <w:r>
        <w:t xml:space="preserve"> </w:t>
      </w:r>
      <w:r>
        <w:t xml:space="preserve">2020.</w:t>
      </w:r>
    </w:p>
    <w:bookmarkEnd w:id="111"/>
    <w:bookmarkStart w:id="113" w:name="ref-ref24_delong1988comparing"/>
    <w:p>
      <w:pPr>
        <w:pStyle w:val="Bibliography"/>
      </w:pPr>
      <w:r>
        <w:t xml:space="preserve">28.</w:t>
      </w:r>
      <w:r>
        <w:t xml:space="preserve"> </w:t>
      </w:r>
      <w:r>
        <w:t xml:space="preserve">	</w:t>
      </w:r>
      <w:r>
        <w:t xml:space="preserve">DeLong, E.R.; DeLong, D.M.; Clarke-Pearson, D.L. Comparing the Areas Under Two or More Correlated Receiver Operating Characteristic Curves: A Nonparametric Approach.</w:t>
      </w:r>
      <w:r>
        <w:t xml:space="preserve"> </w:t>
      </w:r>
      <w:r>
        <w:rPr>
          <w:i/>
          <w:iCs/>
        </w:rPr>
        <w:t xml:space="preserve">Biometrics</w:t>
      </w:r>
      <w:r>
        <w:t xml:space="preserve"> </w:t>
      </w:r>
      <w:r>
        <w:rPr>
          <w:b/>
          <w:bCs/>
        </w:rPr>
        <w:t xml:space="preserve">1988</w:t>
      </w:r>
      <w:r>
        <w:t xml:space="preserve">,</w:t>
      </w:r>
      <w:r>
        <w:t xml:space="preserve"> </w:t>
      </w:r>
      <w:r>
        <w:rPr>
          <w:i/>
          <w:iCs/>
        </w:rPr>
        <w:t xml:space="preserve">44</w:t>
      </w:r>
      <w:r>
        <w:t xml:space="preserve">, 837–845, doi:</w:t>
      </w:r>
      <w:hyperlink r:id="rId112">
        <w:r>
          <w:rPr>
            <w:rStyle w:val="Hyperlink"/>
          </w:rPr>
          <w:t xml:space="preserve">10.2307/2531595</w:t>
        </w:r>
      </w:hyperlink>
      <w:r>
        <w:t xml:space="preserve">.</w:t>
      </w:r>
    </w:p>
    <w:bookmarkEnd w:id="113"/>
    <w:bookmarkStart w:id="115" w:name="ref-ref27_niculescu2005predicting"/>
    <w:p>
      <w:pPr>
        <w:pStyle w:val="Bibliography"/>
      </w:pPr>
      <w:r>
        <w:t xml:space="preserve">29.</w:t>
      </w:r>
      <w:r>
        <w:t xml:space="preserve"> </w:t>
      </w:r>
      <w:r>
        <w:t xml:space="preserve">	</w:t>
      </w:r>
      <w:r>
        <w:t xml:space="preserve">Niculescu-Mizil, A.; Caruana, R.</w:t>
      </w:r>
      <w:r>
        <w:t xml:space="preserve"> </w:t>
      </w:r>
      <w:hyperlink r:id="rId114">
        <w:r>
          <w:rPr>
            <w:rStyle w:val="Hyperlink"/>
          </w:rPr>
          <w:t xml:space="preserve">Predicting Good Probabilities with Supervised Learning</w:t>
        </w:r>
      </w:hyperlink>
      <w:r>
        <w:t xml:space="preserve">. In Proceedings of the Proceedings of the 22nd international conference on machine learning (ICML); 2005; pp. 625–632.</w:t>
      </w:r>
    </w:p>
    <w:bookmarkEnd w:id="115"/>
    <w:bookmarkStart w:id="116" w:name="ref-ref28_lundberg2017unified"/>
    <w:p>
      <w:pPr>
        <w:pStyle w:val="Bibliography"/>
      </w:pPr>
      <w:r>
        <w:t xml:space="preserve">30.</w:t>
      </w:r>
      <w:r>
        <w:t xml:space="preserve"> </w:t>
      </w:r>
      <w:r>
        <w:t xml:space="preserve">	</w:t>
      </w:r>
      <w:r>
        <w:t xml:space="preserve">Lundberg, S.M.; Lee, S.-I. A Unified Approach to Interpreting Model Predictions. In Proceedings of the Advances in neural information processing systems (NeurIPS); 2017; Vol. 30, pp. 4765–4774.</w:t>
      </w:r>
    </w:p>
    <w:bookmarkEnd w:id="116"/>
    <w:bookmarkStart w:id="118" w:name="ref-ref30_gottesman2019guidelines"/>
    <w:p>
      <w:pPr>
        <w:pStyle w:val="Bibliography"/>
      </w:pPr>
      <w:r>
        <w:t xml:space="preserve">31.</w:t>
      </w:r>
      <w:r>
        <w:t xml:space="preserve"> </w:t>
      </w:r>
      <w:r>
        <w:t xml:space="preserve">	</w:t>
      </w:r>
      <w:r>
        <w:t xml:space="preserve">Gottesman, O.; Johansson, F.; Komorowski, M.; Faisal, A.; Sontag, D.; Doshi-Velez, F.; Celi, L.A. Guidelines for Reinforcement Learning in Healthcare.</w:t>
      </w:r>
      <w:r>
        <w:t xml:space="preserve"> </w:t>
      </w:r>
      <w:r>
        <w:rPr>
          <w:i/>
          <w:iCs/>
        </w:rPr>
        <w:t xml:space="preserve">Nature Medicine</w:t>
      </w:r>
      <w:r>
        <w:t xml:space="preserve"> </w:t>
      </w:r>
      <w:r>
        <w:rPr>
          <w:b/>
          <w:bCs/>
        </w:rPr>
        <w:t xml:space="preserve">2019</w:t>
      </w:r>
      <w:r>
        <w:t xml:space="preserve">,</w:t>
      </w:r>
      <w:r>
        <w:t xml:space="preserve"> </w:t>
      </w:r>
      <w:r>
        <w:rPr>
          <w:i/>
          <w:iCs/>
        </w:rPr>
        <w:t xml:space="preserve">25</w:t>
      </w:r>
      <w:r>
        <w:t xml:space="preserve">, 16–18, doi:</w:t>
      </w:r>
      <w:hyperlink r:id="rId117">
        <w:r>
          <w:rPr>
            <w:rStyle w:val="Hyperlink"/>
          </w:rPr>
          <w:t xml:space="preserve">10.1038/s41591-018-0310-5</w:t>
        </w:r>
      </w:hyperlink>
      <w:r>
        <w:t xml:space="preserve">.</w:t>
      </w:r>
    </w:p>
    <w:bookmarkEnd w:id="118"/>
    <w:bookmarkStart w:id="119" w:name="ref-ref32_jiang2016doubly"/>
    <w:p>
      <w:pPr>
        <w:pStyle w:val="Bibliography"/>
      </w:pPr>
      <w:r>
        <w:t xml:space="preserve">32.</w:t>
      </w:r>
      <w:r>
        <w:t xml:space="preserve"> </w:t>
      </w:r>
      <w:r>
        <w:t xml:space="preserve">	</w:t>
      </w:r>
      <w:r>
        <w:t xml:space="preserve">Jiang, N.; Li, L. Doubly Robust Off-Policy Value Evaluation for Reinforcement Learning. In Proceedings of the International conference on machine learning (ICML); 2016; pp. 652–661.</w:t>
      </w:r>
    </w:p>
    <w:bookmarkEnd w:id="119"/>
    <w:bookmarkStart w:id="121" w:name="ref-ref33_li2010contextual"/>
    <w:p>
      <w:pPr>
        <w:pStyle w:val="Bibliography"/>
      </w:pPr>
      <w:r>
        <w:t xml:space="preserve">33.</w:t>
      </w:r>
      <w:r>
        <w:t xml:space="preserve"> </w:t>
      </w:r>
      <w:r>
        <w:t xml:space="preserve">	</w:t>
      </w:r>
      <w:r>
        <w:t xml:space="preserve">Li, L.; Chu, W.; Langford, J.; Schapire, R.E.</w:t>
      </w:r>
      <w:r>
        <w:t xml:space="preserve"> </w:t>
      </w:r>
      <w:hyperlink r:id="rId120">
        <w:r>
          <w:rPr>
            <w:rStyle w:val="Hyperlink"/>
          </w:rPr>
          <w:t xml:space="preserve">A Contextual-Bandit Approach to Personalized News Article Recommendation</w:t>
        </w:r>
      </w:hyperlink>
      <w:r>
        <w:t xml:space="preserve">. In Proceedings of the Proceedings of the 19th international conference on world wide web (WWW); 2010; pp. 661–670.</w:t>
      </w:r>
    </w:p>
    <w:bookmarkEnd w:id="121"/>
    <w:bookmarkStart w:id="123" w:name="ref-ref36_husereau2022consolidated"/>
    <w:p>
      <w:pPr>
        <w:pStyle w:val="Bibliography"/>
      </w:pPr>
      <w:r>
        <w:t xml:space="preserve">34.</w:t>
      </w:r>
      <w:r>
        <w:t xml:space="preserve"> </w:t>
      </w:r>
      <w:r>
        <w:t xml:space="preserve">	</w:t>
      </w:r>
      <w:r>
        <w:t xml:space="preserve">Husereau, D.; Drummond, M.; Augustovski, F.; Bekker-Grob, E. de; Briggs, A.H.; Carswell, C.; Caulley, L.; Chaiyakunapruk, N.; Greenberg, D.; Loder, E.; et al.</w:t>
      </w:r>
      <w:r>
        <w:t xml:space="preserve"> </w:t>
      </w:r>
      <w:r>
        <w:t xml:space="preserve">Consolidated Health Economic Evaluation Reporting Standards 2022 (</w:t>
      </w:r>
      <w:r>
        <w:t xml:space="preserve">CHEERS</w:t>
      </w:r>
      <w:r>
        <w:t xml:space="preserve"> </w:t>
      </w:r>
      <w:r>
        <w:t xml:space="preserve">2022) Statement: Updated Reporting Guidance for Health Economic Evaluations.</w:t>
      </w:r>
      <w:r>
        <w:t xml:space="preserve"> </w:t>
      </w:r>
      <w:r>
        <w:rPr>
          <w:i/>
          <w:iCs/>
        </w:rPr>
        <w:t xml:space="preserve">BMC Medicine</w:t>
      </w:r>
      <w:r>
        <w:t xml:space="preserve"> </w:t>
      </w:r>
      <w:r>
        <w:rPr>
          <w:b/>
          <w:bCs/>
        </w:rPr>
        <w:t xml:space="preserve">2022</w:t>
      </w:r>
      <w:r>
        <w:t xml:space="preserve">,</w:t>
      </w:r>
      <w:r>
        <w:t xml:space="preserve"> </w:t>
      </w:r>
      <w:r>
        <w:rPr>
          <w:i/>
          <w:iCs/>
        </w:rPr>
        <w:t xml:space="preserve">20</w:t>
      </w:r>
      <w:r>
        <w:t xml:space="preserve">, 23, doi:</w:t>
      </w:r>
      <w:hyperlink r:id="rId122">
        <w:r>
          <w:rPr>
            <w:rStyle w:val="Hyperlink"/>
          </w:rPr>
          <w:t xml:space="preserve">10.1186/s12916-021-02204-0</w:t>
        </w:r>
      </w:hyperlink>
      <w:r>
        <w:t xml:space="preserve">.</w:t>
      </w:r>
    </w:p>
    <w:bookmarkEnd w:id="123"/>
    <w:bookmarkStart w:id="124" w:name="ref-ref46_mekonnen2021mobile"/>
    <w:p>
      <w:pPr>
        <w:pStyle w:val="Bibliography"/>
      </w:pPr>
      <w:r>
        <w:t xml:space="preserve">35.</w:t>
      </w:r>
      <w:r>
        <w:t xml:space="preserve"> </w:t>
      </w:r>
      <w:r>
        <w:t xml:space="preserve">	</w:t>
      </w:r>
      <w:r>
        <w:t xml:space="preserve">Mekonnen, Z.A. et al.</w:t>
      </w:r>
      <w:r>
        <w:t xml:space="preserve"> </w:t>
      </w:r>
      <w:r>
        <w:t xml:space="preserve">Mobile Phone-Based Interventions for Improving Childhood Immunization in Sub-</w:t>
      </w:r>
      <w:r>
        <w:t xml:space="preserve">Saharan</w:t>
      </w:r>
      <w:r>
        <w:t xml:space="preserve"> </w:t>
      </w:r>
      <w:r>
        <w:t xml:space="preserve">Africa</w:t>
      </w:r>
      <w:r>
        <w:t xml:space="preserve">: A Systematic Review and Meta-Analysis.</w:t>
      </w:r>
      <w:r>
        <w:t xml:space="preserve"> </w:t>
      </w:r>
      <w:r>
        <w:rPr>
          <w:i/>
          <w:iCs/>
        </w:rPr>
        <w:t xml:space="preserve">BMC Public Health</w:t>
      </w:r>
      <w:r>
        <w:t xml:space="preserve"> </w:t>
      </w:r>
      <w:r>
        <w:rPr>
          <w:b/>
          <w:bCs/>
        </w:rPr>
        <w:t xml:space="preserve">2021</w:t>
      </w:r>
      <w:r>
        <w:t xml:space="preserve">,</w:t>
      </w:r>
      <w:r>
        <w:t xml:space="preserve"> </w:t>
      </w:r>
      <w:r>
        <w:rPr>
          <w:i/>
          <w:iCs/>
        </w:rPr>
        <w:t xml:space="preserve">21</w:t>
      </w:r>
      <w:r>
        <w:t xml:space="preserve">, 2200.</w:t>
      </w:r>
    </w:p>
    <w:bookmarkEnd w:id="124"/>
    <w:bookmarkStart w:id="126" w:name="ref-ref39_chakraborty2013dtr"/>
    <w:p>
      <w:pPr>
        <w:pStyle w:val="Bibliography"/>
      </w:pPr>
      <w:r>
        <w:t xml:space="preserve">36.</w:t>
      </w:r>
      <w:r>
        <w:t xml:space="preserve"> </w:t>
      </w:r>
      <w:r>
        <w:t xml:space="preserve">	</w:t>
      </w:r>
      <w:r>
        <w:t xml:space="preserve">Chakraborty, B.; Moodie, E.E.M.</w:t>
      </w:r>
      <w:r>
        <w:t xml:space="preserve"> </w:t>
      </w:r>
      <w:hyperlink r:id="rId125">
        <w:r>
          <w:rPr>
            <w:rStyle w:val="Hyperlink"/>
            <w:i/>
            <w:iCs/>
          </w:rPr>
          <w:t xml:space="preserve">Statistical Methods for Dynamic Treatment Regimes</w:t>
        </w:r>
      </w:hyperlink>
      <w:r>
        <w:t xml:space="preserve">; Springer: New York, 2013;</w:t>
      </w:r>
    </w:p>
    <w:bookmarkEnd w:id="126"/>
    <w:bookmarkStart w:id="127" w:name="ref-ref40_tsiatis2020dtr"/>
    <w:p>
      <w:pPr>
        <w:pStyle w:val="Bibliography"/>
      </w:pPr>
      <w:r>
        <w:t xml:space="preserve">37.</w:t>
      </w:r>
      <w:r>
        <w:t xml:space="preserve"> </w:t>
      </w:r>
      <w:r>
        <w:t xml:space="preserve">	</w:t>
      </w:r>
      <w:r>
        <w:t xml:space="preserve">Tsiatis, A.A.; Davidian, M.; Holloway, S.T.; Laber, E.B.</w:t>
      </w:r>
      <w:r>
        <w:t xml:space="preserve"> </w:t>
      </w:r>
      <w:r>
        <w:rPr>
          <w:i/>
          <w:iCs/>
        </w:rPr>
        <w:t xml:space="preserve">Dynamic Treatment Regimes: Statistical Methods for Precision Medicine</w:t>
      </w:r>
      <w:r>
        <w:t xml:space="preserve">; CRC Press: Boca Raton, 2020;</w:t>
      </w:r>
    </w:p>
    <w:bookmarkEnd w:id="127"/>
    <w:bookmarkStart w:id="128" w:name="ref-ref47_sato2024offline"/>
    <w:p>
      <w:pPr>
        <w:pStyle w:val="Bibliography"/>
      </w:pPr>
      <w:r>
        <w:t xml:space="preserve">38.</w:t>
      </w:r>
      <w:r>
        <w:t xml:space="preserve"> </w:t>
      </w:r>
      <w:r>
        <w:t xml:space="preserve">	</w:t>
      </w:r>
      <w:r>
        <w:t xml:space="preserve">Sato, Y.; Takasaki, Y. Offline Reinforcement Learning for Public Health: A Tutorial.</w:t>
      </w:r>
      <w:r>
        <w:t xml:space="preserve"> </w:t>
      </w:r>
      <w:r>
        <w:rPr>
          <w:i/>
          <w:iCs/>
        </w:rPr>
        <w:t xml:space="preserve">Statistics in Medicine</w:t>
      </w:r>
      <w:r>
        <w:t xml:space="preserve"> </w:t>
      </w:r>
      <w:r>
        <w:rPr>
          <w:b/>
          <w:bCs/>
        </w:rPr>
        <w:t xml:space="preserve">2024</w:t>
      </w:r>
      <w:r>
        <w:t xml:space="preserve">,</w:t>
      </w:r>
      <w:r>
        <w:t xml:space="preserve"> </w:t>
      </w:r>
      <w:r>
        <w:rPr>
          <w:i/>
          <w:iCs/>
        </w:rPr>
        <w:t xml:space="preserve">43</w:t>
      </w:r>
      <w:r>
        <w:t xml:space="preserve">, 1012–1030.</w:t>
      </w:r>
    </w:p>
    <w:bookmarkEnd w:id="128"/>
    <w:bookmarkStart w:id="130" w:name="ref-ref53_yechezkel2023ppo"/>
    <w:p>
      <w:pPr>
        <w:pStyle w:val="Bibliography"/>
      </w:pPr>
      <w:r>
        <w:t xml:space="preserve">39.</w:t>
      </w:r>
      <w:r>
        <w:t xml:space="preserve"> </w:t>
      </w:r>
      <w:r>
        <w:t xml:space="preserve">	</w:t>
      </w:r>
      <w:r>
        <w:t xml:space="preserve">Yechezkel, M. et al.</w:t>
      </w:r>
      <w:r>
        <w:t xml:space="preserve"> </w:t>
      </w:r>
      <w:r>
        <w:t xml:space="preserve">Multi-City Dynamic Allocation of</w:t>
      </w:r>
      <w:r>
        <w:t xml:space="preserve"> </w:t>
      </w:r>
      <w:r>
        <w:t xml:space="preserve">COVID-19</w:t>
      </w:r>
      <w:r>
        <w:t xml:space="preserve"> </w:t>
      </w:r>
      <w:r>
        <w:t xml:space="preserve">Vaccines Using Reinforcement Learning.</w:t>
      </w:r>
      <w:r>
        <w:t xml:space="preserve"> </w:t>
      </w:r>
      <w:r>
        <w:rPr>
          <w:i/>
          <w:iCs/>
        </w:rPr>
        <w:t xml:space="preserve">Nature Communications</w:t>
      </w:r>
      <w:r>
        <w:t xml:space="preserve"> </w:t>
      </w:r>
      <w:r>
        <w:rPr>
          <w:b/>
          <w:bCs/>
        </w:rPr>
        <w:t xml:space="preserve">2023</w:t>
      </w:r>
      <w:r>
        <w:t xml:space="preserve">,</w:t>
      </w:r>
      <w:r>
        <w:t xml:space="preserve"> </w:t>
      </w:r>
      <w:r>
        <w:rPr>
          <w:i/>
          <w:iCs/>
        </w:rPr>
        <w:t xml:space="preserve">14</w:t>
      </w:r>
      <w:r>
        <w:t xml:space="preserve">, 3960, doi:</w:t>
      </w:r>
      <w:hyperlink r:id="rId129">
        <w:r>
          <w:rPr>
            <w:rStyle w:val="Hyperlink"/>
          </w:rPr>
          <w:t xml:space="preserve">10.1038/s41467-023-39519-4</w:t>
        </w:r>
      </w:hyperlink>
      <w:r>
        <w:t xml:space="preserve">.</w:t>
      </w:r>
    </w:p>
    <w:bookmarkEnd w:id="130"/>
    <w:bookmarkEnd w:id="131"/>
    <w:bookmarkEnd w:id="132"/>
    <w:bookmarkEnd w:id="133"/>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Palatino Linotype" w:hAnsi="Palatino Linotype"/>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Palatino Linotype" w:asciiTheme="majorHAnsi" w:cstheme="majorBidi" w:eastAsiaTheme="majorEastAsia" w:hAnsi="Palatino Linotype" w:hAnsiTheme="majorHAnsi"/>
      <w:b/>
      <w:bCs/>
      <w:color w:themeColor="accent1" w:themeShade="BF" w:val="365F91"/>
      <w:sz w:val="2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Palatino Linotype" w:asciiTheme="majorHAnsi" w:cstheme="majorBidi" w:eastAsiaTheme="majorEastAsia" w:hAnsi="Palatino Linotype" w:hAnsiTheme="majorHAnsi"/>
      <w:b/>
      <w:bCs/>
      <w:color w:themeColor="accent1" w:val="4F81BD"/>
      <w:sz w:val="2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Palatino Linotype" w:asciiTheme="majorHAnsi" w:cstheme="majorBidi" w:eastAsiaTheme="majorEastAsia" w:hAnsi="Palatino Linotype" w:hAnsiTheme="majorHAnsi"/>
      <w:b/>
      <w:bCs/>
      <w:color w:themeColor="accent1" w:val="4F81BD"/>
      <w:sz w:val="2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hyperlink" Id="rId104" Target="https://dhsprogram.com/data/available-datasets.cfm" TargetMode="External" /><Relationship Type="http://schemas.openxmlformats.org/officeDocument/2006/relationships/hyperlink" Id="rId69" Target="https://dhsprogram.com/pubs/pdf/FR381/FR381.pdf" TargetMode="External" /><Relationship Type="http://schemas.openxmlformats.org/officeDocument/2006/relationships/hyperlink" Id="rId87" Target="https://doi.org/10.1002/14651858.CD003941.pub3" TargetMode="External" /><Relationship Type="http://schemas.openxmlformats.org/officeDocument/2006/relationships/hyperlink" Id="rId125" Target="https://doi.org/10.1007/978-1-4614-7428-9" TargetMode="External" /><Relationship Type="http://schemas.openxmlformats.org/officeDocument/2006/relationships/hyperlink" Id="rId77" Target="https://doi.org/10.1016/j.vaccine.2014.10.063" TargetMode="External" /><Relationship Type="http://schemas.openxmlformats.org/officeDocument/2006/relationships/hyperlink" Id="rId129" Target="https://doi.org/10.1038/s41467-023-39519-4" TargetMode="External" /><Relationship Type="http://schemas.openxmlformats.org/officeDocument/2006/relationships/hyperlink" Id="rId98" Target="https://doi.org/10.1038/s41591-018-0213-5" TargetMode="External" /><Relationship Type="http://schemas.openxmlformats.org/officeDocument/2006/relationships/hyperlink" Id="rId117" Target="https://doi.org/10.1038/s41591-018-0310-5" TargetMode="External" /><Relationship Type="http://schemas.openxmlformats.org/officeDocument/2006/relationships/hyperlink" Id="rId85" Target="https://doi.org/10.1080/21645515.2020.1785149" TargetMode="External" /><Relationship Type="http://schemas.openxmlformats.org/officeDocument/2006/relationships/hyperlink" Id="rId79" Target="https://doi.org/10.1093/inthealth/ihu027" TargetMode="External" /><Relationship Type="http://schemas.openxmlformats.org/officeDocument/2006/relationships/hyperlink" Id="rId67" Target="https://doi.org/10.1136/bmj-2023-078378" TargetMode="External" /><Relationship Type="http://schemas.openxmlformats.org/officeDocument/2006/relationships/hyperlink" Id="rId89" Target="https://doi.org/10.1136/bmj.c2220" TargetMode="External" /><Relationship Type="http://schemas.openxmlformats.org/officeDocument/2006/relationships/hyperlink" Id="rId114" Target="https://doi.org/10.1145/1102351.1102430" TargetMode="External" /><Relationship Type="http://schemas.openxmlformats.org/officeDocument/2006/relationships/hyperlink" Id="rId120" Target="https://doi.org/10.1145/1772690.1772758" TargetMode="External" /><Relationship Type="http://schemas.openxmlformats.org/officeDocument/2006/relationships/hyperlink" Id="rId96" Target="https://doi.org/10.1145/2939672.2939785" TargetMode="External" /><Relationship Type="http://schemas.openxmlformats.org/officeDocument/2006/relationships/hyperlink" Id="rId83" Target="https://doi.org/10.1186/s12889-021-11466-5" TargetMode="External" /><Relationship Type="http://schemas.openxmlformats.org/officeDocument/2006/relationships/hyperlink" Id="rId75" Target="https://doi.org/10.1186/s12889-024-17905-3" TargetMode="External" /><Relationship Type="http://schemas.openxmlformats.org/officeDocument/2006/relationships/hyperlink" Id="rId122" Target="https://doi.org/10.1186/s12916-021-02204-0" TargetMode="External" /><Relationship Type="http://schemas.openxmlformats.org/officeDocument/2006/relationships/hyperlink" Id="rId81" Target="https://doi.org/10.1371/journal.pone.0037905" TargetMode="External" /><Relationship Type="http://schemas.openxmlformats.org/officeDocument/2006/relationships/hyperlink" Id="rId73" Target="https://doi.org/10.1371/journal.pone.0297326" TargetMode="External" /><Relationship Type="http://schemas.openxmlformats.org/officeDocument/2006/relationships/hyperlink" Id="rId94" Target="https://doi.org/10.2307/2137284" TargetMode="External" /><Relationship Type="http://schemas.openxmlformats.org/officeDocument/2006/relationships/hyperlink" Id="rId112" Target="https://doi.org/10.2307/2531595" TargetMode="External" /><Relationship Type="http://schemas.openxmlformats.org/officeDocument/2006/relationships/hyperlink" Id="rId100" Target="https://doi.org/10.2471/BLT.14.138206" TargetMode="External" /><Relationship Type="http://schemas.openxmlformats.org/officeDocument/2006/relationships/hyperlink" Id="rId61" Target="https://doi.org/10.3390/vaccines11010167" TargetMode="External" /><Relationship Type="http://schemas.openxmlformats.org/officeDocument/2006/relationships/hyperlink" Id="rId65" Target="https://doi.org/10.3390/vaccines13111135" TargetMode="External" /><Relationship Type="http://schemas.openxmlformats.org/officeDocument/2006/relationships/hyperlink" Id="rId108" Target="https://doi.org/10.5258/SOTON/WP00647" TargetMode="External" /><Relationship Type="http://schemas.openxmlformats.org/officeDocument/2006/relationships/hyperlink" Id="rId106" Target="https://immunizationdata.who.int/" TargetMode="External" /><Relationship Type="http://schemas.openxmlformats.org/officeDocument/2006/relationships/hyperlink" Id="rId110" Target="https://malariaatlas.org/" TargetMode="External" /><Relationship Type="http://schemas.openxmlformats.org/officeDocument/2006/relationships/hyperlink" Id="rId71" Target="https://www.gavi.org/our-support/vaccines/zero-dose" TargetMode="External" /><Relationship Type="http://schemas.openxmlformats.org/officeDocument/2006/relationships/hyperlink" Id="rId63" Target="https://www.who.int/immunization/agenda2030/en/" TargetMode="External" /><Relationship Type="http://schemas.openxmlformats.org/officeDocument/2006/relationships/hyperlink" Id="rId102" Target="https://www.who.int/publications/i/item/9789241550505" TargetMode="External" /></Relationships>
</file>

<file path=word/_rels/footnotes.xml.rels><?xml version="1.0" encoding="UTF-8"?><Relationships xmlns="http://schemas.openxmlformats.org/package/2006/relationships"><Relationship Type="http://schemas.openxmlformats.org/officeDocument/2006/relationships/hyperlink" Id="rId104" Target="https://dhsprogram.com/data/available-datasets.cfm" TargetMode="External" /><Relationship Type="http://schemas.openxmlformats.org/officeDocument/2006/relationships/hyperlink" Id="rId69" Target="https://dhsprogram.com/pubs/pdf/FR381/FR381.pdf" TargetMode="External" /><Relationship Type="http://schemas.openxmlformats.org/officeDocument/2006/relationships/hyperlink" Id="rId87" Target="https://doi.org/10.1002/14651858.CD003941.pub3" TargetMode="External" /><Relationship Type="http://schemas.openxmlformats.org/officeDocument/2006/relationships/hyperlink" Id="rId125" Target="https://doi.org/10.1007/978-1-4614-7428-9" TargetMode="External" /><Relationship Type="http://schemas.openxmlformats.org/officeDocument/2006/relationships/hyperlink" Id="rId77" Target="https://doi.org/10.1016/j.vaccine.2014.10.063" TargetMode="External" /><Relationship Type="http://schemas.openxmlformats.org/officeDocument/2006/relationships/hyperlink" Id="rId129" Target="https://doi.org/10.1038/s41467-023-39519-4" TargetMode="External" /><Relationship Type="http://schemas.openxmlformats.org/officeDocument/2006/relationships/hyperlink" Id="rId98" Target="https://doi.org/10.1038/s41591-018-0213-5" TargetMode="External" /><Relationship Type="http://schemas.openxmlformats.org/officeDocument/2006/relationships/hyperlink" Id="rId117" Target="https://doi.org/10.1038/s41591-018-0310-5" TargetMode="External" /><Relationship Type="http://schemas.openxmlformats.org/officeDocument/2006/relationships/hyperlink" Id="rId85" Target="https://doi.org/10.1080/21645515.2020.1785149" TargetMode="External" /><Relationship Type="http://schemas.openxmlformats.org/officeDocument/2006/relationships/hyperlink" Id="rId79" Target="https://doi.org/10.1093/inthealth/ihu027" TargetMode="External" /><Relationship Type="http://schemas.openxmlformats.org/officeDocument/2006/relationships/hyperlink" Id="rId67" Target="https://doi.org/10.1136/bmj-2023-078378" TargetMode="External" /><Relationship Type="http://schemas.openxmlformats.org/officeDocument/2006/relationships/hyperlink" Id="rId89" Target="https://doi.org/10.1136/bmj.c2220" TargetMode="External" /><Relationship Type="http://schemas.openxmlformats.org/officeDocument/2006/relationships/hyperlink" Id="rId114" Target="https://doi.org/10.1145/1102351.1102430" TargetMode="External" /><Relationship Type="http://schemas.openxmlformats.org/officeDocument/2006/relationships/hyperlink" Id="rId120" Target="https://doi.org/10.1145/1772690.1772758" TargetMode="External" /><Relationship Type="http://schemas.openxmlformats.org/officeDocument/2006/relationships/hyperlink" Id="rId96" Target="https://doi.org/10.1145/2939672.2939785" TargetMode="External" /><Relationship Type="http://schemas.openxmlformats.org/officeDocument/2006/relationships/hyperlink" Id="rId83" Target="https://doi.org/10.1186/s12889-021-11466-5" TargetMode="External" /><Relationship Type="http://schemas.openxmlformats.org/officeDocument/2006/relationships/hyperlink" Id="rId75" Target="https://doi.org/10.1186/s12889-024-17905-3" TargetMode="External" /><Relationship Type="http://schemas.openxmlformats.org/officeDocument/2006/relationships/hyperlink" Id="rId122" Target="https://doi.org/10.1186/s12916-021-02204-0" TargetMode="External" /><Relationship Type="http://schemas.openxmlformats.org/officeDocument/2006/relationships/hyperlink" Id="rId81" Target="https://doi.org/10.1371/journal.pone.0037905" TargetMode="External" /><Relationship Type="http://schemas.openxmlformats.org/officeDocument/2006/relationships/hyperlink" Id="rId73" Target="https://doi.org/10.1371/journal.pone.0297326" TargetMode="External" /><Relationship Type="http://schemas.openxmlformats.org/officeDocument/2006/relationships/hyperlink" Id="rId94" Target="https://doi.org/10.2307/2137284" TargetMode="External" /><Relationship Type="http://schemas.openxmlformats.org/officeDocument/2006/relationships/hyperlink" Id="rId112" Target="https://doi.org/10.2307/2531595" TargetMode="External" /><Relationship Type="http://schemas.openxmlformats.org/officeDocument/2006/relationships/hyperlink" Id="rId100" Target="https://doi.org/10.2471/BLT.14.138206" TargetMode="External" /><Relationship Type="http://schemas.openxmlformats.org/officeDocument/2006/relationships/hyperlink" Id="rId61" Target="https://doi.org/10.3390/vaccines11010167" TargetMode="External" /><Relationship Type="http://schemas.openxmlformats.org/officeDocument/2006/relationships/hyperlink" Id="rId65" Target="https://doi.org/10.3390/vaccines13111135" TargetMode="External" /><Relationship Type="http://schemas.openxmlformats.org/officeDocument/2006/relationships/hyperlink" Id="rId108" Target="https://doi.org/10.5258/SOTON/WP00647" TargetMode="External" /><Relationship Type="http://schemas.openxmlformats.org/officeDocument/2006/relationships/hyperlink" Id="rId106" Target="https://immunizationdata.who.int/" TargetMode="External" /><Relationship Type="http://schemas.openxmlformats.org/officeDocument/2006/relationships/hyperlink" Id="rId110" Target="https://malariaatlas.org/" TargetMode="External" /><Relationship Type="http://schemas.openxmlformats.org/officeDocument/2006/relationships/hyperlink" Id="rId71" Target="https://www.gavi.org/our-support/vaccines/zero-dose" TargetMode="External" /><Relationship Type="http://schemas.openxmlformats.org/officeDocument/2006/relationships/hyperlink" Id="rId63" Target="https://www.who.int/immunization/agenda2030/en/" TargetMode="External" /><Relationship Type="http://schemas.openxmlformats.org/officeDocument/2006/relationships/hyperlink" Id="rId102" Target="https://www.who.int/publications/i/item/978924155050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2026-04-19T06:36:09Z</dcterms:created>
  <dcterms:modified xsi:type="dcterms:W3CDTF">2026-04-19T06:36:09Z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/Users/uthlekan/Library/CloudStorage/Dropbox/00Todo/00_ToReview/vacSeries/03_dropout/manuscript/references.bib</vt:lpwstr>
  </property>
  <property fmtid="{D5CDD505-2E9C-101B-9397-08002B2CF9AE}" pid="3" name="csl">
    <vt:lpwstr>/Users/uthlekan/Library/CloudStorage/Dropbox/00Todo/00_ToReview/vacSeries/03_dropout/assets/vaccines.csl</vt:lpwstr>
  </property>
</Properties>
</file>