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35.png" ContentType="image/png"/>
  <Override PartName="/word/media/rId31.png" ContentType="image/png"/>
  <Override PartName="/word/media/rId43.png" ContentType="image/png"/>
  <Override PartName="/word/media/rId39.png" ContentType="image/png"/>
  <Override PartName="/word/media/rId59.png" ContentType="image/png"/>
  <Override PartName="/word/media/rId55.png" ContentType="image/png"/>
  <Override PartName="/word/media/rId67.png" ContentType="image/png"/>
  <Override PartName="/word/media/rId63.png" ContentType="image/png"/>
  <Override PartName="/word/media/rId71.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432ef4eba99305355fd9a50e13d796f0dae687"/>
    <w:p>
      <w:pPr>
        <w:pStyle w:val="Heading1"/>
      </w:pPr>
      <w:r>
        <w:t xml:space="preserve">Supplementary Material S0 — Reporting Checklists</w:t>
      </w:r>
    </w:p>
    <w:bookmarkStart w:id="9" w:name="Xc579e6298b06d2596f1dca64daabf8b0ffba1cb"/>
    <w:p>
      <w:pPr>
        <w:pStyle w:val="Heading2"/>
      </w:pPr>
      <w:r>
        <w:t xml:space="preserve">S0.1 TRIPOD-AI Checklist (Collins et al. 2024)</w:t>
      </w:r>
      <w:r>
        <w:t xml:space="preserve"> </w:t>
      </w:r>
      <w:r>
        <w:t xml:space="preserve">[1]</w:t>
      </w:r>
    </w:p>
    <w:p>
      <w:pPr>
        <w:pStyle w:val="FirstParagraph"/>
      </w:pPr>
      <w:r>
        <w:t xml:space="preserve">TRIPOD-AI (Transparent Reporting of a multivariable prediction model for Individual Prognosis Or Diagnosis — Artificial Intelligence) provides 22 items for reporting studies that develop or validate prediction models incorporating AI/ML methods.</w:t>
      </w:r>
    </w:p>
    <w:tbl>
      <w:tblPr>
        <w:tblStyle w:val="Table"/>
        <w:tblW w:type="pct" w:w="5000"/>
        <w:tblLayout w:type="fixed"/>
        <w:tblLook w:firstRow="1" w:lastRow="0" w:firstColumn="0" w:lastColumn="0" w:noHBand="0" w:noVBand="0" w:val="0020"/>
      </w:tblPr>
      <w:tblGrid>
        <w:gridCol w:w="896"/>
        <w:gridCol w:w="1195"/>
        <w:gridCol w:w="1942"/>
        <w:gridCol w:w="2839"/>
        <w:gridCol w:w="1046"/>
      </w:tblGrid>
      <w:tr>
        <w:trPr>
          <w:tblHeader w:val="on"/>
        </w:trPr>
        <w:tc>
          <w:tcPr/>
          <w:p>
            <w:pPr>
              <w:pStyle w:val="Compact"/>
            </w:pPr>
            <w:r>
              <w:t xml:space="preserve">Item</w:t>
            </w:r>
          </w:p>
        </w:tc>
        <w:tc>
          <w:tcPr/>
          <w:p>
            <w:pPr>
              <w:pStyle w:val="Compact"/>
            </w:pPr>
            <w:r>
              <w:t xml:space="preserve">Domain</w:t>
            </w:r>
          </w:p>
        </w:tc>
        <w:tc>
          <w:tcPr/>
          <w:p>
            <w:pPr>
              <w:pStyle w:val="Compact"/>
            </w:pPr>
            <w:r>
              <w:t xml:space="preserve">Description</w:t>
            </w:r>
          </w:p>
        </w:tc>
        <w:tc>
          <w:tcPr/>
          <w:p>
            <w:pPr>
              <w:pStyle w:val="Compact"/>
            </w:pPr>
            <w:r>
              <w:t xml:space="preserve">Section addressed</w:t>
            </w:r>
          </w:p>
        </w:tc>
        <w:tc>
          <w:tcPr/>
          <w:p>
            <w:pPr>
              <w:pStyle w:val="Compact"/>
            </w:pPr>
            <w:r>
              <w:t xml:space="preserve">Notes</w:t>
            </w:r>
          </w:p>
        </w:tc>
      </w:tr>
      <w:tr>
        <w:tc>
          <w:tcPr/>
          <w:p>
            <w:pPr>
              <w:pStyle w:val="Compact"/>
            </w:pPr>
            <w:r>
              <w:t xml:space="preserve">1</w:t>
            </w:r>
          </w:p>
        </w:tc>
        <w:tc>
          <w:tcPr/>
          <w:p>
            <w:pPr>
              <w:pStyle w:val="Compact"/>
            </w:pPr>
            <w:r>
              <w:t xml:space="preserve">Title</w:t>
            </w:r>
          </w:p>
        </w:tc>
        <w:tc>
          <w:tcPr/>
          <w:p>
            <w:pPr>
              <w:pStyle w:val="Compact"/>
            </w:pPr>
            <w:r>
              <w:t xml:space="preserve">Identify the study as developing or validating a multivariable prediction model; specify the target population and outcome to be predicted</w:t>
            </w:r>
          </w:p>
        </w:tc>
        <w:tc>
          <w:tcPr/>
          <w:p>
            <w:pPr>
              <w:pStyle w:val="Compact"/>
            </w:pPr>
            <w:r>
              <w:t xml:space="preserve">Title / §1</w:t>
            </w:r>
          </w:p>
        </w:tc>
        <w:tc>
          <w:tcPr/>
          <w:p>
            <w:pPr>
              <w:pStyle w:val="Compact"/>
            </w:pPr>
            <w:r>
              <w:t xml:space="preserve">Title specifies prediction of DTP1–DTP3 vaccine dropout in Nigeria; AI/ML framing stated</w:t>
            </w:r>
          </w:p>
        </w:tc>
      </w:tr>
      <w:tr>
        <w:tc>
          <w:tcPr/>
          <w:p>
            <w:pPr>
              <w:pStyle w:val="Compact"/>
            </w:pPr>
            <w:r>
              <w:t xml:space="preserve">2</w:t>
            </w:r>
          </w:p>
        </w:tc>
        <w:tc>
          <w:tcPr/>
          <w:p>
            <w:pPr>
              <w:pStyle w:val="Compact"/>
            </w:pPr>
            <w:r>
              <w:t xml:space="preserve">Abstract</w:t>
            </w:r>
          </w:p>
        </w:tc>
        <w:tc>
          <w:tcPr/>
          <w:p>
            <w:pPr>
              <w:pStyle w:val="Compact"/>
            </w:pPr>
            <w:r>
              <w:t xml:space="preserve">Provide a structured summary including study design, setting, participants, sample size, predictors, outcome, statistical analysis, results, and conclusions</w:t>
            </w:r>
          </w:p>
        </w:tc>
        <w:tc>
          <w:tcPr/>
          <w:p>
            <w:pPr>
              <w:pStyle w:val="Compact"/>
            </w:pPr>
            <w:r>
              <w:t xml:space="preserve">Abstract</w:t>
            </w:r>
          </w:p>
        </w:tc>
        <w:tc>
          <w:tcPr/>
          <w:p>
            <w:pPr>
              <w:pStyle w:val="Compact"/>
            </w:pPr>
            <w:r>
              <w:t xml:space="preserve">Structured 4-beat abstract (background, methods, results, conclusions); AUROC, coverage gain, and ICER reported</w:t>
            </w:r>
          </w:p>
        </w:tc>
      </w:tr>
      <w:tr>
        <w:tc>
          <w:tcPr/>
          <w:p>
            <w:pPr>
              <w:pStyle w:val="Compact"/>
            </w:pPr>
            <w:r>
              <w:t xml:space="preserve">3</w:t>
            </w:r>
          </w:p>
        </w:tc>
        <w:tc>
          <w:tcPr/>
          <w:p>
            <w:pPr>
              <w:pStyle w:val="Compact"/>
            </w:pPr>
            <w:r>
              <w:t xml:space="preserve">Background and rationale</w:t>
            </w:r>
          </w:p>
        </w:tc>
        <w:tc>
          <w:tcPr/>
          <w:p>
            <w:pPr>
              <w:pStyle w:val="Compact"/>
            </w:pPr>
            <w:r>
              <w:t xml:space="preserve">Explain the clinical/scientific background and rationale for developing or validating the prediction model, including references to existing models</w:t>
            </w:r>
          </w:p>
        </w:tc>
        <w:tc>
          <w:tcPr/>
          <w:p>
            <w:pPr>
              <w:pStyle w:val="Compact"/>
            </w:pPr>
            <w:r>
              <w:t xml:space="preserve">§1</w:t>
            </w:r>
          </w:p>
        </w:tc>
        <w:tc>
          <w:tcPr/>
          <w:p>
            <w:pPr>
              <w:pStyle w:val="Compact"/>
            </w:pPr>
            <w:r>
              <w:t xml:space="preserve">Epidemiological burden of DTP dropout in Nigeria stated; gap in ML-RL integration motivated</w:t>
            </w:r>
          </w:p>
        </w:tc>
      </w:tr>
      <w:tr>
        <w:tc>
          <w:tcPr/>
          <w:p>
            <w:pPr>
              <w:pStyle w:val="Compact"/>
            </w:pPr>
            <w:r>
              <w:t xml:space="preserve">4</w:t>
            </w:r>
          </w:p>
        </w:tc>
        <w:tc>
          <w:tcPr/>
          <w:p>
            <w:pPr>
              <w:pStyle w:val="Compact"/>
            </w:pPr>
            <w:r>
              <w:t xml:space="preserve">Objectives</w:t>
            </w:r>
          </w:p>
        </w:tc>
        <w:tc>
          <w:tcPr/>
          <w:p>
            <w:pPr>
              <w:pStyle w:val="Compact"/>
            </w:pPr>
            <w:r>
              <w:t xml:space="preserve">Specify the objectives including whether the study describes the development or validation of a prediction model (or both)</w:t>
            </w:r>
          </w:p>
        </w:tc>
        <w:tc>
          <w:tcPr/>
          <w:p>
            <w:pPr>
              <w:pStyle w:val="Compact"/>
            </w:pPr>
            <w:r>
              <w:t xml:space="preserve">§1</w:t>
            </w:r>
          </w:p>
        </w:tc>
        <w:tc>
          <w:tcPr/>
          <w:p>
            <w:pPr>
              <w:pStyle w:val="Compact"/>
            </w:pPr>
            <w:r>
              <w:t xml:space="preserve">Three objectives stated: (i) ML prediction, (ii) offline RL policy, (iii) cost-effectiveness</w:t>
            </w:r>
          </w:p>
        </w:tc>
      </w:tr>
      <w:tr>
        <w:tc>
          <w:tcPr/>
          <w:p>
            <w:pPr>
              <w:pStyle w:val="Compact"/>
            </w:pPr>
            <w:r>
              <w:t xml:space="preserve">5</w:t>
            </w:r>
          </w:p>
        </w:tc>
        <w:tc>
          <w:tcPr/>
          <w:p>
            <w:pPr>
              <w:pStyle w:val="Compact"/>
            </w:pPr>
            <w:r>
              <w:t xml:space="preserve">Source of data</w:t>
            </w:r>
          </w:p>
        </w:tc>
        <w:tc>
          <w:tcPr/>
          <w:p>
            <w:pPr>
              <w:pStyle w:val="Compact"/>
            </w:pPr>
            <w:r>
              <w:t xml:space="preserve">Describe the study design and data sources, including setting, location, dates, and rationale</w:t>
            </w:r>
          </w:p>
        </w:tc>
        <w:tc>
          <w:tcPr/>
          <w:p>
            <w:pPr>
              <w:pStyle w:val="Compact"/>
            </w:pPr>
            <w:r>
              <w:t xml:space="preserve">§2.1</w:t>
            </w:r>
          </w:p>
        </w:tc>
        <w:tc>
          <w:tcPr/>
          <w:p>
            <w:pPr>
              <w:pStyle w:val="Compact"/>
            </w:pPr>
            <w:r>
              <w:t xml:space="preserve">NDHS 2024 (NGKR8BFL.dta, NGIR8BFL.dta); nationally representative; stratified two-stage cluster survey</w:t>
            </w:r>
          </w:p>
        </w:tc>
      </w:tr>
      <w:tr>
        <w:tc>
          <w:tcPr/>
          <w:p>
            <w:pPr>
              <w:pStyle w:val="Compact"/>
            </w:pPr>
            <w:r>
              <w:t xml:space="preserve">6</w:t>
            </w:r>
          </w:p>
        </w:tc>
        <w:tc>
          <w:tcPr/>
          <w:p>
            <w:pPr>
              <w:pStyle w:val="Compact"/>
            </w:pPr>
            <w:r>
              <w:t xml:space="preserve">Participants</w:t>
            </w:r>
          </w:p>
        </w:tc>
        <w:tc>
          <w:tcPr/>
          <w:p>
            <w:pPr>
              <w:pStyle w:val="Compact"/>
            </w:pPr>
            <w:r>
              <w:t xml:space="preserve">Describe eligibility criteria and methods of participant selection; report numbers at each stage</w:t>
            </w:r>
          </w:p>
        </w:tc>
        <w:tc>
          <w:tcPr/>
          <w:p>
            <w:pPr>
              <w:pStyle w:val="Compact"/>
            </w:pPr>
            <w:r>
              <w:t xml:space="preserve">§2.1</w:t>
            </w:r>
          </w:p>
        </w:tc>
        <w:tc>
          <w:tcPr/>
          <w:p>
            <w:pPr>
              <w:pStyle w:val="Compact"/>
            </w:pPr>
            <w:r>
              <w:t xml:space="preserve">Children 12–23 months, alive (b5==1), youngest per woman, card-confirmed DTP1 (h3∈{1,2,3}); N≈3,194; CONSORT-equivalent flow described</w:t>
            </w:r>
          </w:p>
        </w:tc>
      </w:tr>
      <w:tr>
        <w:tc>
          <w:tcPr/>
          <w:p>
            <w:pPr>
              <w:pStyle w:val="Compact"/>
            </w:pPr>
            <w:r>
              <w:t xml:space="preserve">7</w:t>
            </w:r>
          </w:p>
        </w:tc>
        <w:tc>
          <w:tcPr/>
          <w:p>
            <w:pPr>
              <w:pStyle w:val="Compact"/>
            </w:pPr>
            <w:r>
              <w:t xml:space="preserve">Outcome</w:t>
            </w:r>
          </w:p>
        </w:tc>
        <w:tc>
          <w:tcPr/>
          <w:p>
            <w:pPr>
              <w:pStyle w:val="Compact"/>
            </w:pPr>
            <w:r>
              <w:t xml:space="preserve">Clearly define the outcome that is predicted by the prediction model, including how and when assessed</w:t>
            </w:r>
          </w:p>
        </w:tc>
        <w:tc>
          <w:tcPr/>
          <w:p>
            <w:pPr>
              <w:pStyle w:val="Compact"/>
            </w:pPr>
            <w:r>
              <w:t xml:space="preserve">§2.2</w:t>
            </w:r>
          </w:p>
        </w:tc>
        <w:tc>
          <w:tcPr/>
          <w:p>
            <w:pPr>
              <w:pStyle w:val="Compact"/>
            </w:pPr>
            <w:r>
              <w:t xml:space="preserve">T1 dropout (h5==0</w:t>
            </w:r>
          </w:p>
        </w:tc>
      </w:tr>
      <w:tr>
        <w:tc>
          <w:tcPr/>
          <w:p>
            <w:pPr>
              <w:pStyle w:val="Compact"/>
            </w:pPr>
            <w:r>
              <w:t xml:space="preserve">8</w:t>
            </w:r>
          </w:p>
        </w:tc>
        <w:tc>
          <w:tcPr/>
          <w:p>
            <w:pPr>
              <w:pStyle w:val="Compact"/>
            </w:pPr>
            <w:r>
              <w:t xml:space="preserve">Predictors</w:t>
            </w:r>
          </w:p>
        </w:tc>
        <w:tc>
          <w:tcPr/>
          <w:p>
            <w:pPr>
              <w:pStyle w:val="Compact"/>
            </w:pPr>
            <w:r>
              <w:t xml:space="preserve">Describe all predictors used in developing or validating the model, including method of measurement</w:t>
            </w:r>
          </w:p>
        </w:tc>
        <w:tc>
          <w:tcPr/>
          <w:p>
            <w:pPr>
              <w:pStyle w:val="Compact"/>
            </w:pPr>
            <w:r>
              <w:t xml:space="preserve">§2.3</w:t>
            </w:r>
          </w:p>
        </w:tc>
        <w:tc>
          <w:tcPr/>
          <w:p>
            <w:pPr>
              <w:pStyle w:val="Compact"/>
            </w:pPr>
            <w:r>
              <w:t xml:space="preserve">55 predictors catalogued across four Andersen domains; DHS variable codes given for all</w:t>
            </w:r>
          </w:p>
        </w:tc>
      </w:tr>
      <w:tr>
        <w:tc>
          <w:tcPr/>
          <w:p>
            <w:pPr>
              <w:pStyle w:val="Compact"/>
            </w:pPr>
            <w:r>
              <w:t xml:space="preserve">9</w:t>
            </w:r>
          </w:p>
        </w:tc>
        <w:tc>
          <w:tcPr/>
          <w:p>
            <w:pPr>
              <w:pStyle w:val="Compact"/>
            </w:pPr>
            <w:r>
              <w:t xml:space="preserve">Sample size</w:t>
            </w:r>
          </w:p>
        </w:tc>
        <w:tc>
          <w:tcPr/>
          <w:p>
            <w:pPr>
              <w:pStyle w:val="Compact"/>
            </w:pPr>
            <w:r>
              <w:t xml:space="preserve">Explain how the sample size was arrived at</w:t>
            </w:r>
          </w:p>
        </w:tc>
        <w:tc>
          <w:tcPr/>
          <w:p>
            <w:pPr>
              <w:pStyle w:val="Compact"/>
            </w:pPr>
            <w:r>
              <w:t xml:space="preserve">§2.1, §2.4</w:t>
            </w:r>
          </w:p>
        </w:tc>
        <w:tc>
          <w:tcPr/>
          <w:p>
            <w:pPr>
              <w:pStyle w:val="Compact"/>
            </w:pPr>
            <w:r>
              <w:t xml:space="preserve">Full analytic sample (N=3,194 T1; N=3,023 T2) used; no a-priori power calculation needed for secondary DHS analysis; event fractions reported</w:t>
            </w:r>
          </w:p>
        </w:tc>
      </w:tr>
      <w:tr>
        <w:tc>
          <w:tcPr/>
          <w:p>
            <w:pPr>
              <w:pStyle w:val="Compact"/>
            </w:pPr>
            <w:r>
              <w:t xml:space="preserve">10</w:t>
            </w:r>
          </w:p>
        </w:tc>
        <w:tc>
          <w:tcPr/>
          <w:p>
            <w:pPr>
              <w:pStyle w:val="Compact"/>
            </w:pPr>
            <w:r>
              <w:t xml:space="preserve">Missing data</w:t>
            </w:r>
          </w:p>
        </w:tc>
        <w:tc>
          <w:tcPr/>
          <w:p>
            <w:pPr>
              <w:pStyle w:val="Compact"/>
            </w:pPr>
            <w:r>
              <w:t xml:space="preserve">Describe how missing data were handled</w:t>
            </w:r>
          </w:p>
        </w:tc>
        <w:tc>
          <w:tcPr/>
          <w:p>
            <w:pPr>
              <w:pStyle w:val="Compact"/>
            </w:pPr>
            <w:r>
              <w:t xml:space="preserve">§2.1, §2.4</w:t>
            </w:r>
          </w:p>
        </w:tc>
        <w:tc>
          <w:tcPr/>
          <w:p>
            <w:pPr>
              <w:pStyle w:val="Compact"/>
            </w:pPr>
            <w:r>
              <w:t xml:space="preserve">Date codes 97/98 set to missing; XGBoost native handling of missing values used; imputation not required for tree models</w:t>
            </w:r>
          </w:p>
        </w:tc>
      </w:tr>
      <w:tr>
        <w:tc>
          <w:tcPr/>
          <w:p>
            <w:pPr>
              <w:pStyle w:val="Compact"/>
            </w:pPr>
            <w:r>
              <w:t xml:space="preserve">11</w:t>
            </w:r>
          </w:p>
        </w:tc>
        <w:tc>
          <w:tcPr/>
          <w:p>
            <w:pPr>
              <w:pStyle w:val="Compact"/>
            </w:pPr>
            <w:r>
              <w:t xml:space="preserve">Statistical analysis methods</w:t>
            </w:r>
          </w:p>
        </w:tc>
        <w:tc>
          <w:tcPr/>
          <w:p>
            <w:pPr>
              <w:pStyle w:val="Compact"/>
            </w:pPr>
            <w:r>
              <w:t xml:space="preserve">Describe all aspects of the statistical analysis, including choice of model, hyperparameter tuning, and methods for internal validation</w:t>
            </w:r>
          </w:p>
        </w:tc>
        <w:tc>
          <w:tcPr/>
          <w:p>
            <w:pPr>
              <w:pStyle w:val="Compact"/>
            </w:pPr>
            <w:r>
              <w:t xml:space="preserve">§2.4</w:t>
            </w:r>
          </w:p>
        </w:tc>
        <w:tc>
          <w:tcPr/>
          <w:p>
            <w:pPr>
              <w:pStyle w:val="Compact"/>
            </w:pPr>
            <w:r>
              <w:t xml:space="preserve">XGBoost; Bayesian hyperparameter search (Optuna, 200 trials); nested 5-fold cluster-robust CV; DeLong’s test; isotonic recalibration</w:t>
            </w:r>
          </w:p>
        </w:tc>
      </w:tr>
      <w:tr>
        <w:tc>
          <w:tcPr/>
          <w:p>
            <w:pPr>
              <w:pStyle w:val="Compact"/>
            </w:pPr>
            <w:r>
              <w:t xml:space="preserve">12</w:t>
            </w:r>
          </w:p>
        </w:tc>
        <w:tc>
          <w:tcPr/>
          <w:p>
            <w:pPr>
              <w:pStyle w:val="Compact"/>
            </w:pPr>
            <w:r>
              <w:t xml:space="preserve">Development vs. validation</w:t>
            </w:r>
          </w:p>
        </w:tc>
        <w:tc>
          <w:tcPr/>
          <w:p>
            <w:pPr>
              <w:pStyle w:val="Compact"/>
            </w:pPr>
            <w:r>
              <w:t xml:space="preserve">Specify the type of modelling: development only, validation only, or both; describe internal validation method</w:t>
            </w:r>
          </w:p>
        </w:tc>
        <w:tc>
          <w:tcPr/>
          <w:p>
            <w:pPr>
              <w:pStyle w:val="Compact"/>
            </w:pPr>
            <w:r>
              <w:t xml:space="preserve">§2.4</w:t>
            </w:r>
          </w:p>
        </w:tc>
        <w:tc>
          <w:tcPr/>
          <w:p>
            <w:pPr>
              <w:pStyle w:val="Compact"/>
            </w:pPr>
            <w:r>
              <w:t xml:space="preserve">Development with internal validation via nested CV; no external validation dataset available</w:t>
            </w:r>
          </w:p>
        </w:tc>
      </w:tr>
      <w:tr>
        <w:tc>
          <w:tcPr/>
          <w:p>
            <w:pPr>
              <w:pStyle w:val="Compact"/>
            </w:pPr>
            <w:r>
              <w:t xml:space="preserve">13</w:t>
            </w:r>
          </w:p>
        </w:tc>
        <w:tc>
          <w:tcPr/>
          <w:p>
            <w:pPr>
              <w:pStyle w:val="Compact"/>
            </w:pPr>
            <w:r>
              <w:t xml:space="preserve">Model performance</w:t>
            </w:r>
          </w:p>
        </w:tc>
        <w:tc>
          <w:tcPr/>
          <w:p>
            <w:pPr>
              <w:pStyle w:val="Compact"/>
            </w:pPr>
            <w:r>
              <w:t xml:space="preserve">Report model performance measures and their uncertainty (e.g., 95% CIs)</w:t>
            </w:r>
          </w:p>
        </w:tc>
        <w:tc>
          <w:tcPr/>
          <w:p>
            <w:pPr>
              <w:pStyle w:val="Compact"/>
            </w:pPr>
            <w:r>
              <w:t xml:space="preserve">§3.1, Table 1</w:t>
            </w:r>
          </w:p>
        </w:tc>
        <w:tc>
          <w:tcPr/>
          <w:p>
            <w:pPr>
              <w:pStyle w:val="Compact"/>
            </w:pPr>
            <w:r>
              <w:t xml:space="preserve">AUROC, AUPRC, Brier score, ECE with 95% CIs from 1,000-iteration bootstrap/DeLong</w:t>
            </w:r>
          </w:p>
        </w:tc>
      </w:tr>
      <w:tr>
        <w:tc>
          <w:tcPr/>
          <w:p>
            <w:pPr>
              <w:pStyle w:val="Compact"/>
            </w:pPr>
            <w:r>
              <w:t xml:space="preserve">14</w:t>
            </w:r>
          </w:p>
        </w:tc>
        <w:tc>
          <w:tcPr/>
          <w:p>
            <w:pPr>
              <w:pStyle w:val="Compact"/>
            </w:pPr>
            <w:r>
              <w:t xml:space="preserve">Model specification</w:t>
            </w:r>
          </w:p>
        </w:tc>
        <w:tc>
          <w:tcPr/>
          <w:p>
            <w:pPr>
              <w:pStyle w:val="Compact"/>
            </w:pPr>
            <w:r>
              <w:t xml:space="preserve">Present the full prediction model to allow predictions for individuals</w:t>
            </w:r>
          </w:p>
        </w:tc>
        <w:tc>
          <w:tcPr/>
          <w:p>
            <w:pPr>
              <w:pStyle w:val="Compact"/>
            </w:pPr>
            <w:r>
              <w:t xml:space="preserve">§S1 (supplement), outputs/stage1/</w:t>
            </w:r>
          </w:p>
        </w:tc>
        <w:tc>
          <w:tcPr/>
          <w:p>
            <w:pPr>
              <w:pStyle w:val="Compact"/>
            </w:pPr>
            <w:r>
              <w:t xml:space="preserve">Calibrated model artefacts (isotonic_calibrator_t*.pkl) deposited at GitHub repository</w:t>
            </w:r>
          </w:p>
        </w:tc>
      </w:tr>
      <w:tr>
        <w:tc>
          <w:tcPr/>
          <w:p>
            <w:pPr>
              <w:pStyle w:val="Compact"/>
            </w:pPr>
            <w:r>
              <w:t xml:space="preserve">15</w:t>
            </w:r>
          </w:p>
        </w:tc>
        <w:tc>
          <w:tcPr/>
          <w:p>
            <w:pPr>
              <w:pStyle w:val="Compact"/>
            </w:pPr>
            <w:r>
              <w:t xml:space="preserve">Calibration</w:t>
            </w:r>
          </w:p>
        </w:tc>
        <w:tc>
          <w:tcPr/>
          <w:p>
            <w:pPr>
              <w:pStyle w:val="Compact"/>
            </w:pPr>
            <w:r>
              <w:t xml:space="preserve">Report calibration of the model predictions</w:t>
            </w:r>
          </w:p>
        </w:tc>
        <w:tc>
          <w:tcPr/>
          <w:p>
            <w:pPr>
              <w:pStyle w:val="Compact"/>
            </w:pPr>
            <w:r>
              <w:t xml:space="preserve">§2.4, §3.1, Figures S1–S4</w:t>
            </w:r>
          </w:p>
        </w:tc>
        <w:tc>
          <w:tcPr/>
          <w:p>
            <w:pPr>
              <w:pStyle w:val="Compact"/>
            </w:pPr>
            <w:r>
              <w:t xml:space="preserve">Calibration slope and Brier score pre- and post-isotonic recalibration; calibration curves in Figures S1–S4</w:t>
            </w:r>
          </w:p>
        </w:tc>
      </w:tr>
      <w:tr>
        <w:tc>
          <w:tcPr/>
          <w:p>
            <w:pPr>
              <w:pStyle w:val="Compact"/>
            </w:pPr>
            <w:r>
              <w:t xml:space="preserve">16</w:t>
            </w:r>
          </w:p>
        </w:tc>
        <w:tc>
          <w:tcPr/>
          <w:p>
            <w:pPr>
              <w:pStyle w:val="Compact"/>
            </w:pPr>
            <w:r>
              <w:t xml:space="preserve">Uncertainty</w:t>
            </w:r>
          </w:p>
        </w:tc>
        <w:tc>
          <w:tcPr/>
          <w:p>
            <w:pPr>
              <w:pStyle w:val="Compact"/>
            </w:pPr>
            <w:r>
              <w:t xml:space="preserve">Quantify uncertainty in model performance and predictions</w:t>
            </w:r>
          </w:p>
        </w:tc>
        <w:tc>
          <w:tcPr/>
          <w:p>
            <w:pPr>
              <w:pStyle w:val="Compact"/>
            </w:pPr>
            <w:r>
              <w:t xml:space="preserve">§2.4, §3.1</w:t>
            </w:r>
          </w:p>
        </w:tc>
        <w:tc>
          <w:tcPr/>
          <w:p>
            <w:pPr>
              <w:pStyle w:val="Compact"/>
            </w:pPr>
            <w:r>
              <w:t xml:space="preserve">1,000-iteration bootstrap CIs for all performance metrics; PSA (1,000 iterations) propagates prediction uncertainty through microsimulation</w:t>
            </w:r>
          </w:p>
        </w:tc>
      </w:tr>
      <w:tr>
        <w:tc>
          <w:tcPr/>
          <w:p>
            <w:pPr>
              <w:pStyle w:val="Compact"/>
            </w:pPr>
            <w:r>
              <w:t xml:space="preserve">17</w:t>
            </w:r>
          </w:p>
        </w:tc>
        <w:tc>
          <w:tcPr/>
          <w:p>
            <w:pPr>
              <w:pStyle w:val="Compact"/>
            </w:pPr>
            <w:r>
              <w:t xml:space="preserve">Explainability</w:t>
            </w:r>
          </w:p>
        </w:tc>
        <w:tc>
          <w:tcPr/>
          <w:p>
            <w:pPr>
              <w:pStyle w:val="Compact"/>
            </w:pPr>
            <w:r>
              <w:t xml:space="preserve">Describe any methods used to explain or interpret the predictions of the model</w:t>
            </w:r>
          </w:p>
        </w:tc>
        <w:tc>
          <w:tcPr/>
          <w:p>
            <w:pPr>
              <w:pStyle w:val="Compact"/>
            </w:pPr>
            <w:r>
              <w:t xml:space="preserve">§2.4, §3.1, Figures 2–3, Figure S12</w:t>
            </w:r>
          </w:p>
        </w:tc>
        <w:tc>
          <w:tcPr/>
          <w:p>
            <w:pPr>
              <w:pStyle w:val="Compact"/>
            </w:pPr>
            <w:r>
              <w:t xml:space="preserve">SHAP TreeExplainer; beeswarm and bar plots; Andersen-domain decomposition (Figure S12)</w:t>
            </w:r>
          </w:p>
        </w:tc>
      </w:tr>
      <w:tr>
        <w:tc>
          <w:tcPr/>
          <w:p>
            <w:pPr>
              <w:pStyle w:val="Compact"/>
            </w:pPr>
            <w:r>
              <w:t xml:space="preserve">18</w:t>
            </w:r>
          </w:p>
        </w:tc>
        <w:tc>
          <w:tcPr/>
          <w:p>
            <w:pPr>
              <w:pStyle w:val="Compact"/>
            </w:pPr>
            <w:r>
              <w:t xml:space="preserve">Limitations</w:t>
            </w:r>
          </w:p>
        </w:tc>
        <w:tc>
          <w:tcPr/>
          <w:p>
            <w:pPr>
              <w:pStyle w:val="Compact"/>
            </w:pPr>
            <w:r>
              <w:t xml:space="preserve">Discuss any limitations of the study, including potential sources of bias</w:t>
            </w:r>
          </w:p>
        </w:tc>
        <w:tc>
          <w:tcPr/>
          <w:p>
            <w:pPr>
              <w:pStyle w:val="Compact"/>
            </w:pPr>
            <w:r>
              <w:t xml:space="preserve">§4</w:t>
            </w:r>
          </w:p>
        </w:tc>
        <w:tc>
          <w:tcPr/>
          <w:p>
            <w:pPr>
              <w:pStyle w:val="Compact"/>
            </w:pPr>
            <w:r>
              <w:t xml:space="preserve">Cross-sectional DHS design; no external validation; proxy behaviour policy; partial observability</w:t>
            </w:r>
          </w:p>
        </w:tc>
      </w:tr>
      <w:tr>
        <w:tc>
          <w:tcPr/>
          <w:p>
            <w:pPr>
              <w:pStyle w:val="Compact"/>
            </w:pPr>
            <w:r>
              <w:t xml:space="preserve">19</w:t>
            </w:r>
          </w:p>
        </w:tc>
        <w:tc>
          <w:tcPr/>
          <w:p>
            <w:pPr>
              <w:pStyle w:val="Compact"/>
            </w:pPr>
            <w:r>
              <w:t xml:space="preserve">Interpretation</w:t>
            </w:r>
          </w:p>
        </w:tc>
        <w:tc>
          <w:tcPr/>
          <w:p>
            <w:pPr>
              <w:pStyle w:val="Compact"/>
            </w:pPr>
            <w:r>
              <w:t xml:space="preserve">Discuss the results in context; give an overall interpretation of the results</w:t>
            </w:r>
          </w:p>
        </w:tc>
        <w:tc>
          <w:tcPr/>
          <w:p>
            <w:pPr>
              <w:pStyle w:val="Compact"/>
            </w:pPr>
            <w:r>
              <w:t xml:space="preserve">§4</w:t>
            </w:r>
          </w:p>
        </w:tc>
        <w:tc>
          <w:tcPr/>
          <w:p>
            <w:pPr>
              <w:pStyle w:val="Compact"/>
            </w:pPr>
            <w:r>
              <w:t xml:space="preserve">Clinical and policy interpretation; comparison with prior Nigeria DTP literature</w:t>
            </w:r>
          </w:p>
        </w:tc>
      </w:tr>
      <w:tr>
        <w:tc>
          <w:tcPr/>
          <w:p>
            <w:pPr>
              <w:pStyle w:val="Compact"/>
            </w:pPr>
            <w:r>
              <w:t xml:space="preserve">20</w:t>
            </w:r>
          </w:p>
        </w:tc>
        <w:tc>
          <w:tcPr/>
          <w:p>
            <w:pPr>
              <w:pStyle w:val="Compact"/>
            </w:pPr>
            <w:r>
              <w:t xml:space="preserve">Implications</w:t>
            </w:r>
          </w:p>
        </w:tc>
        <w:tc>
          <w:tcPr/>
          <w:p>
            <w:pPr>
              <w:pStyle w:val="Compact"/>
            </w:pPr>
            <w:r>
              <w:t xml:space="preserve">Discuss the potential implications for practice, policy, and future research</w:t>
            </w:r>
          </w:p>
        </w:tc>
        <w:tc>
          <w:tcPr/>
          <w:p>
            <w:pPr>
              <w:pStyle w:val="Compact"/>
            </w:pPr>
            <w:r>
              <w:t xml:space="preserve">§4, §5</w:t>
            </w:r>
          </w:p>
        </w:tc>
        <w:tc>
          <w:tcPr/>
          <w:p>
            <w:pPr>
              <w:pStyle w:val="Compact"/>
            </w:pPr>
            <w:r>
              <w:t xml:space="preserve">Policy recommendations for NPHCDA; dashboard for operational use; future RL trial design recommended</w:t>
            </w:r>
          </w:p>
        </w:tc>
      </w:tr>
      <w:tr>
        <w:tc>
          <w:tcPr/>
          <w:p>
            <w:pPr>
              <w:pStyle w:val="Compact"/>
            </w:pPr>
            <w:r>
              <w:t xml:space="preserve">21</w:t>
            </w:r>
          </w:p>
        </w:tc>
        <w:tc>
          <w:tcPr/>
          <w:p>
            <w:pPr>
              <w:pStyle w:val="Compact"/>
            </w:pPr>
            <w:r>
              <w:t xml:space="preserve">Supplementary information</w:t>
            </w:r>
          </w:p>
        </w:tc>
        <w:tc>
          <w:tcPr/>
          <w:p>
            <w:pPr>
              <w:pStyle w:val="Compact"/>
            </w:pPr>
            <w:r>
              <w:t xml:space="preserve">Provide additional information</w:t>
            </w:r>
          </w:p>
        </w:tc>
        <w:tc>
          <w:tcPr/>
          <w:p>
            <w:pPr>
              <w:pStyle w:val="Compact"/>
            </w:pPr>
            <w:r>
              <w:t xml:space="preserve">§§S0–S3</w:t>
            </w:r>
          </w:p>
        </w:tc>
        <w:tc>
          <w:tcPr/>
          <w:p>
            <w:pPr>
              <w:pStyle w:val="Compact"/>
            </w:pPr>
            <w:r>
              <w:t xml:space="preserve">Four supplement sections: checklists, extended methods, parameter tables, figures and tables</w:t>
            </w:r>
          </w:p>
        </w:tc>
      </w:tr>
      <w:tr>
        <w:tc>
          <w:tcPr/>
          <w:p>
            <w:pPr>
              <w:pStyle w:val="Compact"/>
            </w:pPr>
            <w:r>
              <w:t xml:space="preserve">22</w:t>
            </w:r>
          </w:p>
        </w:tc>
        <w:tc>
          <w:tcPr/>
          <w:p>
            <w:pPr>
              <w:pStyle w:val="Compact"/>
            </w:pPr>
            <w:r>
              <w:t xml:space="preserve">Funding</w:t>
            </w:r>
          </w:p>
        </w:tc>
        <w:tc>
          <w:tcPr/>
          <w:p>
            <w:pPr>
              <w:pStyle w:val="Compact"/>
            </w:pPr>
            <w:r>
              <w:t xml:space="preserve">Provide information about the funding source(s) and the role of the funders</w:t>
            </w:r>
          </w:p>
        </w:tc>
        <w:tc>
          <w:tcPr/>
          <w:p>
            <w:pPr>
              <w:pStyle w:val="Compact"/>
            </w:pPr>
            <w:r>
              <w:t xml:space="preserve">Back matter</w:t>
            </w:r>
          </w:p>
        </w:tc>
        <w:tc>
          <w:tcPr/>
          <w:p>
            <w:pPr>
              <w:pStyle w:val="Compact"/>
            </w:pPr>
            <w:r>
              <w:t xml:space="preserve">Funding and conflict-of-interest statement in back matter (§99)</w:t>
            </w:r>
          </w:p>
        </w:tc>
      </w:tr>
    </w:tbl>
    <w:p>
      <w:r>
        <w:pict>
          <v:rect style="width:0;height:1.5pt" o:hralign="center" o:hrstd="t" o:hr="t"/>
        </w:pict>
      </w:r>
    </w:p>
    <w:bookmarkEnd w:id="9"/>
    <w:bookmarkStart w:id="10" w:name="X9e07f39042e82d990a75c2ac8b3aff0eb389945"/>
    <w:p>
      <w:pPr>
        <w:pStyle w:val="Heading2"/>
      </w:pPr>
      <w:r>
        <w:t xml:space="preserve">S0.2 CHEERS 2022 Checklist (Husereau et al. 2022)</w:t>
      </w:r>
      <w:r>
        <w:t xml:space="preserve"> </w:t>
      </w:r>
      <w:r>
        <w:t xml:space="preserve">[2]</w:t>
      </w:r>
    </w:p>
    <w:p>
      <w:pPr>
        <w:pStyle w:val="FirstParagraph"/>
      </w:pPr>
      <w:r>
        <w:t xml:space="preserve">CHEERS 2022 (Consolidated Health Economic Evaluation Reporting Standards) provides 28 items for reporting health economic evaluations. This study reports a microsimulation cost-effectiveness analysis.</w:t>
      </w:r>
    </w:p>
    <w:tbl>
      <w:tblPr>
        <w:tblStyle w:val="Table"/>
        <w:tblW w:type="pct" w:w="5000"/>
        <w:tblLayout w:type="fixed"/>
        <w:tblLook w:firstRow="1" w:lastRow="0" w:firstColumn="0" w:lastColumn="0" w:noHBand="0" w:noVBand="0" w:val="0020"/>
      </w:tblPr>
      <w:tblGrid>
        <w:gridCol w:w="896"/>
        <w:gridCol w:w="1195"/>
        <w:gridCol w:w="1942"/>
        <w:gridCol w:w="2839"/>
        <w:gridCol w:w="1046"/>
      </w:tblGrid>
      <w:tr>
        <w:trPr>
          <w:tblHeader w:val="on"/>
        </w:trPr>
        <w:tc>
          <w:tcPr/>
          <w:p>
            <w:pPr>
              <w:pStyle w:val="Compact"/>
            </w:pPr>
            <w:r>
              <w:t xml:space="preserve">Item</w:t>
            </w:r>
          </w:p>
        </w:tc>
        <w:tc>
          <w:tcPr/>
          <w:p>
            <w:pPr>
              <w:pStyle w:val="Compact"/>
            </w:pPr>
            <w:r>
              <w:t xml:space="preserve">Domain</w:t>
            </w:r>
          </w:p>
        </w:tc>
        <w:tc>
          <w:tcPr/>
          <w:p>
            <w:pPr>
              <w:pStyle w:val="Compact"/>
            </w:pPr>
            <w:r>
              <w:t xml:space="preserve">Description</w:t>
            </w:r>
          </w:p>
        </w:tc>
        <w:tc>
          <w:tcPr/>
          <w:p>
            <w:pPr>
              <w:pStyle w:val="Compact"/>
            </w:pPr>
            <w:r>
              <w:t xml:space="preserve">Section addressed</w:t>
            </w:r>
          </w:p>
        </w:tc>
        <w:tc>
          <w:tcPr/>
          <w:p>
            <w:pPr>
              <w:pStyle w:val="Compact"/>
            </w:pPr>
            <w:r>
              <w:t xml:space="preserve">Notes</w:t>
            </w:r>
          </w:p>
        </w:tc>
      </w:tr>
      <w:tr>
        <w:tc>
          <w:tcPr/>
          <w:p>
            <w:pPr>
              <w:pStyle w:val="Compact"/>
            </w:pPr>
            <w:r>
              <w:t xml:space="preserve">1</w:t>
            </w:r>
          </w:p>
        </w:tc>
        <w:tc>
          <w:tcPr/>
          <w:p>
            <w:pPr>
              <w:pStyle w:val="Compact"/>
            </w:pPr>
            <w:r>
              <w:t xml:space="preserve">Title</w:t>
            </w:r>
          </w:p>
        </w:tc>
        <w:tc>
          <w:tcPr/>
          <w:p>
            <w:pPr>
              <w:pStyle w:val="Compact"/>
            </w:pPr>
            <w:r>
              <w:t xml:space="preserve">Identify the study as an economic evaluation and specify the interventions being compared</w:t>
            </w:r>
          </w:p>
        </w:tc>
        <w:tc>
          <w:tcPr/>
          <w:p>
            <w:pPr>
              <w:pStyle w:val="Compact"/>
            </w:pPr>
            <w:r>
              <w:t xml:space="preserve">Title / §1</w:t>
            </w:r>
          </w:p>
        </w:tc>
        <w:tc>
          <w:tcPr/>
          <w:p>
            <w:pPr>
              <w:pStyle w:val="Compact"/>
            </w:pPr>
            <w:r>
              <w:t xml:space="preserve">Title identifies RL-optimised intervention; economic evaluation framing in abstract and §1</w:t>
            </w:r>
          </w:p>
        </w:tc>
      </w:tr>
      <w:tr>
        <w:tc>
          <w:tcPr/>
          <w:p>
            <w:pPr>
              <w:pStyle w:val="Compact"/>
            </w:pPr>
            <w:r>
              <w:t xml:space="preserve">2</w:t>
            </w:r>
          </w:p>
        </w:tc>
        <w:tc>
          <w:tcPr/>
          <w:p>
            <w:pPr>
              <w:pStyle w:val="Compact"/>
            </w:pPr>
            <w:r>
              <w:t xml:space="preserve">Abstract</w:t>
            </w:r>
          </w:p>
        </w:tc>
        <w:tc>
          <w:tcPr/>
          <w:p>
            <w:pPr>
              <w:pStyle w:val="Compact"/>
            </w:pPr>
            <w:r>
              <w:t xml:space="preserve">Provide a structured summary including the economic perspective, comparators, key methods, base-case results, and funding</w:t>
            </w:r>
          </w:p>
        </w:tc>
        <w:tc>
          <w:tcPr/>
          <w:p>
            <w:pPr>
              <w:pStyle w:val="Compact"/>
            </w:pPr>
            <w:r>
              <w:t xml:space="preserve">Abstract</w:t>
            </w:r>
          </w:p>
        </w:tc>
        <w:tc>
          <w:tcPr/>
          <w:p>
            <w:pPr>
              <w:pStyle w:val="Compact"/>
            </w:pPr>
            <w:r>
              <w:t xml:space="preserve">Cost per DTP3 coverage gain, ICER versus status quo, and CEAC probability stated in abstract</w:t>
            </w:r>
          </w:p>
        </w:tc>
      </w:tr>
      <w:tr>
        <w:tc>
          <w:tcPr/>
          <w:p>
            <w:pPr>
              <w:pStyle w:val="Compact"/>
            </w:pPr>
            <w:r>
              <w:t xml:space="preserve">3</w:t>
            </w:r>
          </w:p>
        </w:tc>
        <w:tc>
          <w:tcPr/>
          <w:p>
            <w:pPr>
              <w:pStyle w:val="Compact"/>
            </w:pPr>
            <w:r>
              <w:t xml:space="preserve">Background and objectives</w:t>
            </w:r>
          </w:p>
        </w:tc>
        <w:tc>
          <w:tcPr/>
          <w:p>
            <w:pPr>
              <w:pStyle w:val="Compact"/>
            </w:pPr>
            <w:r>
              <w:t xml:space="preserve">Give the context for the study, the study question, and its relevance to health policy or practice</w:t>
            </w:r>
          </w:p>
        </w:tc>
        <w:tc>
          <w:tcPr/>
          <w:p>
            <w:pPr>
              <w:pStyle w:val="Compact"/>
            </w:pPr>
            <w:r>
              <w:t xml:space="preserve">§1</w:t>
            </w:r>
          </w:p>
        </w:tc>
        <w:tc>
          <w:tcPr/>
          <w:p>
            <w:pPr>
              <w:pStyle w:val="Compact"/>
            </w:pPr>
            <w:r>
              <w:t xml:space="preserve">Nigeria DTP3 coverage gap; economic case for targeted intervention; policy relevance to NPHCDA</w:t>
            </w:r>
          </w:p>
        </w:tc>
      </w:tr>
      <w:tr>
        <w:tc>
          <w:tcPr/>
          <w:p>
            <w:pPr>
              <w:pStyle w:val="Compact"/>
            </w:pPr>
            <w:r>
              <w:t xml:space="preserve">4</w:t>
            </w:r>
          </w:p>
        </w:tc>
        <w:tc>
          <w:tcPr/>
          <w:p>
            <w:pPr>
              <w:pStyle w:val="Compact"/>
            </w:pPr>
            <w:r>
              <w:t xml:space="preserve">Health economic analysis plan</w:t>
            </w:r>
          </w:p>
        </w:tc>
        <w:tc>
          <w:tcPr/>
          <w:p>
            <w:pPr>
              <w:pStyle w:val="Compact"/>
            </w:pPr>
            <w:r>
              <w:t xml:space="preserve">Indicate whether a health economic analysis plan was developed and where available</w:t>
            </w:r>
          </w:p>
        </w:tc>
        <w:tc>
          <w:tcPr/>
          <w:p>
            <w:pPr>
              <w:pStyle w:val="Compact"/>
            </w:pPr>
            <w:r>
              <w:t xml:space="preserve">§2.7</w:t>
            </w:r>
          </w:p>
        </w:tc>
        <w:tc>
          <w:tcPr/>
          <w:p>
            <w:pPr>
              <w:pStyle w:val="Compact"/>
            </w:pPr>
            <w:r>
              <w:t xml:space="preserve">PSA parameters pre-specified in CLAUDE.md protocol; microsimulation scenarios (S0–S5) defined prior to analysis</w:t>
            </w:r>
          </w:p>
        </w:tc>
      </w:tr>
      <w:tr>
        <w:tc>
          <w:tcPr/>
          <w:p>
            <w:pPr>
              <w:pStyle w:val="Compact"/>
            </w:pPr>
            <w:r>
              <w:t xml:space="preserve">5</w:t>
            </w:r>
          </w:p>
        </w:tc>
        <w:tc>
          <w:tcPr/>
          <w:p>
            <w:pPr>
              <w:pStyle w:val="Compact"/>
            </w:pPr>
            <w:r>
              <w:t xml:space="preserve">Study population</w:t>
            </w:r>
          </w:p>
        </w:tc>
        <w:tc>
          <w:tcPr/>
          <w:p>
            <w:pPr>
              <w:pStyle w:val="Compact"/>
            </w:pPr>
            <w:r>
              <w:t xml:space="preserve">Describe characteristics of the study population (who) and subgroups analysed</w:t>
            </w:r>
          </w:p>
        </w:tc>
        <w:tc>
          <w:tcPr/>
          <w:p>
            <w:pPr>
              <w:pStyle w:val="Compact"/>
            </w:pPr>
            <w:r>
              <w:t xml:space="preserve">§2.1, §3.4</w:t>
            </w:r>
          </w:p>
        </w:tc>
        <w:tc>
          <w:tcPr/>
          <w:p>
            <w:pPr>
              <w:pStyle w:val="Compact"/>
            </w:pPr>
            <w:r>
              <w:t xml:space="preserve">Children 12–23 months with card-confirmed DTP1 in Nigeria; subgroup analyses by zone, wealth, urban/rural, maternal education</w:t>
            </w:r>
          </w:p>
        </w:tc>
      </w:tr>
      <w:tr>
        <w:tc>
          <w:tcPr/>
          <w:p>
            <w:pPr>
              <w:pStyle w:val="Compact"/>
            </w:pPr>
            <w:r>
              <w:t xml:space="preserve">6</w:t>
            </w:r>
          </w:p>
        </w:tc>
        <w:tc>
          <w:tcPr/>
          <w:p>
            <w:pPr>
              <w:pStyle w:val="Compact"/>
            </w:pPr>
            <w:r>
              <w:t xml:space="preserve">Setting and location</w:t>
            </w:r>
          </w:p>
        </w:tc>
        <w:tc>
          <w:tcPr/>
          <w:p>
            <w:pPr>
              <w:pStyle w:val="Compact"/>
            </w:pPr>
            <w:r>
              <w:t xml:space="preserve">Describe the setting and location for the study</w:t>
            </w:r>
          </w:p>
        </w:tc>
        <w:tc>
          <w:tcPr/>
          <w:p>
            <w:pPr>
              <w:pStyle w:val="Compact"/>
            </w:pPr>
            <w:r>
              <w:t xml:space="preserve">§2.1</w:t>
            </w:r>
          </w:p>
        </w:tc>
        <w:tc>
          <w:tcPr/>
          <w:p>
            <w:pPr>
              <w:pStyle w:val="Compact"/>
            </w:pPr>
            <w:r>
              <w:t xml:space="preserve">Nigeria, nationally representative NDHS 2024; LGA-level allocation for bandit analysis</w:t>
            </w:r>
          </w:p>
        </w:tc>
      </w:tr>
      <w:tr>
        <w:tc>
          <w:tcPr/>
          <w:p>
            <w:pPr>
              <w:pStyle w:val="Compact"/>
            </w:pPr>
            <w:r>
              <w:t xml:space="preserve">7</w:t>
            </w:r>
          </w:p>
        </w:tc>
        <w:tc>
          <w:tcPr/>
          <w:p>
            <w:pPr>
              <w:pStyle w:val="Compact"/>
            </w:pPr>
            <w:r>
              <w:t xml:space="preserve">Comparators</w:t>
            </w:r>
          </w:p>
        </w:tc>
        <w:tc>
          <w:tcPr/>
          <w:p>
            <w:pPr>
              <w:pStyle w:val="Compact"/>
            </w:pPr>
            <w:r>
              <w:t xml:space="preserve">Describe the interventions or strategies being compared and why chosen</w:t>
            </w:r>
          </w:p>
        </w:tc>
        <w:tc>
          <w:tcPr/>
          <w:p>
            <w:pPr>
              <w:pStyle w:val="Compact"/>
            </w:pPr>
            <w:r>
              <w:t xml:space="preserve">§2.7</w:t>
            </w:r>
          </w:p>
        </w:tc>
        <w:tc>
          <w:tcPr/>
          <w:p>
            <w:pPr>
              <w:pStyle w:val="Compact"/>
            </w:pPr>
            <w:r>
              <w:t xml:space="preserve">Six scenarios: S0 (status quo), S1 (uniform SMS), S2 (uniform CHW), S3 (risk-targeted), S4 (RL-optimised), S5 (bandit-allocated)</w:t>
            </w:r>
          </w:p>
        </w:tc>
      </w:tr>
      <w:tr>
        <w:tc>
          <w:tcPr/>
          <w:p>
            <w:pPr>
              <w:pStyle w:val="Compact"/>
            </w:pPr>
            <w:r>
              <w:t xml:space="preserve">8</w:t>
            </w:r>
          </w:p>
        </w:tc>
        <w:tc>
          <w:tcPr/>
          <w:p>
            <w:pPr>
              <w:pStyle w:val="Compact"/>
            </w:pPr>
            <w:r>
              <w:t xml:space="preserve">Perspective</w:t>
            </w:r>
          </w:p>
        </w:tc>
        <w:tc>
          <w:tcPr/>
          <w:p>
            <w:pPr>
              <w:pStyle w:val="Compact"/>
            </w:pPr>
            <w:r>
              <w:t xml:space="preserve">State the perspective of the study</w:t>
            </w:r>
          </w:p>
        </w:tc>
        <w:tc>
          <w:tcPr/>
          <w:p>
            <w:pPr>
              <w:pStyle w:val="Compact"/>
            </w:pPr>
            <w:r>
              <w:t xml:space="preserve">§2.7</w:t>
            </w:r>
          </w:p>
        </w:tc>
        <w:tc>
          <w:tcPr/>
          <w:p>
            <w:pPr>
              <w:pStyle w:val="Compact"/>
            </w:pPr>
            <w:r>
              <w:t xml:space="preserve">Health system payer perspective (NPHCDA); societal costs not included</w:t>
            </w:r>
          </w:p>
        </w:tc>
      </w:tr>
      <w:tr>
        <w:tc>
          <w:tcPr/>
          <w:p>
            <w:pPr>
              <w:pStyle w:val="Compact"/>
            </w:pPr>
            <w:r>
              <w:t xml:space="preserve">9</w:t>
            </w:r>
          </w:p>
        </w:tc>
        <w:tc>
          <w:tcPr/>
          <w:p>
            <w:pPr>
              <w:pStyle w:val="Compact"/>
            </w:pPr>
            <w:r>
              <w:t xml:space="preserve">Time horizon</w:t>
            </w:r>
          </w:p>
        </w:tc>
        <w:tc>
          <w:tcPr/>
          <w:p>
            <w:pPr>
              <w:pStyle w:val="Compact"/>
            </w:pPr>
            <w:r>
              <w:t xml:space="preserve">State the time horizon for the study and why appropriate</w:t>
            </w:r>
          </w:p>
        </w:tc>
        <w:tc>
          <w:tcPr/>
          <w:p>
            <w:pPr>
              <w:pStyle w:val="Compact"/>
            </w:pPr>
            <w:r>
              <w:t xml:space="preserve">§2.7</w:t>
            </w:r>
          </w:p>
        </w:tc>
        <w:tc>
          <w:tcPr/>
          <w:p>
            <w:pPr>
              <w:pStyle w:val="Compact"/>
            </w:pPr>
            <w:r>
              <w:t xml:space="preserve">Two-step decision horizon (DTP1→DTP2→DTP3) consistent with childhood immunisation schedule</w:t>
            </w:r>
          </w:p>
        </w:tc>
      </w:tr>
      <w:tr>
        <w:tc>
          <w:tcPr/>
          <w:p>
            <w:pPr>
              <w:pStyle w:val="Compact"/>
            </w:pPr>
            <w:r>
              <w:t xml:space="preserve">10</w:t>
            </w:r>
          </w:p>
        </w:tc>
        <w:tc>
          <w:tcPr/>
          <w:p>
            <w:pPr>
              <w:pStyle w:val="Compact"/>
            </w:pPr>
            <w:r>
              <w:t xml:space="preserve">Discount rate</w:t>
            </w:r>
          </w:p>
        </w:tc>
        <w:tc>
          <w:tcPr/>
          <w:p>
            <w:pPr>
              <w:pStyle w:val="Compact"/>
            </w:pPr>
            <w:r>
              <w:t xml:space="preserve">Report the discount rate(s) and rationale</w:t>
            </w:r>
          </w:p>
        </w:tc>
        <w:tc>
          <w:tcPr/>
          <w:p>
            <w:pPr>
              <w:pStyle w:val="Compact"/>
            </w:pPr>
            <w:r>
              <w:t xml:space="preserve">§2.7</w:t>
            </w:r>
          </w:p>
        </w:tc>
        <w:tc>
          <w:tcPr/>
          <w:p>
            <w:pPr>
              <w:pStyle w:val="Compact"/>
            </w:pPr>
            <w:r>
              <w:t xml:space="preserve">Discount factor γ=0.95 applied within RL; economic outcomes are short-term (≤6 months per child) so discounting is minimal</w:t>
            </w:r>
          </w:p>
        </w:tc>
      </w:tr>
      <w:tr>
        <w:tc>
          <w:tcPr/>
          <w:p>
            <w:pPr>
              <w:pStyle w:val="Compact"/>
            </w:pPr>
            <w:r>
              <w:t xml:space="preserve">11</w:t>
            </w:r>
          </w:p>
        </w:tc>
        <w:tc>
          <w:tcPr/>
          <w:p>
            <w:pPr>
              <w:pStyle w:val="Compact"/>
            </w:pPr>
            <w:r>
              <w:t xml:space="preserve">Selection of outcomes</w:t>
            </w:r>
          </w:p>
        </w:tc>
        <w:tc>
          <w:tcPr/>
          <w:p>
            <w:pPr>
              <w:pStyle w:val="Compact"/>
            </w:pPr>
            <w:r>
              <w:t xml:space="preserve">Describe what outcomes were used as the measure of benefit and why selected</w:t>
            </w:r>
          </w:p>
        </w:tc>
        <w:tc>
          <w:tcPr/>
          <w:p>
            <w:pPr>
              <w:pStyle w:val="Compact"/>
            </w:pPr>
            <w:r>
              <w:t xml:space="preserve">§2.7</w:t>
            </w:r>
          </w:p>
        </w:tc>
        <w:tc>
          <w:tcPr/>
          <w:p>
            <w:pPr>
              <w:pStyle w:val="Compact"/>
            </w:pPr>
            <w:r>
              <w:t xml:space="preserve">DTP3 coverage (%) as primary outcome; cost per additional percentage-point of coverage as ICER; concentration index as equity outcome</w:t>
            </w:r>
          </w:p>
        </w:tc>
      </w:tr>
      <w:tr>
        <w:tc>
          <w:tcPr/>
          <w:p>
            <w:pPr>
              <w:pStyle w:val="Compact"/>
            </w:pPr>
            <w:r>
              <w:t xml:space="preserve">12</w:t>
            </w:r>
          </w:p>
        </w:tc>
        <w:tc>
          <w:tcPr/>
          <w:p>
            <w:pPr>
              <w:pStyle w:val="Compact"/>
            </w:pPr>
            <w:r>
              <w:t xml:space="preserve">Measurement of outcomes</w:t>
            </w:r>
          </w:p>
        </w:tc>
        <w:tc>
          <w:tcPr/>
          <w:p>
            <w:pPr>
              <w:pStyle w:val="Compact"/>
            </w:pPr>
            <w:r>
              <w:t xml:space="preserve">Describe how the outcomes used to capture the benefits were measured</w:t>
            </w:r>
          </w:p>
        </w:tc>
        <w:tc>
          <w:tcPr/>
          <w:p>
            <w:pPr>
              <w:pStyle w:val="Compact"/>
            </w:pPr>
            <w:r>
              <w:t xml:space="preserve">§2.7, §3.4</w:t>
            </w:r>
          </w:p>
        </w:tc>
        <w:tc>
          <w:tcPr/>
          <w:p>
            <w:pPr>
              <w:pStyle w:val="Compact"/>
            </w:pPr>
            <w:r>
              <w:t xml:space="preserve">Simulated from microsimulation (1,000 PSA iterations × 3,000 bootstrap cohort); DTP3 completion modelled via reward function</w:t>
            </w:r>
          </w:p>
        </w:tc>
      </w:tr>
      <w:tr>
        <w:tc>
          <w:tcPr/>
          <w:p>
            <w:pPr>
              <w:pStyle w:val="Compact"/>
            </w:pPr>
            <w:r>
              <w:t xml:space="preserve">13</w:t>
            </w:r>
          </w:p>
        </w:tc>
        <w:tc>
          <w:tcPr/>
          <w:p>
            <w:pPr>
              <w:pStyle w:val="Compact"/>
            </w:pPr>
            <w:r>
              <w:t xml:space="preserve">Valuation of outcomes</w:t>
            </w:r>
          </w:p>
        </w:tc>
        <w:tc>
          <w:tcPr/>
          <w:p>
            <w:pPr>
              <w:pStyle w:val="Compact"/>
            </w:pPr>
            <w:r>
              <w:t xml:space="preserve">Describe the population and methods used to value the outcomes</w:t>
            </w:r>
          </w:p>
        </w:tc>
        <w:tc>
          <w:tcPr/>
          <w:p>
            <w:pPr>
              <w:pStyle w:val="Compact"/>
            </w:pPr>
            <w:r>
              <w:t xml:space="preserve">§2.7</w:t>
            </w:r>
          </w:p>
        </w:tc>
        <w:tc>
          <w:tcPr/>
          <w:p>
            <w:pPr>
              <w:pStyle w:val="Compact"/>
            </w:pPr>
            <w:r>
              <w:t xml:space="preserve">Willingness-to-pay thresholds informed by Nigerian per-capita GDP benchmark (₦50,000/percentage-point base; Table S2.1)</w:t>
            </w:r>
          </w:p>
        </w:tc>
      </w:tr>
      <w:tr>
        <w:tc>
          <w:tcPr/>
          <w:p>
            <w:pPr>
              <w:pStyle w:val="Compact"/>
            </w:pPr>
            <w:r>
              <w:t xml:space="preserve">14</w:t>
            </w:r>
          </w:p>
        </w:tc>
        <w:tc>
          <w:tcPr/>
          <w:p>
            <w:pPr>
              <w:pStyle w:val="Compact"/>
            </w:pPr>
            <w:r>
              <w:t xml:space="preserve">Measurement and valuation of resources and costs</w:t>
            </w:r>
          </w:p>
        </w:tc>
        <w:tc>
          <w:tcPr/>
          <w:p>
            <w:pPr>
              <w:pStyle w:val="Compact"/>
            </w:pPr>
            <w:r>
              <w:t xml:space="preserve">Describe how costs were valued</w:t>
            </w:r>
          </w:p>
        </w:tc>
        <w:tc>
          <w:tcPr/>
          <w:p>
            <w:pPr>
              <w:pStyle w:val="Compact"/>
            </w:pPr>
            <w:r>
              <w:t xml:space="preserve">§2.5, §2.7, Table S2.1</w:t>
            </w:r>
          </w:p>
        </w:tc>
        <w:tc>
          <w:tcPr/>
          <w:p>
            <w:pPr>
              <w:pStyle w:val="Compact"/>
            </w:pPr>
            <w:r>
              <w:t xml:space="preserve">Unit costs (₦): a₁=50, a₂=500, a₃=1,500, a₄=800; sourced from NPHCDA estimates and CLAUDE.md; PSA ±25%</w:t>
            </w:r>
          </w:p>
        </w:tc>
      </w:tr>
      <w:tr>
        <w:tc>
          <w:tcPr/>
          <w:p>
            <w:pPr>
              <w:pStyle w:val="Compact"/>
            </w:pPr>
            <w:r>
              <w:t xml:space="preserve">15</w:t>
            </w:r>
          </w:p>
        </w:tc>
        <w:tc>
          <w:tcPr/>
          <w:p>
            <w:pPr>
              <w:pStyle w:val="Compact"/>
            </w:pPr>
            <w:r>
              <w:t xml:space="preserve">Currency, price date, and conversion</w:t>
            </w:r>
          </w:p>
        </w:tc>
        <w:tc>
          <w:tcPr/>
          <w:p>
            <w:pPr>
              <w:pStyle w:val="Compact"/>
            </w:pPr>
            <w:r>
              <w:t xml:space="preserve">Report the currency, price date, and any conversion rates used</w:t>
            </w:r>
          </w:p>
        </w:tc>
        <w:tc>
          <w:tcPr/>
          <w:p>
            <w:pPr>
              <w:pStyle w:val="Compact"/>
            </w:pPr>
            <w:r>
              <w:t xml:space="preserve">§2.7, Table S2.1</w:t>
            </w:r>
          </w:p>
        </w:tc>
        <w:tc>
          <w:tcPr/>
          <w:p>
            <w:pPr>
              <w:pStyle w:val="Compact"/>
            </w:pPr>
            <w:r>
              <w:t xml:space="preserve">2026 Nigerian Naira; no currency conversion required</w:t>
            </w:r>
          </w:p>
        </w:tc>
      </w:tr>
      <w:tr>
        <w:tc>
          <w:tcPr/>
          <w:p>
            <w:pPr>
              <w:pStyle w:val="Compact"/>
            </w:pPr>
            <w:r>
              <w:t xml:space="preserve">16</w:t>
            </w:r>
          </w:p>
        </w:tc>
        <w:tc>
          <w:tcPr/>
          <w:p>
            <w:pPr>
              <w:pStyle w:val="Compact"/>
            </w:pPr>
            <w:r>
              <w:t xml:space="preserve">Rationale and description of model</w:t>
            </w:r>
          </w:p>
        </w:tc>
        <w:tc>
          <w:tcPr/>
          <w:p>
            <w:pPr>
              <w:pStyle w:val="Compact"/>
            </w:pPr>
            <w:r>
              <w:t xml:space="preserve">If a model is used, describe in detail and why used</w:t>
            </w:r>
          </w:p>
        </w:tc>
        <w:tc>
          <w:tcPr/>
          <w:p>
            <w:pPr>
              <w:pStyle w:val="Compact"/>
            </w:pPr>
            <w:r>
              <w:t xml:space="preserve">§2.7</w:t>
            </w:r>
          </w:p>
        </w:tc>
        <w:tc>
          <w:tcPr/>
          <w:p>
            <w:pPr>
              <w:pStyle w:val="Compact"/>
            </w:pPr>
            <w:r>
              <w:t xml:space="preserve">Discrete-event microsimulation with 3,000 bootstrap replicates; PSA on effect sizes, costs, and λ; RL policy applied as intervention</w:t>
            </w:r>
          </w:p>
        </w:tc>
      </w:tr>
      <w:tr>
        <w:tc>
          <w:tcPr/>
          <w:p>
            <w:pPr>
              <w:pStyle w:val="Compact"/>
            </w:pPr>
            <w:r>
              <w:t xml:space="preserve">17</w:t>
            </w:r>
          </w:p>
        </w:tc>
        <w:tc>
          <w:tcPr/>
          <w:p>
            <w:pPr>
              <w:pStyle w:val="Compact"/>
            </w:pPr>
            <w:r>
              <w:t xml:space="preserve">Analytics and assumptions</w:t>
            </w:r>
          </w:p>
        </w:tc>
        <w:tc>
          <w:tcPr/>
          <w:p>
            <w:pPr>
              <w:pStyle w:val="Compact"/>
            </w:pPr>
            <w:r>
              <w:t xml:space="preserve">Describe all analytical methods supporting the evaluation</w:t>
            </w:r>
          </w:p>
        </w:tc>
        <w:tc>
          <w:tcPr/>
          <w:p>
            <w:pPr>
              <w:pStyle w:val="Compact"/>
            </w:pPr>
            <w:r>
              <w:t xml:space="preserve">§2.5, §2.6, §2.7</w:t>
            </w:r>
          </w:p>
        </w:tc>
        <w:tc>
          <w:tcPr/>
          <w:p>
            <w:pPr>
              <w:pStyle w:val="Compact"/>
            </w:pPr>
            <w:r>
              <w:t xml:space="preserve">FQI/CQL policy learning; LinUCB bandit; microsimulation; IS/WIS/DR OPE; one-way tornado sensitivity</w:t>
            </w:r>
          </w:p>
        </w:tc>
      </w:tr>
      <w:tr>
        <w:tc>
          <w:tcPr/>
          <w:p>
            <w:pPr>
              <w:pStyle w:val="Compact"/>
            </w:pPr>
            <w:r>
              <w:t xml:space="preserve">18</w:t>
            </w:r>
          </w:p>
        </w:tc>
        <w:tc>
          <w:tcPr/>
          <w:p>
            <w:pPr>
              <w:pStyle w:val="Compact"/>
            </w:pPr>
            <w:r>
              <w:t xml:space="preserve">Characterising heterogeneity</w:t>
            </w:r>
          </w:p>
        </w:tc>
        <w:tc>
          <w:tcPr/>
          <w:p>
            <w:pPr>
              <w:pStyle w:val="Compact"/>
            </w:pPr>
            <w:r>
              <w:t xml:space="preserve">Describe any methods used to characterise heterogeneity in costs and outcomes</w:t>
            </w:r>
          </w:p>
        </w:tc>
        <w:tc>
          <w:tcPr/>
          <w:p>
            <w:pPr>
              <w:pStyle w:val="Compact"/>
            </w:pPr>
            <w:r>
              <w:t xml:space="preserve">§3.4, §S3.1</w:t>
            </w:r>
          </w:p>
        </w:tc>
        <w:tc>
          <w:tcPr/>
          <w:p>
            <w:pPr>
              <w:pStyle w:val="Compact"/>
            </w:pPr>
            <w:r>
              <w:t xml:space="preserve">Subgroup analyses by zone, wealth quintile, urban/rural, maternal education; Tables S1–S5; slope index of inequality</w:t>
            </w:r>
          </w:p>
        </w:tc>
      </w:tr>
      <w:tr>
        <w:tc>
          <w:tcPr/>
          <w:p>
            <w:pPr>
              <w:pStyle w:val="Compact"/>
            </w:pPr>
            <w:r>
              <w:t xml:space="preserve">19</w:t>
            </w:r>
          </w:p>
        </w:tc>
        <w:tc>
          <w:tcPr/>
          <w:p>
            <w:pPr>
              <w:pStyle w:val="Compact"/>
            </w:pPr>
            <w:r>
              <w:t xml:space="preserve">Characterising distributional effects</w:t>
            </w:r>
          </w:p>
        </w:tc>
        <w:tc>
          <w:tcPr/>
          <w:p>
            <w:pPr>
              <w:pStyle w:val="Compact"/>
            </w:pPr>
            <w:r>
              <w:t xml:space="preserve">Describe how distributional effects were considered</w:t>
            </w:r>
          </w:p>
        </w:tc>
        <w:tc>
          <w:tcPr/>
          <w:p>
            <w:pPr>
              <w:pStyle w:val="Compact"/>
            </w:pPr>
            <w:r>
              <w:t xml:space="preserve">§2.7, §3.4</w:t>
            </w:r>
          </w:p>
        </w:tc>
        <w:tc>
          <w:tcPr/>
          <w:p>
            <w:pPr>
              <w:pStyle w:val="Compact"/>
            </w:pPr>
            <w:r>
              <w:t xml:space="preserve">Concentration index; absolute wealth-quintile gap; slope index of inequality reported alongside ICER</w:t>
            </w:r>
          </w:p>
        </w:tc>
      </w:tr>
      <w:tr>
        <w:tc>
          <w:tcPr/>
          <w:p>
            <w:pPr>
              <w:pStyle w:val="Compact"/>
            </w:pPr>
            <w:r>
              <w:t xml:space="preserve">20</w:t>
            </w:r>
          </w:p>
        </w:tc>
        <w:tc>
          <w:tcPr/>
          <w:p>
            <w:pPr>
              <w:pStyle w:val="Compact"/>
            </w:pPr>
            <w:r>
              <w:t xml:space="preserve">Characterising uncertainty</w:t>
            </w:r>
          </w:p>
        </w:tc>
        <w:tc>
          <w:tcPr/>
          <w:p>
            <w:pPr>
              <w:pStyle w:val="Compact"/>
            </w:pPr>
            <w:r>
              <w:t xml:space="preserve">Describe methods to characterise uncertainty</w:t>
            </w:r>
          </w:p>
        </w:tc>
        <w:tc>
          <w:tcPr/>
          <w:p>
            <w:pPr>
              <w:pStyle w:val="Compact"/>
            </w:pPr>
            <w:r>
              <w:t xml:space="preserve">§2.7, §3.4</w:t>
            </w:r>
          </w:p>
        </w:tc>
        <w:tc>
          <w:tcPr/>
          <w:p>
            <w:pPr>
              <w:pStyle w:val="Compact"/>
            </w:pPr>
            <w:r>
              <w:t xml:space="preserve">PSA: 1,000 iterations; cost-effectiveness plane scatter; CEAC across ₦0–₦500,000/pp; tornado one-way sensitivity (top-10 parameters)</w:t>
            </w:r>
          </w:p>
        </w:tc>
      </w:tr>
      <w:tr>
        <w:tc>
          <w:tcPr/>
          <w:p>
            <w:pPr>
              <w:pStyle w:val="Compact"/>
            </w:pPr>
            <w:r>
              <w:t xml:space="preserve">21</w:t>
            </w:r>
          </w:p>
        </w:tc>
        <w:tc>
          <w:tcPr/>
          <w:p>
            <w:pPr>
              <w:pStyle w:val="Compact"/>
            </w:pPr>
            <w:r>
              <w:t xml:space="preserve">Approach to engagement with patients and others affected by the study</w:t>
            </w:r>
          </w:p>
        </w:tc>
        <w:tc>
          <w:tcPr/>
          <w:p>
            <w:pPr>
              <w:pStyle w:val="Compact"/>
            </w:pPr>
            <w:r>
              <w:t xml:space="preserve">Describe any approaches to engage patients, service recipients, the public, carers, or family members</w:t>
            </w:r>
          </w:p>
        </w:tc>
        <w:tc>
          <w:tcPr/>
          <w:p>
            <w:pPr>
              <w:pStyle w:val="Compact"/>
            </w:pPr>
            <w:r>
              <w:t xml:space="preserve">§2.8</w:t>
            </w:r>
          </w:p>
        </w:tc>
        <w:tc>
          <w:tcPr/>
          <w:p>
            <w:pPr>
              <w:pStyle w:val="Compact"/>
            </w:pPr>
            <w:r>
              <w:t xml:space="preserve">Open-access interactive dashboard with public-facing Story module; WCAG 2.1 AA accessibility; text transcript alternative</w:t>
            </w:r>
          </w:p>
        </w:tc>
      </w:tr>
      <w:tr>
        <w:tc>
          <w:tcPr/>
          <w:p>
            <w:pPr>
              <w:pStyle w:val="Compact"/>
            </w:pPr>
            <w:r>
              <w:t xml:space="preserve">22</w:t>
            </w:r>
          </w:p>
        </w:tc>
        <w:tc>
          <w:tcPr/>
          <w:p>
            <w:pPr>
              <w:pStyle w:val="Compact"/>
            </w:pPr>
            <w:r>
              <w:t xml:space="preserve">Study findings, limitations, and generalisability</w:t>
            </w:r>
          </w:p>
        </w:tc>
        <w:tc>
          <w:tcPr/>
          <w:p>
            <w:pPr>
              <w:pStyle w:val="Compact"/>
            </w:pPr>
            <w:r>
              <w:t xml:space="preserve">Report key findings, limitations of the study, and generalisability</w:t>
            </w:r>
          </w:p>
        </w:tc>
        <w:tc>
          <w:tcPr/>
          <w:p>
            <w:pPr>
              <w:pStyle w:val="Compact"/>
            </w:pPr>
            <w:r>
              <w:t xml:space="preserve">§3.4, §4</w:t>
            </w:r>
          </w:p>
        </w:tc>
        <w:tc>
          <w:tcPr/>
          <w:p>
            <w:pPr>
              <w:pStyle w:val="Compact"/>
            </w:pPr>
            <w:r>
              <w:t xml:space="preserve">ICER reported per scenario; limitations of DHS-derived microsimulation stated; generalisability to similar LMIC settings discussed</w:t>
            </w:r>
          </w:p>
        </w:tc>
      </w:tr>
      <w:tr>
        <w:tc>
          <w:tcPr/>
          <w:p>
            <w:pPr>
              <w:pStyle w:val="Compact"/>
            </w:pPr>
            <w:r>
              <w:t xml:space="preserve">23</w:t>
            </w:r>
          </w:p>
        </w:tc>
        <w:tc>
          <w:tcPr/>
          <w:p>
            <w:pPr>
              <w:pStyle w:val="Compact"/>
            </w:pPr>
            <w:r>
              <w:t xml:space="preserve">Source of funding</w:t>
            </w:r>
          </w:p>
        </w:tc>
        <w:tc>
          <w:tcPr/>
          <w:p>
            <w:pPr>
              <w:pStyle w:val="Compact"/>
            </w:pPr>
            <w:r>
              <w:t xml:space="preserve">Describe how the study was funded and any role of the funder</w:t>
            </w:r>
          </w:p>
        </w:tc>
        <w:tc>
          <w:tcPr/>
          <w:p>
            <w:pPr>
              <w:pStyle w:val="Compact"/>
            </w:pPr>
            <w:r>
              <w:t xml:space="preserve">Back matter</w:t>
            </w:r>
          </w:p>
        </w:tc>
        <w:tc>
          <w:tcPr/>
          <w:p>
            <w:pPr>
              <w:pStyle w:val="Compact"/>
            </w:pPr>
            <w:r>
              <w:t xml:space="preserve">Funding statement in back matter (§99)</w:t>
            </w:r>
          </w:p>
        </w:tc>
      </w:tr>
      <w:tr>
        <w:tc>
          <w:tcPr/>
          <w:p>
            <w:pPr>
              <w:pStyle w:val="Compact"/>
            </w:pPr>
            <w:r>
              <w:t xml:space="preserve">24</w:t>
            </w:r>
          </w:p>
        </w:tc>
        <w:tc>
          <w:tcPr/>
          <w:p>
            <w:pPr>
              <w:pStyle w:val="Compact"/>
            </w:pPr>
            <w:r>
              <w:t xml:space="preserve">Conflicts of interest</w:t>
            </w:r>
          </w:p>
        </w:tc>
        <w:tc>
          <w:tcPr/>
          <w:p>
            <w:pPr>
              <w:pStyle w:val="Compact"/>
            </w:pPr>
            <w:r>
              <w:t xml:space="preserve">Report authors’ conflicts of interest</w:t>
            </w:r>
          </w:p>
        </w:tc>
        <w:tc>
          <w:tcPr/>
          <w:p>
            <w:pPr>
              <w:pStyle w:val="Compact"/>
            </w:pPr>
            <w:r>
              <w:t xml:space="preserve">Back matter</w:t>
            </w:r>
          </w:p>
        </w:tc>
        <w:tc>
          <w:tcPr/>
          <w:p>
            <w:pPr>
              <w:pStyle w:val="Compact"/>
            </w:pPr>
            <w:r>
              <w:t xml:space="preserve">Conflict-of-interest statement in back matter (§99)</w:t>
            </w:r>
          </w:p>
        </w:tc>
      </w:tr>
      <w:tr>
        <w:tc>
          <w:tcPr/>
          <w:p>
            <w:pPr>
              <w:pStyle w:val="Compact"/>
            </w:pPr>
            <w:r>
              <w:t xml:space="preserve">25</w:t>
            </w:r>
          </w:p>
        </w:tc>
        <w:tc>
          <w:tcPr/>
          <w:p>
            <w:pPr>
              <w:pStyle w:val="Compact"/>
            </w:pPr>
            <w:r>
              <w:t xml:space="preserve">Choice of model</w:t>
            </w:r>
          </w:p>
        </w:tc>
        <w:tc>
          <w:tcPr/>
          <w:p>
            <w:pPr>
              <w:pStyle w:val="Compact"/>
            </w:pPr>
            <w:r>
              <w:t xml:space="preserve">Describe and justify the model chosen for the economic analysis</w:t>
            </w:r>
          </w:p>
        </w:tc>
        <w:tc>
          <w:tcPr/>
          <w:p>
            <w:pPr>
              <w:pStyle w:val="Compact"/>
            </w:pPr>
            <w:r>
              <w:t xml:space="preserve">§2.7</w:t>
            </w:r>
          </w:p>
        </w:tc>
        <w:tc>
          <w:tcPr/>
          <w:p>
            <w:pPr>
              <w:pStyle w:val="Compact"/>
            </w:pPr>
            <w:r>
              <w:t xml:space="preserve">Microsimulation chosen over decision tree/Markov to capture individual-level heterogeneity and RL policy rollout</w:t>
            </w:r>
          </w:p>
        </w:tc>
      </w:tr>
      <w:tr>
        <w:tc>
          <w:tcPr/>
          <w:p>
            <w:pPr>
              <w:pStyle w:val="Compact"/>
            </w:pPr>
            <w:r>
              <w:t xml:space="preserve">26</w:t>
            </w:r>
          </w:p>
        </w:tc>
        <w:tc>
          <w:tcPr/>
          <w:p>
            <w:pPr>
              <w:pStyle w:val="Compact"/>
            </w:pPr>
            <w:r>
              <w:t xml:space="preserve">Assumptions</w:t>
            </w:r>
          </w:p>
        </w:tc>
        <w:tc>
          <w:tcPr/>
          <w:p>
            <w:pPr>
              <w:pStyle w:val="Compact"/>
            </w:pPr>
            <w:r>
              <w:t xml:space="preserve">Describe all structural and other assumptions underpinning the model</w:t>
            </w:r>
          </w:p>
        </w:tc>
        <w:tc>
          <w:tcPr/>
          <w:p>
            <w:pPr>
              <w:pStyle w:val="Compact"/>
            </w:pPr>
            <w:r>
              <w:t xml:space="preserve">§2.7, §4</w:t>
            </w:r>
          </w:p>
        </w:tc>
        <w:tc>
          <w:tcPr/>
          <w:p>
            <w:pPr>
              <w:pStyle w:val="Compact"/>
            </w:pPr>
            <w:r>
              <w:t xml:space="preserve">Constant effect sizes during PSA range; NPHCDA budget ceiling assumed; DHS 2024 as representative of current population</w:t>
            </w:r>
          </w:p>
        </w:tc>
      </w:tr>
      <w:tr>
        <w:tc>
          <w:tcPr/>
          <w:p>
            <w:pPr>
              <w:pStyle w:val="Compact"/>
            </w:pPr>
            <w:r>
              <w:t xml:space="preserve">27</w:t>
            </w:r>
          </w:p>
        </w:tc>
        <w:tc>
          <w:tcPr/>
          <w:p>
            <w:pPr>
              <w:pStyle w:val="Compact"/>
            </w:pPr>
            <w:r>
              <w:t xml:space="preserve">Data inputs</w:t>
            </w:r>
          </w:p>
        </w:tc>
        <w:tc>
          <w:tcPr/>
          <w:p>
            <w:pPr>
              <w:pStyle w:val="Compact"/>
            </w:pPr>
            <w:r>
              <w:t xml:space="preserve">Report all data inputs including their sources and methods of synthesis</w:t>
            </w:r>
          </w:p>
        </w:tc>
        <w:tc>
          <w:tcPr/>
          <w:p>
            <w:pPr>
              <w:pStyle w:val="Compact"/>
            </w:pPr>
            <w:r>
              <w:t xml:space="preserve">§2.3, §2.7, Table S2.1</w:t>
            </w:r>
          </w:p>
        </w:tc>
        <w:tc>
          <w:tcPr/>
          <w:p>
            <w:pPr>
              <w:pStyle w:val="Compact"/>
            </w:pPr>
            <w:r>
              <w:t xml:space="preserve">Effect sizes from meta-analyses (Table S2.1); costs from NPHCDA; population from NDHS 2024; geospatial from DHS GC dataset</w:t>
            </w:r>
          </w:p>
        </w:tc>
      </w:tr>
      <w:tr>
        <w:tc>
          <w:tcPr/>
          <w:p>
            <w:pPr>
              <w:pStyle w:val="Compact"/>
            </w:pPr>
            <w:r>
              <w:t xml:space="preserve">28</w:t>
            </w:r>
          </w:p>
        </w:tc>
        <w:tc>
          <w:tcPr/>
          <w:p>
            <w:pPr>
              <w:pStyle w:val="Compact"/>
            </w:pPr>
            <w:r>
              <w:t xml:space="preserve">Characterising structural uncertainty</w:t>
            </w:r>
          </w:p>
        </w:tc>
        <w:tc>
          <w:tcPr/>
          <w:p>
            <w:pPr>
              <w:pStyle w:val="Compact"/>
            </w:pPr>
            <w:r>
              <w:t xml:space="preserve">Describe how structural uncertainty was addressed</w:t>
            </w:r>
          </w:p>
        </w:tc>
        <w:tc>
          <w:tcPr/>
          <w:p>
            <w:pPr>
              <w:pStyle w:val="Compact"/>
            </w:pPr>
            <w:r>
              <w:t xml:space="preserve">§4</w:t>
            </w:r>
          </w:p>
        </w:tc>
        <w:tc>
          <w:tcPr/>
          <w:p>
            <w:pPr>
              <w:pStyle w:val="Compact"/>
            </w:pPr>
            <w:r>
              <w:t xml:space="preserve">Sensitivity analysis comparing FQI vs CQL policies; bandit vs MDP formulations; alternate reward weight specifications discussed</w:t>
            </w:r>
          </w:p>
        </w:tc>
      </w:tr>
    </w:tbl>
    <w:p>
      <w:r>
        <w:pict>
          <v:rect style="width:0;height:1.5pt" o:hralign="center" o:hrstd="t" o:hr="t"/>
        </w:pict>
      </w:r>
    </w:p>
    <w:bookmarkEnd w:id="10"/>
    <w:bookmarkStart w:id="11" w:name="X7f87f427672cdfd1f23ca046df39c1c02d081be"/>
    <w:p>
      <w:pPr>
        <w:pStyle w:val="Heading2"/>
      </w:pPr>
      <w:r>
        <w:t xml:space="preserve">S0.3 Gottesman 2019 RL-in-Health Issue-Response Table</w:t>
      </w:r>
      <w:r>
        <w:t xml:space="preserve"> </w:t>
      </w:r>
      <w:r>
        <w:t xml:space="preserve">[3]</w:t>
      </w:r>
    </w:p>
    <w:p>
      <w:pPr>
        <w:pStyle w:val="FirstParagraph"/>
      </w:pPr>
      <w:r>
        <w:t xml:space="preserve">Gottesman et al. (2019) identified seven methodological issues that must be addressed when applying reinforcement learning to healthcare. Each is addressed below.</w:t>
      </w:r>
    </w:p>
    <w:tbl>
      <w:tblPr>
        <w:tblStyle w:val="Table"/>
        <w:tblW w:type="pct" w:w="5000"/>
        <w:tblLayout w:type="fixed"/>
        <w:tblLook w:firstRow="1" w:lastRow="0" w:firstColumn="0" w:lastColumn="0" w:noHBand="0" w:noVBand="0" w:val="0020"/>
      </w:tblPr>
      <w:tblGrid>
        <w:gridCol w:w="972"/>
        <w:gridCol w:w="1806"/>
        <w:gridCol w:w="3890"/>
        <w:gridCol w:w="1250"/>
      </w:tblGrid>
      <w:tr>
        <w:trPr>
          <w:tblHeader w:val="on"/>
        </w:trPr>
        <w:tc>
          <w:tcPr/>
          <w:p>
            <w:pPr>
              <w:pStyle w:val="Compact"/>
            </w:pPr>
            <w:r>
              <w:t xml:space="preserve">Issue</w:t>
            </w:r>
          </w:p>
        </w:tc>
        <w:tc>
          <w:tcPr/>
          <w:p>
            <w:pPr>
              <w:pStyle w:val="Compact"/>
            </w:pPr>
            <w:r>
              <w:t xml:space="preserve">Description</w:t>
            </w:r>
          </w:p>
        </w:tc>
        <w:tc>
          <w:tcPr/>
          <w:p>
            <w:pPr>
              <w:pStyle w:val="Compact"/>
            </w:pPr>
            <w:r>
              <w:t xml:space="preserve">How addressed in this study</w:t>
            </w:r>
          </w:p>
        </w:tc>
        <w:tc>
          <w:tcPr/>
          <w:p>
            <w:pPr>
              <w:pStyle w:val="Compact"/>
            </w:pPr>
            <w:r>
              <w:t xml:space="preserve">Section</w:t>
            </w:r>
          </w:p>
        </w:tc>
      </w:tr>
      <w:tr>
        <w:tc>
          <w:tcPr/>
          <w:p>
            <w:pPr>
              <w:pStyle w:val="Compact"/>
            </w:pPr>
            <w:r>
              <w:t xml:space="preserve">1. Partial observability</w:t>
            </w:r>
          </w:p>
        </w:tc>
        <w:tc>
          <w:tcPr/>
          <w:p>
            <w:pPr>
              <w:pStyle w:val="Compact"/>
            </w:pPr>
            <w:r>
              <w:t xml:space="preserve">In real health settings, the Markov state is typically not fully observed; unmeasured confounders and latent patient history violate the MDP assumption</w:t>
            </w:r>
          </w:p>
        </w:tc>
        <w:tc>
          <w:tcPr/>
          <w:p>
            <w:pPr>
              <w:pStyle w:val="Compact"/>
            </w:pPr>
            <w:r>
              <w:t xml:space="preserve">Acknowledged as a key limitation. DHS data are cross-sectional; unmeasured time-varying confounders (e.g., outbreak events, stock-outs) cannot be captured. Recalibrated XGBoost risk scores (from §2.4) are used as a compact state representation to compress observable history into a probabilistic summary of latent dropout risk. This is documented in the limitations section</w:t>
            </w:r>
          </w:p>
        </w:tc>
        <w:tc>
          <w:tcPr/>
          <w:p>
            <w:pPr>
              <w:pStyle w:val="Compact"/>
            </w:pPr>
            <w:r>
              <w:t xml:space="preserve">§2.5, §4 (limitations)</w:t>
            </w:r>
          </w:p>
        </w:tc>
      </w:tr>
      <w:tr>
        <w:tc>
          <w:tcPr/>
          <w:p>
            <w:pPr>
              <w:pStyle w:val="Compact"/>
            </w:pPr>
            <w:r>
              <w:t xml:space="preserve">2. Confounding</w:t>
            </w:r>
          </w:p>
        </w:tc>
        <w:tc>
          <w:tcPr/>
          <w:p>
            <w:pPr>
              <w:pStyle w:val="Compact"/>
            </w:pPr>
            <w:r>
              <w:t xml:space="preserve">Observed actions in off-policy datasets may be confounded by unmeasured variables, biasing behaviour-policy estimates</w:t>
            </w:r>
          </w:p>
        </w:tc>
        <w:tc>
          <w:tcPr/>
          <w:p>
            <w:pPr>
              <w:pStyle w:val="Compact"/>
            </w:pPr>
            <w:r>
              <w:t xml:space="preserve">DHS does not record interventions. Structured proxy-action inference rules (per CLAUDE.md) map observable DHS patterns — inter-dose intervals, fieldworker visit (v393), health card (h1a), vaccination venue (h69) — to the five-action space. CQL regularisation penalises extrapolation to out-of-distribution (state, action) pairs, limiting reliance on confounded behaviour-policy regions</w:t>
            </w:r>
          </w:p>
        </w:tc>
        <w:tc>
          <w:tcPr/>
          <w:p>
            <w:pPr>
              <w:pStyle w:val="Compact"/>
            </w:pPr>
            <w:r>
              <w:t xml:space="preserve">§2.5, §S1.4</w:t>
            </w:r>
          </w:p>
        </w:tc>
      </w:tr>
      <w:tr>
        <w:tc>
          <w:tcPr/>
          <w:p>
            <w:pPr>
              <w:pStyle w:val="Compact"/>
            </w:pPr>
            <w:r>
              <w:t xml:space="preserve">3. Reward specification</w:t>
            </w:r>
          </w:p>
        </w:tc>
        <w:tc>
          <w:tcPr/>
          <w:p>
            <w:pPr>
              <w:pStyle w:val="Compact"/>
            </w:pPr>
            <w:r>
              <w:t xml:space="preserve">Misspecification of the reward function can lead to policies that optimise proxies rather than true outcomes</w:t>
            </w:r>
          </w:p>
        </w:tc>
        <w:tc>
          <w:tcPr/>
          <w:p>
            <w:pPr>
              <w:pStyle w:val="Compact"/>
            </w:pPr>
            <w:r>
              <w:t xml:space="preserve">Reward weights are fully disclosed: R = 1.0·𝟙[DTP3] + 0.3·𝟙[next dose] − λ·cost, with λ=0.001. A probabilistic sensitivity analysis (PSA) sweeps λ over [0.0005, 0.002] and draws effect-size weights from normal distributions derived from LMIC meta-analyses. Reward weight rationale is given in §2.5</w:t>
            </w:r>
          </w:p>
        </w:tc>
        <w:tc>
          <w:tcPr/>
          <w:p>
            <w:pPr>
              <w:pStyle w:val="Compact"/>
            </w:pPr>
            <w:r>
              <w:t xml:space="preserve">§2.5, §2.7</w:t>
            </w:r>
          </w:p>
        </w:tc>
      </w:tr>
      <w:tr>
        <w:tc>
          <w:tcPr/>
          <w:p>
            <w:pPr>
              <w:pStyle w:val="Compact"/>
            </w:pPr>
            <w:r>
              <w:t xml:space="preserve">4. Off-policy evaluation</w:t>
            </w:r>
          </w:p>
        </w:tc>
        <w:tc>
          <w:tcPr/>
          <w:p>
            <w:pPr>
              <w:pStyle w:val="Compact"/>
            </w:pPr>
            <w:r>
              <w:t xml:space="preserve">Learning from historical data without the ability to interact with the environment makes it difficult to evaluate the learned policy reliably</w:t>
            </w:r>
          </w:p>
        </w:tc>
        <w:tc>
          <w:tcPr/>
          <w:p>
            <w:pPr>
              <w:pStyle w:val="Compact"/>
            </w:pPr>
            <w:r>
              <w:t xml:space="preserve">Three OPE estimators are compared on 1,569 held-out episodes: importance sampling (IS), weighted importance sampling (WIS), and doubly-robust (DR). Estimator agreement is reported as the primary evidence for policy quality; disagreement is flagged as uncertainty</w:t>
            </w:r>
          </w:p>
        </w:tc>
        <w:tc>
          <w:tcPr/>
          <w:p>
            <w:pPr>
              <w:pStyle w:val="Compact"/>
            </w:pPr>
            <w:r>
              <w:t xml:space="preserve">§2.5, §3.3, §S1.3</w:t>
            </w:r>
          </w:p>
        </w:tc>
      </w:tr>
      <w:tr>
        <w:tc>
          <w:tcPr/>
          <w:p>
            <w:pPr>
              <w:pStyle w:val="Compact"/>
            </w:pPr>
            <w:r>
              <w:t xml:space="preserve">5. Distributional shift</w:t>
            </w:r>
          </w:p>
        </w:tc>
        <w:tc>
          <w:tcPr/>
          <w:p>
            <w:pPr>
              <w:pStyle w:val="Compact"/>
            </w:pPr>
            <w:r>
              <w:t xml:space="preserve">The learned policy may recommend actions in regions of state space poorly supported by historical data</w:t>
            </w:r>
          </w:p>
        </w:tc>
        <w:tc>
          <w:tcPr/>
          <w:p>
            <w:pPr>
              <w:pStyle w:val="Compact"/>
            </w:pPr>
            <w:r>
              <w:t xml:space="preserve">CQL’s conservatism hyperparameter α is grid-searched; α=1.0 is selected as the base case with sensitivity reported in Figure S8. The LinUCB bandit (§2.6) is further constrained to the empirical support of LGA-level covariates. Out-of-distribution Q-values are suppressed by the CQL penalty</w:t>
            </w:r>
          </w:p>
        </w:tc>
        <w:tc>
          <w:tcPr/>
          <w:p>
            <w:pPr>
              <w:pStyle w:val="Compact"/>
            </w:pPr>
            <w:r>
              <w:t xml:space="preserve">§2.5, §2.6, Figure S8</w:t>
            </w:r>
          </w:p>
        </w:tc>
      </w:tr>
      <w:tr>
        <w:tc>
          <w:tcPr/>
          <w:p>
            <w:pPr>
              <w:pStyle w:val="Compact"/>
            </w:pPr>
            <w:r>
              <w:t xml:space="preserve">6. Safety and behaviour constraints</w:t>
            </w:r>
          </w:p>
        </w:tc>
        <w:tc>
          <w:tcPr/>
          <w:p>
            <w:pPr>
              <w:pStyle w:val="Compact"/>
            </w:pPr>
            <w:r>
              <w:t xml:space="preserve">RL policies in healthcare must not recommend harmful or untested actions</w:t>
            </w:r>
          </w:p>
        </w:tc>
        <w:tc>
          <w:tcPr/>
          <w:p>
            <w:pPr>
              <w:pStyle w:val="Compact"/>
            </w:pPr>
            <w:r>
              <w:t xml:space="preserve">The action space is restricted by design to five established, benign public-health interventions with documented safety profiles in LMIC settings: no intervention, SMS reminder, CHW home visit, facility recall with defaulter tracing, and conditional cash/in-kind incentive. No novel or potentially harmful treatments are included. All actions are currently deployed within Nigerian immunisation programmes</w:t>
            </w:r>
          </w:p>
        </w:tc>
        <w:tc>
          <w:tcPr/>
          <w:p>
            <w:pPr>
              <w:pStyle w:val="Compact"/>
            </w:pPr>
            <w:r>
              <w:t xml:space="preserve">§2.5</w:t>
            </w:r>
          </w:p>
        </w:tc>
      </w:tr>
      <w:tr>
        <w:tc>
          <w:tcPr/>
          <w:p>
            <w:pPr>
              <w:pStyle w:val="Compact"/>
            </w:pPr>
            <w:r>
              <w:t xml:space="preserve">7. Interpretability</w:t>
            </w:r>
          </w:p>
        </w:tc>
        <w:tc>
          <w:tcPr/>
          <w:p>
            <w:pPr>
              <w:pStyle w:val="Compact"/>
            </w:pPr>
            <w:r>
              <w:t xml:space="preserve">Clinicians and policymakers require understanding of why a policy recommends specific actions</w:t>
            </w:r>
          </w:p>
        </w:tc>
        <w:tc>
          <w:tcPr/>
          <w:p>
            <w:pPr>
              <w:pStyle w:val="Compact"/>
            </w:pPr>
            <w:r>
              <w:t xml:space="preserve">Full state-to-action policy lookup table published (outputs/stage2/policy_lookup.csv; Supplementary Table S6 / §S3). SHAP values from XGBoost risk models identify the most influential predictors at each dose step (Figures 2–3, S5–S6, S12). Andersen-domain SHAP decomposition summarises which factor domains drive recommendations (Figure S12)</w:t>
            </w:r>
          </w:p>
        </w:tc>
        <w:tc>
          <w:tcPr/>
          <w:p>
            <w:pPr>
              <w:pStyle w:val="Compact"/>
            </w:pPr>
            <w:r>
              <w:t xml:space="preserve">§2.4, §2.5, §S3</w:t>
            </w:r>
          </w:p>
        </w:tc>
      </w:tr>
    </w:tbl>
    <w:bookmarkEnd w:id="11"/>
    <w:bookmarkEnd w:id="12"/>
    <w:bookmarkStart w:id="20" w:name="Xcbce0a35388c726f6a6bba1e340518865669fcf"/>
    <w:p>
      <w:pPr>
        <w:pStyle w:val="Heading1"/>
      </w:pPr>
      <w:r>
        <w:t xml:space="preserve">Supplementary Material S1 — Extended Methods</w:t>
      </w:r>
    </w:p>
    <w:bookmarkStart w:id="13" w:name="s1.1-fitted-q-iteration-fqi"/>
    <w:p>
      <w:pPr>
        <w:pStyle w:val="Heading2"/>
      </w:pPr>
      <w:r>
        <w:t xml:space="preserve">S1.1 Fitted Q-Iteration (FQI)</w:t>
      </w:r>
    </w:p>
    <w:p>
      <w:pPr>
        <w:pStyle w:val="FirstParagraph"/>
      </w:pPr>
      <w:r>
        <w:t xml:space="preserve">Fitted Q-Iteration (FQI) is a batch offline reinforcement learning algorithm that learns an action-value function Q(s, a) from a fixed dataset of transitions without further environment interaction</w:t>
      </w:r>
      <w:r>
        <w:t xml:space="preserve"> </w:t>
      </w:r>
      <w:r>
        <w:t xml:space="preserve">[4]</w:t>
      </w:r>
      <w:r>
        <w:t xml:space="preserve">. Starting from Q₀(s, a) = 0, FQI iterates Bellman backup targets: at each iteration k, the Bellman target for each observed transition (s_i, a_i, r_i, s’</w:t>
      </w:r>
      <w:r>
        <w:rPr>
          <w:i/>
          <w:iCs/>
        </w:rPr>
        <w:t xml:space="preserve">i) is computed as target_i = r_i + γ · max</w:t>
      </w:r>
      <w:r>
        <w:t xml:space="preserve">{a’} Q_{k−1}(s’_i, a’), and Q_k is fitted by regressing a function approximator on these targets. We used ExtraTrees as the function approximator, which provides stable regression under sparse and noisy off-policy data, handles mixed variable types without preprocessing, and is computationally efficient for datasets of the size derived from the NDHS 2024 DTP1-initiating cohort (6,217 trajectory rows). Convergence was declared when the maximum change in Q-values across all observed (s, a) pairs fell below ΔQ &lt; 0.01 or 200 iterations were completed (actual convergence at 100 iterations; Table S2.2).</w:t>
      </w:r>
    </w:p>
    <w:p>
      <w:pPr>
        <w:pStyle w:val="SourceCode"/>
      </w:pPr>
      <w:r>
        <w:rPr>
          <w:rStyle w:val="VerbatimChar"/>
        </w:rPr>
        <w:t xml:space="preserve">Input:  dataset D = {(s_i, a_i, r_i, s'_i)},</w:t>
      </w:r>
      <w:r>
        <w:br/>
      </w:r>
      <w:r>
        <w:rPr>
          <w:rStyle w:val="VerbatimChar"/>
        </w:rPr>
        <w:t xml:space="preserve">        max iterations N, function class F, discount γ, threshold ε</w:t>
      </w:r>
      <w:r>
        <w:br/>
      </w:r>
      <w:r>
        <w:rPr>
          <w:rStyle w:val="VerbatimChar"/>
        </w:rPr>
        <w:t xml:space="preserve">Initialize Q_0(s, a) = 0  ∀(s, a)</w:t>
      </w:r>
      <w:r>
        <w:br/>
      </w:r>
      <w:r>
        <w:rPr>
          <w:rStyle w:val="VerbatimChar"/>
        </w:rPr>
        <w:t xml:space="preserve">for k = 1 to N do</w:t>
      </w:r>
      <w:r>
        <w:br/>
      </w:r>
      <w:r>
        <w:rPr>
          <w:rStyle w:val="VerbatimChar"/>
        </w:rPr>
        <w:t xml:space="preserve">    for each (s_i, a_i, r_i, s'_i) in D do</w:t>
      </w:r>
      <w:r>
        <w:br/>
      </w:r>
      <w:r>
        <w:rPr>
          <w:rStyle w:val="VerbatimChar"/>
        </w:rPr>
        <w:t xml:space="preserve">        target_i ← r_i + γ · max_{a'} Q_{k-1}(s'_i, a')</w:t>
      </w:r>
      <w:r>
        <w:br/>
      </w:r>
      <w:r>
        <w:rPr>
          <w:rStyle w:val="VerbatimChar"/>
        </w:rPr>
        <w:t xml:space="preserve">    end for</w:t>
      </w:r>
      <w:r>
        <w:br/>
      </w:r>
      <w:r>
        <w:rPr>
          <w:rStyle w:val="VerbatimChar"/>
        </w:rPr>
        <w:t xml:space="preserve">    Q_k ← argmin_{f ∈ F} Σ_i (f(s_i, a_i) − target_i)²</w:t>
      </w:r>
      <w:r>
        <w:br/>
      </w:r>
      <w:r>
        <w:rPr>
          <w:rStyle w:val="VerbatimChar"/>
        </w:rPr>
        <w:t xml:space="preserve">    if max_{(s,a)} |Q_k(s,a) − Q_{k-1}(s,a)| &lt; ε then</w:t>
      </w:r>
      <w:r>
        <w:br/>
      </w:r>
      <w:r>
        <w:rPr>
          <w:rStyle w:val="VerbatimChar"/>
        </w:rPr>
        <w:t xml:space="preserve">        break</w:t>
      </w:r>
      <w:r>
        <w:br/>
      </w:r>
      <w:r>
        <w:rPr>
          <w:rStyle w:val="VerbatimChar"/>
        </w:rPr>
        <w:t xml:space="preserve">    end if</w:t>
      </w:r>
      <w:r>
        <w:br/>
      </w:r>
      <w:r>
        <w:rPr>
          <w:rStyle w:val="VerbatimChar"/>
        </w:rPr>
        <w:t xml:space="preserve">end for</w:t>
      </w:r>
      <w:r>
        <w:br/>
      </w:r>
      <w:r>
        <w:rPr>
          <w:rStyle w:val="VerbatimChar"/>
        </w:rPr>
        <w:t xml:space="preserve">Return Q_N</w:t>
      </w:r>
      <w:r>
        <w:br/>
      </w:r>
      <w:r>
        <w:rPr>
          <w:rStyle w:val="VerbatimChar"/>
        </w:rPr>
        <w:t xml:space="preserve">Derive policy: π*(s) = argmax_{a} Q_N(s, a)</w:t>
      </w:r>
    </w:p>
    <w:p>
      <w:r>
        <w:pict>
          <v:rect style="width:0;height:1.5pt" o:hralign="center" o:hrstd="t" o:hr="t"/>
        </w:pict>
      </w:r>
    </w:p>
    <w:bookmarkEnd w:id="13"/>
    <w:bookmarkStart w:id="14" w:name="s1.2-conservative-q-learning-cql"/>
    <w:p>
      <w:pPr>
        <w:pStyle w:val="Heading2"/>
      </w:pPr>
      <w:r>
        <w:t xml:space="preserve">S1.2 Conservative Q-Learning (CQL)</w:t>
      </w:r>
    </w:p>
    <w:p>
      <w:pPr>
        <w:pStyle w:val="FirstParagraph"/>
      </w:pPr>
      <w:r>
        <w:t xml:space="preserve">Conservative Q-Learning (CQL) is an offline RL algorithm designed to address distributional shift: the risk that a Q-function trained on historical data assigns spuriously high values to state–action pairs that were rarely or never observed under the behaviour policy</w:t>
      </w:r>
      <w:r>
        <w:t xml:space="preserve"> </w:t>
      </w:r>
      <w:r>
        <w:t xml:space="preserve">[5]</w:t>
      </w:r>
      <w:r>
        <w:t xml:space="preserve">. CQL augments the standard Bellman error with a conservative regularisation term that penalises the soft-maximum of Q-values across all actions (which would be inflated in OOD regions) and rewards the Q-value under the behaviour policy (which is supported by data). The conservatism hyperparameter α controls the trade-off between policy optimisation and data-support constraint: larger α pushes the learned policy closer to the behaviour policy, while α→0 recovers standard Q-learning. We grid-searched α ∈ {0.1, 0.5, 1.0, 2.0, 5.0} and selected α=1.0 as the base case; α-sensitivity on WIS-estimated policy value and action diversity is reported in Supplementary Figure S8.</w:t>
      </w:r>
    </w:p>
    <w:p>
      <w:pPr>
        <w:pStyle w:val="BodyText"/>
      </w:pPr>
      <w:r>
        <w:t xml:space="preserve">The CQL objective is:</w:t>
      </w:r>
    </w:p>
    <w:p>
      <w:pPr>
        <w:pStyle w:val="BodyText"/>
      </w:pPr>
      <m:oMathPara>
        <m:oMathParaPr>
          <m:jc m:val="center"/>
        </m:oMathParaPr>
        <m:oMath>
          <m:sSub>
            <m:e>
              <m:r>
                <m:rPr>
                  <m:scr m:val="script"/>
                  <m:sty m:val="p"/>
                </m:rPr>
                <m:t>L</m:t>
              </m:r>
            </m:e>
            <m:sub>
              <m:r>
                <m:rPr>
                  <m:nor/>
                  <m:sty m:val="p"/>
                </m:rPr>
                <m:t>CQL</m:t>
              </m:r>
            </m:sub>
          </m:sSub>
          <m:r>
            <m:rPr>
              <m:sty m:val="p"/>
            </m:rPr>
            <m:t>(</m:t>
          </m:r>
          <m:r>
            <m:t>θ</m:t>
          </m:r>
          <m:r>
            <m:rPr>
              <m:sty m:val="p"/>
            </m:rPr>
            <m:t>)</m:t>
          </m:r>
          <m:r>
            <m:rPr>
              <m:sty m:val="p"/>
            </m:rPr>
            <m:t>=</m:t>
          </m:r>
          <m:sSub>
            <m:e>
              <m:r>
                <m:rPr>
                  <m:scr m:val="script"/>
                  <m:sty m:val="p"/>
                </m:rPr>
                <m:t>L</m:t>
              </m:r>
            </m:e>
            <m:sub>
              <m:r>
                <m:rPr>
                  <m:nor/>
                  <m:sty m:val="p"/>
                </m:rPr>
                <m:t>Bellman</m:t>
              </m:r>
            </m:sub>
          </m:sSub>
          <m:r>
            <m:rPr>
              <m:sty m:val="p"/>
            </m:rPr>
            <m:t>(</m:t>
          </m:r>
          <m:r>
            <m:t>θ</m:t>
          </m:r>
          <m:r>
            <m:rPr>
              <m:sty m:val="p"/>
            </m:rPr>
            <m:t>)</m:t>
          </m:r>
          <m:r>
            <m:rPr>
              <m:sty m:val="p"/>
            </m:rPr>
            <m:t>+</m:t>
          </m:r>
          <m:r>
            <m:t>α</m:t>
          </m:r>
          <m:r>
            <m:rPr>
              <m:sty m:val="p"/>
            </m:rPr>
            <m:t>⋅</m:t>
          </m:r>
          <m:sSub>
            <m:e>
              <m:r>
                <m:rPr>
                  <m:scr m:val="double-struck"/>
                  <m:sty m:val="p"/>
                </m:rPr>
                <m:t>E</m:t>
              </m:r>
            </m:e>
            <m:sub>
              <m:r>
                <m:t>s</m:t>
              </m:r>
              <m:r>
                <m:rPr>
                  <m:sty m:val="p"/>
                </m:rPr>
                <m:t>∼</m:t>
              </m:r>
              <m:r>
                <m:rPr>
                  <m:scr m:val="script"/>
                  <m:sty m:val="p"/>
                </m:rPr>
                <m:t>D</m:t>
              </m:r>
            </m:sub>
          </m:sSub>
          <m:r>
            <m:t>​</m:t>
          </m:r>
          <m:d>
            <m:dPr>
              <m:begChr m:val="["/>
              <m:sepChr m:val=""/>
              <m:endChr m:val="]"/>
              <m:grow/>
            </m:dPr>
            <m:e>
              <m:r>
                <m:rPr>
                  <m:sty m:val="p"/>
                </m:rPr>
                <m:t>log</m:t>
              </m:r>
              <m:nary>
                <m:naryPr>
                  <m:chr m:val="∑"/>
                  <m:limLoc m:val="undOvr"/>
                  <m:subHide m:val="off"/>
                  <m:supHide m:val="on"/>
                </m:naryPr>
                <m:sub>
                  <m:r>
                    <m:t>a</m:t>
                  </m:r>
                </m:sub>
                <m:sup>
                  <m:r>
                    <m:t>​</m:t>
                  </m:r>
                </m:sup>
                <m:e>
                  <m:r>
                    <m:rPr>
                      <m:sty m:val="p"/>
                    </m:rPr>
                    <m:t>exp</m:t>
                  </m:r>
                </m:e>
              </m:nary>
              <m:sSub>
                <m:e>
                  <m:r>
                    <m:t>Q</m:t>
                  </m:r>
                </m:e>
                <m:sub>
                  <m:r>
                    <m:t>θ</m:t>
                  </m:r>
                </m:sub>
              </m:sSub>
              <m:r>
                <m:rPr>
                  <m:sty m:val="p"/>
                </m:rPr>
                <m:t>(</m:t>
              </m:r>
              <m:r>
                <m:t>s</m:t>
              </m:r>
              <m:r>
                <m:rPr>
                  <m:sty m:val="p"/>
                </m:rPr>
                <m:t>,</m:t>
              </m:r>
              <m:r>
                <m:t>a</m:t>
              </m:r>
              <m:r>
                <m:rPr>
                  <m:sty m:val="p"/>
                </m:rPr>
                <m:t>)</m:t>
              </m:r>
              <m:r>
                <m:rPr>
                  <m:sty m:val="p"/>
                </m:rPr>
                <m:t>−</m:t>
              </m:r>
              <m:sSub>
                <m:e>
                  <m:r>
                    <m:rPr>
                      <m:scr m:val="double-struck"/>
                      <m:sty m:val="p"/>
                    </m:rPr>
                    <m:t>E</m:t>
                  </m:r>
                </m:e>
                <m:sub>
                  <m:r>
                    <m:t>a</m:t>
                  </m:r>
                  <m:r>
                    <m:rPr>
                      <m:sty m:val="p"/>
                    </m:rPr>
                    <m:t>∼</m:t>
                  </m:r>
                  <m:sSub>
                    <m:e>
                      <m:acc>
                        <m:accPr>
                          <m:chr m:val="̂"/>
                        </m:accPr>
                        <m:e>
                          <m:r>
                            <m:t>π</m:t>
                          </m:r>
                        </m:e>
                      </m:acc>
                    </m:e>
                    <m:sub>
                      <m:r>
                        <m:t>β</m:t>
                      </m:r>
                    </m:sub>
                  </m:sSub>
                  <m:r>
                    <m:rPr>
                      <m:sty m:val="p"/>
                    </m:rPr>
                    <m:t>(</m:t>
                  </m:r>
                  <m:r>
                    <m:t>a</m:t>
                  </m:r>
                  <m:r>
                    <m:rPr>
                      <m:sty m:val="p"/>
                    </m:rPr>
                    <m:t>|</m:t>
                  </m:r>
                  <m:r>
                    <m:t>s</m:t>
                  </m:r>
                  <m:r>
                    <m:rPr>
                      <m:sty m:val="p"/>
                    </m:rPr>
                    <m:t>)</m:t>
                  </m:r>
                </m:sub>
              </m:sSub>
              <m:r>
                <m:t>​</m:t>
              </m:r>
              <m:d>
                <m:dPr>
                  <m:begChr m:val="["/>
                  <m:sepChr m:val=""/>
                  <m:endChr m:val="]"/>
                  <m:grow/>
                </m:dPr>
                <m:e>
                  <m:sSub>
                    <m:e>
                      <m:r>
                        <m:t>Q</m:t>
                      </m:r>
                    </m:e>
                    <m:sub>
                      <m:r>
                        <m:t>θ</m:t>
                      </m:r>
                    </m:sub>
                  </m:sSub>
                  <m:r>
                    <m:rPr>
                      <m:sty m:val="p"/>
                    </m:rPr>
                    <m:t>(</m:t>
                  </m:r>
                  <m:r>
                    <m:t>s</m:t>
                  </m:r>
                  <m:r>
                    <m:rPr>
                      <m:sty m:val="p"/>
                    </m:rPr>
                    <m:t>,</m:t>
                  </m:r>
                  <m:r>
                    <m:t>a</m:t>
                  </m:r>
                  <m:r>
                    <m:rPr>
                      <m:sty m:val="p"/>
                    </m:rPr>
                    <m:t>)</m:t>
                  </m:r>
                </m:e>
              </m:d>
            </m:e>
          </m:d>
        </m:oMath>
      </m:oMathPara>
    </w:p>
    <w:p>
      <w:pPr>
        <w:pStyle w:val="FirstParagraph"/>
      </w:pPr>
      <w:r>
        <w:t xml:space="preserve">where</w:t>
      </w:r>
      <w:r>
        <w:t xml:space="preserve"> </w:t>
      </w:r>
      <m:oMath>
        <m:sSub>
          <m:e>
            <m:r>
              <m:rPr>
                <m:scr m:val="script"/>
                <m:sty m:val="p"/>
              </m:rPr>
              <m:t>L</m:t>
            </m:r>
          </m:e>
          <m:sub>
            <m:r>
              <m:rPr>
                <m:nor/>
                <m:sty m:val="p"/>
              </m:rPr>
              <m:t>Bellman</m:t>
            </m:r>
          </m:sub>
        </m:sSub>
        <m:r>
          <m:rPr>
            <m:sty m:val="p"/>
          </m:rPr>
          <m:t>(</m:t>
        </m:r>
        <m:r>
          <m:t>θ</m:t>
        </m:r>
        <m:r>
          <m:rPr>
            <m:sty m:val="p"/>
          </m:rPr>
          <m:t>)</m:t>
        </m:r>
      </m:oMath>
      <w:r>
        <w:t xml:space="preserve"> </w:t>
      </w:r>
      <w:r>
        <w:t xml:space="preserve">is the standard mean-squared Bellman error,</w:t>
      </w:r>
      <w:r>
        <w:t xml:space="preserve"> </w:t>
      </w:r>
      <m:oMath>
        <m:sSub>
          <m:e>
            <m:acc>
              <m:accPr>
                <m:chr m:val="̂"/>
              </m:accPr>
              <m:e>
                <m:r>
                  <m:t>π</m:t>
                </m:r>
              </m:e>
            </m:acc>
          </m:e>
          <m:sub>
            <m:r>
              <m:t>β</m:t>
            </m:r>
          </m:sub>
        </m:sSub>
        <m:r>
          <m:rPr>
            <m:sty m:val="p"/>
          </m:rPr>
          <m:t>(</m:t>
        </m:r>
        <m:r>
          <m:t>a</m:t>
        </m:r>
        <m:r>
          <m:rPr>
            <m:sty m:val="p"/>
          </m:rPr>
          <m:t>|</m:t>
        </m:r>
        <m:r>
          <m:t>s</m:t>
        </m:r>
        <m:r>
          <m:rPr>
            <m:sty m:val="p"/>
          </m:rPr>
          <m:t>)</m:t>
        </m:r>
      </m:oMath>
      <w:r>
        <w:t xml:space="preserve"> </w:t>
      </w:r>
      <w:r>
        <w:t xml:space="preserve">is the estimated behaviour policy derived from the DHS proxy-action inference rules (§S1.4), and the log-sum-exp term approximates the Q-value of the softmax policy over all actions.</w:t>
      </w:r>
    </w:p>
    <w:p>
      <w:pPr>
        <w:pStyle w:val="SourceCode"/>
      </w:pPr>
      <w:r>
        <w:rPr>
          <w:rStyle w:val="VerbatimChar"/>
        </w:rPr>
        <w:t xml:space="preserve">Input:  dataset D, behaviour policy estimate π_β, α, learning rate η, γ</w:t>
      </w:r>
      <w:r>
        <w:br/>
      </w:r>
      <w:r>
        <w:rPr>
          <w:rStyle w:val="VerbatimChar"/>
        </w:rPr>
        <w:t xml:space="preserve">Initialize Q_θ randomly</w:t>
      </w:r>
      <w:r>
        <w:br/>
      </w:r>
      <w:r>
        <w:rPr>
          <w:rStyle w:val="VerbatimChar"/>
        </w:rPr>
        <w:t xml:space="preserve">for each training step t do</w:t>
      </w:r>
      <w:r>
        <w:br/>
      </w:r>
      <w:r>
        <w:rPr>
          <w:rStyle w:val="VerbatimChar"/>
        </w:rPr>
        <w:t xml:space="preserve">    Sample batch B = {(s_i, a_i, r_i, s'_i)} from D</w:t>
      </w:r>
      <w:r>
        <w:br/>
      </w:r>
      <w:r>
        <w:rPr>
          <w:rStyle w:val="VerbatimChar"/>
        </w:rPr>
        <w:t xml:space="preserve">    Compute Bellman targets: y_i ← r_i + γ · max_{a'} Q_θ(s'_i, a')</w:t>
      </w:r>
      <w:r>
        <w:br/>
      </w:r>
      <w:r>
        <w:rPr>
          <w:rStyle w:val="VerbatimChar"/>
        </w:rPr>
        <w:t xml:space="preserve">    L_Bellman ← (1/|B|) Σ_i (Q_θ(s_i, a_i) − y_i)²</w:t>
      </w:r>
      <w:r>
        <w:br/>
      </w:r>
      <w:r>
        <w:rPr>
          <w:rStyle w:val="VerbatimChar"/>
        </w:rPr>
        <w:t xml:space="preserve">    L_CQL ← (1/|B|) Σ_i [log Σ_{a} exp Q_θ(s_i, a)</w:t>
      </w:r>
      <w:r>
        <w:br/>
      </w:r>
      <w:r>
        <w:rPr>
          <w:rStyle w:val="VerbatimChar"/>
        </w:rPr>
        <w:t xml:space="preserve">                           − Σ_{a} π_β(a|s_i) · Q_θ(s_i, a)]</w:t>
      </w:r>
      <w:r>
        <w:br/>
      </w:r>
      <w:r>
        <w:rPr>
          <w:rStyle w:val="VerbatimChar"/>
        </w:rPr>
        <w:t xml:space="preserve">    L_total ← L_Bellman + α · L_CQL</w:t>
      </w:r>
      <w:r>
        <w:br/>
      </w:r>
      <w:r>
        <w:rPr>
          <w:rStyle w:val="VerbatimChar"/>
        </w:rPr>
        <w:t xml:space="preserve">    θ ← θ − η · ∇_θ L_total</w:t>
      </w:r>
      <w:r>
        <w:br/>
      </w:r>
      <w:r>
        <w:rPr>
          <w:rStyle w:val="VerbatimChar"/>
        </w:rPr>
        <w:t xml:space="preserve">end for</w:t>
      </w:r>
      <w:r>
        <w:br/>
      </w:r>
      <w:r>
        <w:rPr>
          <w:rStyle w:val="VerbatimChar"/>
        </w:rPr>
        <w:t xml:space="preserve">Return π*(s) = argmax_{a} Q_θ(s, a)</w:t>
      </w:r>
    </w:p>
    <w:p>
      <w:r>
        <w:pict>
          <v:rect style="width:0;height:1.5pt" o:hralign="center" o:hrstd="t" o:hr="t"/>
        </w:pict>
      </w:r>
    </w:p>
    <w:bookmarkEnd w:id="14"/>
    <w:bookmarkStart w:id="18" w:name="s1.3-off-policy-evaluation-estimators"/>
    <w:p>
      <w:pPr>
        <w:pStyle w:val="Heading2"/>
      </w:pPr>
      <w:r>
        <w:t xml:space="preserve">S1.3 Off-Policy Evaluation Estimators</w:t>
      </w:r>
    </w:p>
    <w:p>
      <w:pPr>
        <w:pStyle w:val="FirstParagraph"/>
      </w:pPr>
      <w:r>
        <w:t xml:space="preserve">Off-policy evaluation (OPE) estimates the expected return of a learned policy π̂ using data collected under a different behaviour policy π_β, without additional environment interaction. Three estimators were applied to 1,569 held-out trajectory episodes drawn from children not used in policy training.</w:t>
      </w:r>
    </w:p>
    <w:bookmarkStart w:id="15" w:name="importance-sampling-is"/>
    <w:p>
      <w:pPr>
        <w:pStyle w:val="Heading3"/>
      </w:pPr>
      <w:r>
        <w:t xml:space="preserve">Importance Sampling (IS)</w:t>
      </w:r>
    </w:p>
    <w:p>
      <w:pPr>
        <w:pStyle w:val="FirstParagraph"/>
      </w:pPr>
      <w:r>
        <w:t xml:space="preserve">IS reweights observed returns by the likelihood ratio between the learned and behaviour policies:</w:t>
      </w:r>
    </w:p>
    <w:p>
      <w:pPr>
        <w:pStyle w:val="BodyText"/>
      </w:pPr>
      <m:oMathPara>
        <m:oMathParaPr>
          <m:jc m:val="center"/>
        </m:oMathParaPr>
        <m:oMath>
          <m:sSub>
            <m:e>
              <m:acc>
                <m:accPr>
                  <m:chr m:val="̂"/>
                </m:accPr>
                <m:e>
                  <m:r>
                    <m:t>V</m:t>
                  </m:r>
                </m:e>
              </m:acc>
            </m:e>
            <m:sub>
              <m:r>
                <m:rPr>
                  <m:nor/>
                  <m:sty m:val="p"/>
                </m:rPr>
                <m:t>IS</m:t>
              </m:r>
            </m:sub>
          </m:sSub>
          <m:r>
            <m:rPr>
              <m:sty m:val="p"/>
            </m:rPr>
            <m:t>(</m:t>
          </m:r>
          <m:acc>
            <m:accPr>
              <m:chr m:val="̂"/>
            </m:accPr>
            <m:e>
              <m:r>
                <m:t>π</m:t>
              </m:r>
            </m:e>
          </m:acc>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nary>
                    <m:naryPr>
                      <m:chr m:val="∏"/>
                      <m:limLoc m:val="undOvr"/>
                      <m:subHide m:val="off"/>
                      <m:supHide m:val="off"/>
                    </m:naryPr>
                    <m:sub>
                      <m:r>
                        <m:t>t</m:t>
                      </m:r>
                      <m:r>
                        <m:rPr>
                          <m:sty m:val="p"/>
                        </m:rPr>
                        <m:t>=</m:t>
                      </m:r>
                      <m:r>
                        <m:t>0</m:t>
                      </m:r>
                    </m:sub>
                    <m:sup>
                      <m:sSub>
                        <m:e>
                          <m:r>
                            <m:t>T</m:t>
                          </m:r>
                        </m:e>
                        <m:sub>
                          <m:r>
                            <m:t>i</m:t>
                          </m:r>
                        </m:sub>
                      </m:sSub>
                    </m:sup>
                    <m:e>
                      <m:f>
                        <m:fPr>
                          <m:type m:val="bar"/>
                        </m:fPr>
                        <m:num>
                          <m:acc>
                            <m:accPr>
                              <m:chr m:val="̂"/>
                            </m:accPr>
                            <m:e>
                              <m:r>
                                <m:t>π</m:t>
                              </m:r>
                            </m:e>
                          </m:acc>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num>
                        <m:den>
                          <m:sSub>
                            <m:e>
                              <m:r>
                                <m:t>π</m:t>
                              </m:r>
                            </m:e>
                            <m:sub>
                              <m:r>
                                <m:t>β</m:t>
                              </m:r>
                            </m:sub>
                          </m:sSub>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den>
                      </m:f>
                    </m:e>
                  </m:nary>
                </m:e>
              </m:d>
            </m:e>
          </m:nary>
          <m:nary>
            <m:naryPr>
              <m:chr m:val="∑"/>
              <m:limLoc m:val="undOvr"/>
              <m:subHide m:val="off"/>
              <m:supHide m:val="off"/>
            </m:naryPr>
            <m:sub>
              <m:r>
                <m:t>t</m:t>
              </m:r>
              <m:r>
                <m:rPr>
                  <m:sty m:val="p"/>
                </m:rPr>
                <m:t>=</m:t>
              </m:r>
              <m:r>
                <m:t>0</m:t>
              </m:r>
            </m:sub>
            <m:sup>
              <m:sSub>
                <m:e>
                  <m:r>
                    <m:t>T</m:t>
                  </m:r>
                </m:e>
                <m:sub>
                  <m:r>
                    <m:t>i</m:t>
                  </m:r>
                </m:sub>
              </m:sSub>
            </m:sup>
            <m:e>
              <m:sSup>
                <m:e>
                  <m:r>
                    <m:t>γ</m:t>
                  </m:r>
                </m:e>
                <m:sup>
                  <m:r>
                    <m:t>t</m:t>
                  </m:r>
                </m:sup>
              </m:sSup>
            </m:e>
          </m:nary>
          <m:sSub>
            <m:e>
              <m:r>
                <m:t>r</m:t>
              </m:r>
            </m:e>
            <m:sub>
              <m:r>
                <m:t>i</m:t>
              </m:r>
              <m:r>
                <m:rPr>
                  <m:sty m:val="p"/>
                </m:rPr>
                <m:t>,</m:t>
              </m:r>
              <m:r>
                <m:t>t</m:t>
              </m:r>
            </m:sub>
          </m:sSub>
        </m:oMath>
      </m:oMathPara>
    </w:p>
    <w:p>
      <w:pPr>
        <w:pStyle w:val="FirstParagraph"/>
      </w:pPr>
      <w:r>
        <w:t xml:space="preserve">IS is unbiased when the behaviour policy is correctly specified but can have high variance when importance weights are extreme (rare in our two-step horizon).</w:t>
      </w:r>
    </w:p>
    <w:bookmarkEnd w:id="15"/>
    <w:bookmarkStart w:id="16" w:name="weighted-importance-sampling-wis"/>
    <w:p>
      <w:pPr>
        <w:pStyle w:val="Heading3"/>
      </w:pPr>
      <w:r>
        <w:t xml:space="preserve">Weighted Importance Sampling (WIS)</w:t>
      </w:r>
    </w:p>
    <w:p>
      <w:pPr>
        <w:pStyle w:val="FirstParagraph"/>
      </w:pPr>
      <w:r>
        <w:t xml:space="preserve">WIS self-normalises by the sum of per-trajectory importance weights, reducing variance at the cost of introducing bias:</w:t>
      </w:r>
    </w:p>
    <w:p>
      <w:pPr>
        <w:pStyle w:val="BodyText"/>
      </w:pPr>
      <m:oMathPara>
        <m:oMathParaPr>
          <m:jc m:val="center"/>
        </m:oMathParaPr>
        <m:oMath>
          <m:sSub>
            <m:e>
              <m:acc>
                <m:accPr>
                  <m:chr m:val="̂"/>
                </m:accPr>
                <m:e>
                  <m:r>
                    <m:t>V</m:t>
                  </m:r>
                </m:e>
              </m:acc>
            </m:e>
            <m:sub>
              <m:r>
                <m:rPr>
                  <m:nor/>
                  <m:sty m:val="p"/>
                </m:rPr>
                <m:t>WIS</m:t>
              </m:r>
            </m:sub>
          </m:sSub>
          <m:r>
            <m:rPr>
              <m:sty m:val="p"/>
            </m:rPr>
            <m:t>(</m:t>
          </m:r>
          <m:acc>
            <m:accPr>
              <m:chr m:val="̂"/>
            </m:accPr>
            <m:e>
              <m:r>
                <m:t>π</m:t>
              </m:r>
            </m:e>
          </m:acc>
          <m:r>
            <m:rPr>
              <m:sty m:val="p"/>
            </m:rPr>
            <m:t>)</m:t>
          </m:r>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nary>
                <m:naryPr>
                  <m:chr m:val="∑"/>
                  <m:limLoc m:val="undOvr"/>
                  <m:subHide m:val="off"/>
                  <m:supHide m:val="off"/>
                </m:naryPr>
                <m:sub>
                  <m:r>
                    <m:t>t</m:t>
                  </m:r>
                  <m:r>
                    <m:rPr>
                      <m:sty m:val="p"/>
                    </m:rPr>
                    <m:t>=</m:t>
                  </m:r>
                  <m:r>
                    <m:t>0</m:t>
                  </m:r>
                </m:sub>
                <m:sup>
                  <m:sSub>
                    <m:e>
                      <m:r>
                        <m:t>T</m:t>
                      </m:r>
                    </m:e>
                    <m:sub>
                      <m:r>
                        <m:t>i</m:t>
                      </m:r>
                    </m:sub>
                  </m:sSub>
                </m:sup>
                <m:e>
                  <m:sSup>
                    <m:e>
                      <m:r>
                        <m:t>γ</m:t>
                      </m:r>
                    </m:e>
                    <m:sup>
                      <m:r>
                        <m:t>t</m:t>
                      </m:r>
                    </m:sup>
                  </m:sSup>
                </m:e>
              </m:nary>
              <m:sSub>
                <m:e>
                  <m:r>
                    <m:t>r</m:t>
                  </m:r>
                </m:e>
                <m:sub>
                  <m:r>
                    <m:t>i</m:t>
                  </m:r>
                  <m:r>
                    <m:rPr>
                      <m:sty m:val="p"/>
                    </m:rPr>
                    <m:t>,</m:t>
                  </m:r>
                  <m:r>
                    <m:t>t</m:t>
                  </m:r>
                </m:sub>
              </m:sSub>
            </m:num>
            <m:den>
              <m:nary>
                <m:naryPr>
                  <m:chr m:val="∑"/>
                  <m:limLoc m:val="undOvr"/>
                  <m:subHide m:val="off"/>
                  <m:supHide m:val="off"/>
                </m:naryPr>
                <m:sub>
                  <m:r>
                    <m:t>i</m:t>
                  </m:r>
                  <m:r>
                    <m:rPr>
                      <m:sty m:val="p"/>
                    </m:rPr>
                    <m:t>=</m:t>
                  </m:r>
                  <m:r>
                    <m:t>1</m:t>
                  </m:r>
                </m:sub>
                <m:sup>
                  <m:r>
                    <m:t>N</m:t>
                  </m:r>
                </m:sup>
                <m:e>
                  <m:sSub>
                    <m:e>
                      <m:r>
                        <m:t>w</m:t>
                      </m:r>
                    </m:e>
                    <m:sub>
                      <m:r>
                        <m:t>i</m:t>
                      </m:r>
                    </m:sub>
                  </m:sSub>
                </m:e>
              </m:nary>
            </m:den>
          </m:f>
          <m:r>
            <m:rPr>
              <m:sty m:val="p"/>
            </m:rPr>
            <m:t>,</m:t>
          </m:r>
          <m:r>
            <m:t> </m:t>
          </m:r>
          <m:sSub>
            <m:e>
              <m:r>
                <m:t>w</m:t>
              </m:r>
            </m:e>
            <m:sub>
              <m:r>
                <m:t>i</m:t>
              </m:r>
            </m:sub>
          </m:sSub>
          <m:r>
            <m:rPr>
              <m:sty m:val="p"/>
            </m:rPr>
            <m:t>=</m:t>
          </m:r>
          <m:nary>
            <m:naryPr>
              <m:chr m:val="∏"/>
              <m:limLoc m:val="undOvr"/>
              <m:subHide m:val="off"/>
              <m:supHide m:val="off"/>
            </m:naryPr>
            <m:sub>
              <m:r>
                <m:t>t</m:t>
              </m:r>
              <m:r>
                <m:rPr>
                  <m:sty m:val="p"/>
                </m:rPr>
                <m:t>=</m:t>
              </m:r>
              <m:r>
                <m:t>0</m:t>
              </m:r>
            </m:sub>
            <m:sup>
              <m:sSub>
                <m:e>
                  <m:r>
                    <m:t>T</m:t>
                  </m:r>
                </m:e>
                <m:sub>
                  <m:r>
                    <m:t>i</m:t>
                  </m:r>
                </m:sub>
              </m:sSub>
            </m:sup>
            <m:e>
              <m:f>
                <m:fPr>
                  <m:type m:val="bar"/>
                </m:fPr>
                <m:num>
                  <m:acc>
                    <m:accPr>
                      <m:chr m:val="̂"/>
                    </m:accPr>
                    <m:e>
                      <m:r>
                        <m:t>π</m:t>
                      </m:r>
                    </m:e>
                  </m:acc>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num>
                <m:den>
                  <m:sSub>
                    <m:e>
                      <m:r>
                        <m:t>π</m:t>
                      </m:r>
                    </m:e>
                    <m:sub>
                      <m:r>
                        <m:t>β</m:t>
                      </m:r>
                    </m:sub>
                  </m:sSub>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den>
              </m:f>
            </m:e>
          </m:nary>
        </m:oMath>
      </m:oMathPara>
    </w:p>
    <w:bookmarkEnd w:id="16"/>
    <w:bookmarkStart w:id="17" w:name="doubly-robust-dr"/>
    <w:p>
      <w:pPr>
        <w:pStyle w:val="Heading3"/>
      </w:pPr>
      <w:r>
        <w:t xml:space="preserve">Doubly-Robust (DR)</w:t>
      </w:r>
    </w:p>
    <w:p>
      <w:pPr>
        <w:pStyle w:val="FirstParagraph"/>
      </w:pPr>
      <w:r>
        <w:t xml:space="preserve">The DR estimator combines IS with a learned Q-function to reduce variance while maintaining consistency when either the importance weights or the Q-function model is correctly specified</w:t>
      </w:r>
      <w:r>
        <w:t xml:space="preserve"> </w:t>
      </w:r>
      <w:r>
        <w:t xml:space="preserve">[6]</w:t>
      </w:r>
      <w:r>
        <w:t xml:space="preserve">:</w:t>
      </w:r>
    </w:p>
    <w:p>
      <w:pPr>
        <w:pStyle w:val="BodyText"/>
      </w:pPr>
      <m:oMathPara>
        <m:oMathParaPr>
          <m:jc m:val="center"/>
        </m:oMathParaPr>
        <m:oMath>
          <m:sSub>
            <m:e>
              <m:acc>
                <m:accPr>
                  <m:chr m:val="̂"/>
                </m:accPr>
                <m:e>
                  <m:r>
                    <m:t>V</m:t>
                  </m:r>
                </m:e>
              </m:acc>
            </m:e>
            <m:sub>
              <m:r>
                <m:rPr>
                  <m:nor/>
                  <m:sty m:val="p"/>
                </m:rPr>
                <m:t>DR</m:t>
              </m:r>
            </m:sub>
          </m:sSub>
          <m:r>
            <m:rPr>
              <m:sty m:val="p"/>
            </m:rPr>
            <m:t>(</m:t>
          </m:r>
          <m:acc>
            <m:accPr>
              <m:chr m:val="̂"/>
            </m:accPr>
            <m:e>
              <m:r>
                <m:t>π</m:t>
              </m:r>
            </m:e>
          </m:acc>
          <m:r>
            <m:rPr>
              <m:sty m:val="p"/>
            </m:rPr>
            <m:t>)</m:t>
          </m:r>
          <m:r>
            <m:rPr>
              <m:sty m:val="p"/>
            </m:rPr>
            <m:t>=</m:t>
          </m:r>
          <m:sSub>
            <m:e>
              <m:acc>
                <m:accPr>
                  <m:chr m:val="̂"/>
                </m:accPr>
                <m:e>
                  <m:r>
                    <m:t>V</m:t>
                  </m:r>
                </m:e>
              </m:acc>
            </m:e>
            <m:sub>
              <m:r>
                <m:rPr>
                  <m:nor/>
                  <m:sty m:val="p"/>
                </m:rPr>
                <m:t>IS</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ρ</m:t>
                      </m:r>
                    </m:e>
                    <m:sub>
                      <m:r>
                        <m:t>i</m:t>
                      </m:r>
                    </m:sub>
                  </m:sSub>
                  <m:acc>
                    <m:accPr>
                      <m:chr m:val="̂"/>
                    </m:accPr>
                    <m:e>
                      <m:r>
                        <m:t>Q</m:t>
                      </m:r>
                    </m:e>
                  </m:acc>
                  <m:r>
                    <m:rPr>
                      <m:sty m:val="p"/>
                    </m:rPr>
                    <m:t>(</m:t>
                  </m:r>
                  <m:sSub>
                    <m:e>
                      <m:r>
                        <m:t>s</m:t>
                      </m:r>
                    </m:e>
                    <m:sub>
                      <m:r>
                        <m:t>i</m:t>
                      </m:r>
                    </m:sub>
                  </m:sSub>
                  <m:r>
                    <m:rPr>
                      <m:sty m:val="p"/>
                    </m:rPr>
                    <m:t>,</m:t>
                  </m:r>
                  <m:sSub>
                    <m:e>
                      <m:r>
                        <m:t>a</m:t>
                      </m:r>
                    </m:e>
                    <m:sub>
                      <m:r>
                        <m:t>i</m:t>
                      </m:r>
                    </m:sub>
                  </m:sSub>
                  <m:r>
                    <m:rPr>
                      <m:sty m:val="p"/>
                    </m:rPr>
                    <m:t>)</m:t>
                  </m:r>
                  <m:r>
                    <m:rPr>
                      <m:sty m:val="p"/>
                    </m:rPr>
                    <m:t>−</m:t>
                  </m:r>
                  <m:acc>
                    <m:accPr>
                      <m:chr m:val="̂"/>
                    </m:accPr>
                    <m:e>
                      <m:r>
                        <m:t>V</m:t>
                      </m:r>
                    </m:e>
                  </m:acc>
                  <m:r>
                    <m:rPr>
                      <m:sty m:val="p"/>
                    </m:rPr>
                    <m:t>(</m:t>
                  </m:r>
                  <m:sSub>
                    <m:e>
                      <m:r>
                        <m:t>s</m:t>
                      </m:r>
                    </m:e>
                    <m:sub>
                      <m:r>
                        <m:t>i</m:t>
                      </m:r>
                    </m:sub>
                  </m:sSub>
                  <m:r>
                    <m:rPr>
                      <m:sty m:val="p"/>
                    </m:rPr>
                    <m:t>)</m:t>
                  </m:r>
                </m:e>
              </m:d>
            </m:e>
          </m:nary>
        </m:oMath>
      </m:oMathPara>
    </w:p>
    <w:p>
      <w:pPr>
        <w:pStyle w:val="FirstParagraph"/>
      </w:pPr>
      <w:r>
        <w:t xml:space="preserve">where</w:t>
      </w:r>
      <w:r>
        <w:t xml:space="preserve"> </w:t>
      </w:r>
      <m:oMath>
        <m:sSub>
          <m:e>
            <m:r>
              <m:t>ρ</m:t>
            </m:r>
          </m:e>
          <m:sub>
            <m:r>
              <m:t>i</m:t>
            </m:r>
          </m:sub>
        </m:sSub>
        <m:r>
          <m:rPr>
            <m:sty m:val="p"/>
          </m:rPr>
          <m:t>=</m:t>
        </m:r>
        <m:acc>
          <m:accPr>
            <m:chr m:val="̂"/>
          </m:accPr>
          <m:e>
            <m:r>
              <m:t>π</m:t>
            </m:r>
          </m:e>
        </m:acc>
        <m:r>
          <m:rPr>
            <m:sty m:val="p"/>
          </m:rPr>
          <m:t>(</m:t>
        </m:r>
        <m:sSub>
          <m:e>
            <m:r>
              <m:t>a</m:t>
            </m:r>
          </m:e>
          <m:sub>
            <m:r>
              <m:t>i</m:t>
            </m:r>
          </m:sub>
        </m:sSub>
        <m:r>
          <m:rPr>
            <m:sty m:val="p"/>
          </m:rPr>
          <m:t>∣</m:t>
        </m:r>
        <m:sSub>
          <m:e>
            <m:r>
              <m:t>s</m:t>
            </m:r>
          </m:e>
          <m:sub>
            <m:r>
              <m:t>i</m:t>
            </m:r>
          </m:sub>
        </m:sSub>
        <m:r>
          <m:rPr>
            <m:sty m:val="p"/>
          </m:rPr>
          <m:t>)</m:t>
        </m:r>
        <m:r>
          <m:rPr>
            <m:sty m:val="p"/>
          </m:rPr>
          <m:t>/</m:t>
        </m:r>
        <m:sSub>
          <m:e>
            <m:r>
              <m:t>π</m:t>
            </m:r>
          </m:e>
          <m:sub>
            <m:r>
              <m:t>β</m:t>
            </m:r>
          </m:sub>
        </m:sSub>
        <m:r>
          <m:rPr>
            <m:sty m:val="p"/>
          </m:rPr>
          <m:t>(</m:t>
        </m:r>
        <m:sSub>
          <m:e>
            <m:r>
              <m:t>a</m:t>
            </m:r>
          </m:e>
          <m:sub>
            <m:r>
              <m:t>i</m:t>
            </m:r>
          </m:sub>
        </m:sSub>
        <m:r>
          <m:rPr>
            <m:sty m:val="p"/>
          </m:rPr>
          <m:t>∣</m:t>
        </m:r>
        <m:sSub>
          <m:e>
            <m:r>
              <m:t>s</m:t>
            </m:r>
          </m:e>
          <m:sub>
            <m:r>
              <m:t>i</m:t>
            </m:r>
          </m:sub>
        </m:sSub>
        <m:r>
          <m:rPr>
            <m:sty m:val="p"/>
          </m:rPr>
          <m:t>)</m:t>
        </m:r>
      </m:oMath>
      <w:r>
        <w:t xml:space="preserve"> </w:t>
      </w:r>
      <w:r>
        <w:t xml:space="preserve">is the per-step importance weight and</w:t>
      </w:r>
      <w:r>
        <w:t xml:space="preserve"> </w:t>
      </w:r>
      <m:oMath>
        <m:acc>
          <m:accPr>
            <m:chr m:val="̂"/>
          </m:accPr>
          <m:e>
            <m:r>
              <m:t>V</m:t>
            </m:r>
          </m:e>
        </m:acc>
        <m:r>
          <m:rPr>
            <m:sty m:val="p"/>
          </m:rPr>
          <m:t>(</m:t>
        </m:r>
        <m:sSub>
          <m:e>
            <m:r>
              <m:t>s</m:t>
            </m:r>
          </m:e>
          <m:sub>
            <m:r>
              <m:t>i</m:t>
            </m:r>
          </m:sub>
        </m:sSub>
        <m:r>
          <m:rPr>
            <m:sty m:val="p"/>
          </m:rPr>
          <m:t>)</m:t>
        </m:r>
        <m:r>
          <m:rPr>
            <m:sty m:val="p"/>
          </m:rPr>
          <m:t>=</m:t>
        </m:r>
        <m:nary>
          <m:naryPr>
            <m:chr m:val="∑"/>
            <m:limLoc m:val="undOvr"/>
            <m:subHide m:val="off"/>
            <m:supHide m:val="on"/>
          </m:naryPr>
          <m:sub>
            <m:r>
              <m:t>a</m:t>
            </m:r>
          </m:sub>
          <m:sup>
            <m:r>
              <m:t>​</m:t>
            </m:r>
          </m:sup>
          <m:e>
            <m:acc>
              <m:accPr>
                <m:chr m:val="̂"/>
              </m:accPr>
              <m:e>
                <m:r>
                  <m:t>π</m:t>
                </m:r>
              </m:e>
            </m:acc>
          </m:e>
        </m:nary>
        <m:r>
          <m:rPr>
            <m:sty m:val="p"/>
          </m:rPr>
          <m:t>(</m:t>
        </m:r>
        <m:r>
          <m:t>a</m:t>
        </m:r>
        <m:r>
          <m:rPr>
            <m:sty m:val="p"/>
          </m:rPr>
          <m:t>∣</m:t>
        </m:r>
        <m:sSub>
          <m:e>
            <m:r>
              <m:t>s</m:t>
            </m:r>
          </m:e>
          <m:sub>
            <m:r>
              <m:t>i</m:t>
            </m:r>
          </m:sub>
        </m:sSub>
        <m:r>
          <m:rPr>
            <m:sty m:val="p"/>
          </m:rPr>
          <m:t>)</m:t>
        </m:r>
        <m:acc>
          <m:accPr>
            <m:chr m:val="̂"/>
          </m:accPr>
          <m:e>
            <m:r>
              <m:t>Q</m:t>
            </m:r>
          </m:e>
        </m:acc>
        <m:r>
          <m:rPr>
            <m:sty m:val="p"/>
          </m:rPr>
          <m:t>(</m:t>
        </m:r>
        <m:sSub>
          <m:e>
            <m:r>
              <m:t>s</m:t>
            </m:r>
          </m:e>
          <m:sub>
            <m:r>
              <m:t>i</m:t>
            </m:r>
          </m:sub>
        </m:sSub>
        <m:r>
          <m:rPr>
            <m:sty m:val="p"/>
          </m:rPr>
          <m:t>,</m:t>
        </m:r>
        <m:r>
          <m:t>a</m:t>
        </m:r>
        <m:r>
          <m:rPr>
            <m:sty m:val="p"/>
          </m:rPr>
          <m:t>)</m:t>
        </m:r>
      </m:oMath>
      <w:r>
        <w:t xml:space="preserve"> </w:t>
      </w:r>
      <w:r>
        <w:t xml:space="preserve">is the policy value estimate. Agreement across IS, WIS, and DR is presented as the primary evidence for OPE reliability; estimator comparison is shown in Supplementary Figure S9.</w:t>
      </w:r>
    </w:p>
    <w:p>
      <w:r>
        <w:pict>
          <v:rect style="width:0;height:1.5pt" o:hralign="center" o:hrstd="t" o:hr="t"/>
        </w:pict>
      </w:r>
    </w:p>
    <w:bookmarkEnd w:id="17"/>
    <w:bookmarkEnd w:id="18"/>
    <w:bookmarkStart w:id="19" w:name="X019629f8c9b114899356bd29d38add0bccc146c"/>
    <w:p>
      <w:pPr>
        <w:pStyle w:val="Heading2"/>
      </w:pPr>
      <w:r>
        <w:t xml:space="preserve">S1.4 Behaviour-Policy Inference Rules (full)</w:t>
      </w:r>
    </w:p>
    <w:p>
      <w:pPr>
        <w:pStyle w:val="FirstParagraph"/>
      </w:pPr>
      <w:r>
        <w:t xml:space="preserve">The NDHS 2024 does not record which, if any, vaccination-promotion interventions a child’s household received. Proxy behaviour-policy actions are therefore inferred from observable DHS patterns according to the following structured rules, grounded in the assumptions stated in §2.5 and CLAUDE.md.</w:t>
      </w:r>
    </w:p>
    <w:p>
      <w:pPr>
        <w:pStyle w:val="BodyText"/>
      </w:pPr>
      <w:r>
        <w:t xml:space="preserve">The behaviour policy</w:t>
      </w:r>
      <w:r>
        <w:t xml:space="preserve"> </w:t>
      </w:r>
      <m:oMath>
        <m:sSub>
          <m:e>
            <m:acc>
              <m:accPr>
                <m:chr m:val="̂"/>
              </m:accPr>
              <m:e>
                <m:r>
                  <m:t>π</m:t>
                </m:r>
              </m:e>
            </m:acc>
          </m:e>
          <m:sub>
            <m:r>
              <m:t>β</m:t>
            </m:r>
          </m:sub>
        </m:sSub>
        <m:r>
          <m:rPr>
            <m:sty m:val="p"/>
          </m:rPr>
          <m:t>(</m:t>
        </m:r>
        <m:r>
          <m:t>a</m:t>
        </m:r>
        <m:r>
          <m:rPr>
            <m:sty m:val="p"/>
          </m:rPr>
          <m:t>∣</m:t>
        </m:r>
        <m:r>
          <m:t>s</m:t>
        </m:r>
        <m:r>
          <m:rPr>
            <m:sty m:val="p"/>
          </m:rPr>
          <m:t>)</m:t>
        </m:r>
      </m:oMath>
      <w:r>
        <w:t xml:space="preserve"> </w:t>
      </w:r>
      <w:r>
        <w:t xml:space="preserve">is estimated from the inferred action frequencies within clusters (v021), smoothed by a uniform Dirichlet prior to prevent zero probabilities. A complete cross-tabulation of inferred action assignments by zone and dose step is available in the repository at</w:t>
      </w:r>
      <w:r>
        <w:t xml:space="preserve"> </w:t>
      </w:r>
      <w:r>
        <w:rPr>
          <w:rStyle w:val="VerbatimChar"/>
        </w:rPr>
        <w:t xml:space="preserve">outputs/stage2/behaviour_policy_summary.csv</w:t>
      </w:r>
      <w:r>
        <w:t xml:space="preserve">.</w:t>
      </w:r>
    </w:p>
    <w:tbl>
      <w:tblPr>
        <w:tblStyle w:val="Table"/>
        <w:tblW w:type="pct" w:w="5000"/>
        <w:tblLayout w:type="fixed"/>
        <w:tblLook w:firstRow="1" w:lastRow="0" w:firstColumn="0" w:lastColumn="0" w:noHBand="0" w:noVBand="0" w:val="0020"/>
      </w:tblPr>
      <w:tblGrid>
        <w:gridCol w:w="2160"/>
        <w:gridCol w:w="2448"/>
        <w:gridCol w:w="1728"/>
        <w:gridCol w:w="1584"/>
      </w:tblGrid>
      <w:tr>
        <w:trPr>
          <w:tblHeader w:val="on"/>
        </w:trPr>
        <w:tc>
          <w:tcPr/>
          <w:p>
            <w:pPr>
              <w:pStyle w:val="Compact"/>
            </w:pPr>
            <w:r>
              <w:t xml:space="preserve">DHS condition</w:t>
            </w:r>
          </w:p>
        </w:tc>
        <w:tc>
          <w:tcPr/>
          <w:p>
            <w:pPr>
              <w:pStyle w:val="Compact"/>
            </w:pPr>
            <w:r>
              <w:t xml:space="preserve">Inferred action</w:t>
            </w:r>
          </w:p>
        </w:tc>
        <w:tc>
          <w:tcPr/>
          <w:p>
            <w:pPr>
              <w:pStyle w:val="Compact"/>
            </w:pPr>
            <w:r>
              <w:t xml:space="preserve">Confidence</w:t>
            </w:r>
          </w:p>
        </w:tc>
        <w:tc>
          <w:tcPr/>
          <w:p>
            <w:pPr>
              <w:pStyle w:val="Compact"/>
            </w:pPr>
            <w:r>
              <w:t xml:space="preserve">Rationale</w:t>
            </w:r>
          </w:p>
        </w:tc>
      </w:tr>
      <w:tr>
        <w:tc>
          <w:tcPr/>
          <w:p>
            <w:pPr>
              <w:pStyle w:val="Compact"/>
            </w:pPr>
            <w:r>
              <w:t xml:space="preserve">Next dose received ≤ 2 weeks after scheduled date AND fieldworker visit (v393 == 1)</w:t>
            </w:r>
          </w:p>
        </w:tc>
        <w:tc>
          <w:tcPr/>
          <w:p>
            <w:pPr>
              <w:pStyle w:val="Compact"/>
            </w:pPr>
            <w:r>
              <w:t xml:space="preserve">a₂: CHW home visit</w:t>
            </w:r>
          </w:p>
        </w:tc>
        <w:tc>
          <w:tcPr/>
          <w:p>
            <w:pPr>
              <w:pStyle w:val="Compact"/>
            </w:pPr>
            <w:r>
              <w:t xml:space="preserve">High</w:t>
            </w:r>
          </w:p>
        </w:tc>
        <w:tc>
          <w:tcPr/>
          <w:p>
            <w:pPr>
              <w:pStyle w:val="Compact"/>
            </w:pPr>
            <w:r>
              <w:t xml:space="preserve">Active outreach most consistent with on-time receipt combined with documented CHW contact</w:t>
            </w:r>
          </w:p>
        </w:tc>
      </w:tr>
      <w:tr>
        <w:tc>
          <w:tcPr/>
          <w:p>
            <w:pPr>
              <w:pStyle w:val="Compact"/>
            </w:pPr>
            <w:r>
              <w:t xml:space="preserve">Next dose received ≤ 2 weeks after scheduled date AND campaign vaccination (h69 == 41)</w:t>
            </w:r>
          </w:p>
        </w:tc>
        <w:tc>
          <w:tcPr/>
          <w:p>
            <w:pPr>
              <w:pStyle w:val="Compact"/>
            </w:pPr>
            <w:r>
              <w:t xml:space="preserve">a₃: Facility recall / defaulter tracing</w:t>
            </w:r>
          </w:p>
        </w:tc>
        <w:tc>
          <w:tcPr/>
          <w:p>
            <w:pPr>
              <w:pStyle w:val="Compact"/>
            </w:pPr>
            <w:r>
              <w:t xml:space="preserve">High</w:t>
            </w:r>
          </w:p>
        </w:tc>
        <w:tc>
          <w:tcPr/>
          <w:p>
            <w:pPr>
              <w:pStyle w:val="Compact"/>
            </w:pPr>
            <w:r>
              <w:t xml:space="preserve">Campaign-mode vaccination typically involves systematic defaulter tracing</w:t>
            </w:r>
          </w:p>
        </w:tc>
      </w:tr>
      <w:tr>
        <w:tc>
          <w:tcPr/>
          <w:p>
            <w:pPr>
              <w:pStyle w:val="Compact"/>
            </w:pPr>
            <w:r>
              <w:t xml:space="preserve">Next dose received ≤ 2 weeks after scheduled date AND health card present (h1a ≥ 1) AND no fieldworker visit</w:t>
            </w:r>
          </w:p>
        </w:tc>
        <w:tc>
          <w:tcPr/>
          <w:p>
            <w:pPr>
              <w:pStyle w:val="Compact"/>
            </w:pPr>
            <w:r>
              <w:t xml:space="preserve">a₁: SMS reminder</w:t>
            </w:r>
          </w:p>
        </w:tc>
        <w:tc>
          <w:tcPr/>
          <w:p>
            <w:pPr>
              <w:pStyle w:val="Compact"/>
            </w:pPr>
            <w:r>
              <w:t xml:space="preserve">High</w:t>
            </w:r>
          </w:p>
        </w:tc>
        <w:tc>
          <w:tcPr/>
          <w:p>
            <w:pPr>
              <w:pStyle w:val="Compact"/>
            </w:pPr>
            <w:r>
              <w:t xml:space="preserve">Card possession enables message-driven self-attendance; no active outreach recorded</w:t>
            </w:r>
          </w:p>
        </w:tc>
      </w:tr>
      <w:tr>
        <w:tc>
          <w:tcPr/>
          <w:p>
            <w:pPr>
              <w:pStyle w:val="Compact"/>
            </w:pPr>
            <w:r>
              <w:t xml:space="preserve">Next dose received 2–4 weeks late</w:t>
            </w:r>
          </w:p>
        </w:tc>
        <w:tc>
          <w:tcPr/>
          <w:p>
            <w:pPr>
              <w:pStyle w:val="Compact"/>
            </w:pPr>
            <w:r>
              <w:t xml:space="preserve">a₁: SMS reminder or a₀: No intervention</w:t>
            </w:r>
          </w:p>
        </w:tc>
        <w:tc>
          <w:tcPr/>
          <w:p>
            <w:pPr>
              <w:pStyle w:val="Compact"/>
            </w:pPr>
            <w:r>
              <w:t xml:space="preserve">Medium</w:t>
            </w:r>
          </w:p>
        </w:tc>
        <w:tc>
          <w:tcPr/>
          <w:p>
            <w:pPr>
              <w:pStyle w:val="Compact"/>
            </w:pPr>
            <w:r>
              <w:t xml:space="preserve">Modest delay consistent with reminder effect or passive follow-up; split 50/50 if no further information</w:t>
            </w:r>
          </w:p>
        </w:tc>
      </w:tr>
      <w:tr>
        <w:tc>
          <w:tcPr/>
          <w:p>
            <w:pPr>
              <w:pStyle w:val="Compact"/>
            </w:pPr>
            <w:r>
              <w:t xml:space="preserve">Next dose received &gt; 4 weeks late</w:t>
            </w:r>
          </w:p>
        </w:tc>
        <w:tc>
          <w:tcPr/>
          <w:p>
            <w:pPr>
              <w:pStyle w:val="Compact"/>
            </w:pPr>
            <w:r>
              <w:t xml:space="preserve">a₀: No intervention</w:t>
            </w:r>
          </w:p>
        </w:tc>
        <w:tc>
          <w:tcPr/>
          <w:p>
            <w:pPr>
              <w:pStyle w:val="Compact"/>
            </w:pPr>
            <w:r>
              <w:t xml:space="preserve">High</w:t>
            </w:r>
          </w:p>
        </w:tc>
        <w:tc>
          <w:tcPr/>
          <w:p>
            <w:pPr>
              <w:pStyle w:val="Compact"/>
            </w:pPr>
            <w:r>
              <w:t xml:space="preserve">Extended delay inconsistent with effective active intervention</w:t>
            </w:r>
          </w:p>
        </w:tc>
      </w:tr>
      <w:tr>
        <w:tc>
          <w:tcPr/>
          <w:p>
            <w:pPr>
              <w:pStyle w:val="Compact"/>
            </w:pPr>
            <w:r>
              <w:t xml:space="preserve">Next dose not received (dropout)</w:t>
            </w:r>
          </w:p>
        </w:tc>
        <w:tc>
          <w:tcPr/>
          <w:p>
            <w:pPr>
              <w:pStyle w:val="Compact"/>
            </w:pPr>
            <w:r>
              <w:t xml:space="preserve">a₀: No intervention</w:t>
            </w:r>
          </w:p>
        </w:tc>
        <w:tc>
          <w:tcPr/>
          <w:p>
            <w:pPr>
              <w:pStyle w:val="Compact"/>
            </w:pPr>
            <w:r>
              <w:t xml:space="preserve">Highest</w:t>
            </w:r>
          </w:p>
        </w:tc>
        <w:tc>
          <w:tcPr/>
          <w:p>
            <w:pPr>
              <w:pStyle w:val="Compact"/>
            </w:pPr>
            <w:r>
              <w:t xml:space="preserve">Failure to attend any subsequent appointment indicates absence of effective intervention</w:t>
            </w:r>
          </w:p>
        </w:tc>
      </w:tr>
      <w:tr>
        <w:tc>
          <w:tcPr/>
          <w:p>
            <w:pPr>
              <w:pStyle w:val="Compact"/>
            </w:pPr>
            <w:r>
              <w:t xml:space="preserve">Any of above AND fieldworker visit (v393 == 1)</w:t>
            </w:r>
          </w:p>
        </w:tc>
        <w:tc>
          <w:tcPr/>
          <w:p>
            <w:pPr>
              <w:pStyle w:val="Compact"/>
            </w:pPr>
            <w:r>
              <w:t xml:space="preserve">Upweight a₂ by factor 2</w:t>
            </w:r>
          </w:p>
        </w:tc>
        <w:tc>
          <w:tcPr/>
          <w:p>
            <w:pPr>
              <w:pStyle w:val="Compact"/>
            </w:pPr>
            <w:r>
              <w:t xml:space="preserve">Modifier</w:t>
            </w:r>
          </w:p>
        </w:tc>
        <w:tc>
          <w:tcPr/>
          <w:p>
            <w:pPr>
              <w:pStyle w:val="Compact"/>
            </w:pPr>
            <w:r>
              <w:t xml:space="preserve">v393 is the closest available DHS proxy for active CHW outreach</w:t>
            </w:r>
          </w:p>
        </w:tc>
      </w:tr>
      <w:tr>
        <w:tc>
          <w:tcPr/>
          <w:p>
            <w:pPr>
              <w:pStyle w:val="Compact"/>
            </w:pPr>
            <w:r>
              <w:t xml:space="preserve">Any of above AND health card present (h1a ≥ 1)</w:t>
            </w:r>
          </w:p>
        </w:tc>
        <w:tc>
          <w:tcPr/>
          <w:p>
            <w:pPr>
              <w:pStyle w:val="Compact"/>
            </w:pPr>
            <w:r>
              <w:t xml:space="preserve">Upweight a₁ by factor 1.5</w:t>
            </w:r>
          </w:p>
        </w:tc>
        <w:tc>
          <w:tcPr/>
          <w:p>
            <w:pPr>
              <w:pStyle w:val="Compact"/>
            </w:pPr>
            <w:r>
              <w:t xml:space="preserve">Modifier</w:t>
            </w:r>
          </w:p>
        </w:tc>
        <w:tc>
          <w:tcPr/>
          <w:p>
            <w:pPr>
              <w:pStyle w:val="Compact"/>
            </w:pPr>
            <w:r>
              <w:t xml:space="preserve">Card possession enables reminder-based attendance</w:t>
            </w:r>
          </w:p>
        </w:tc>
      </w:tr>
      <w:tr>
        <w:tc>
          <w:tcPr/>
          <w:p>
            <w:pPr>
              <w:pStyle w:val="Compact"/>
            </w:pPr>
            <w:r>
              <w:t xml:space="preserve">Any of above AND campaign vaccination venue (h69 == 41)</w:t>
            </w:r>
          </w:p>
        </w:tc>
        <w:tc>
          <w:tcPr/>
          <w:p>
            <w:pPr>
              <w:pStyle w:val="Compact"/>
            </w:pPr>
            <w:r>
              <w:t xml:space="preserve">Upweight a₃ by factor 2</w:t>
            </w:r>
          </w:p>
        </w:tc>
        <w:tc>
          <w:tcPr/>
          <w:p>
            <w:pPr>
              <w:pStyle w:val="Compact"/>
            </w:pPr>
            <w:r>
              <w:t xml:space="preserve">Modifier</w:t>
            </w:r>
          </w:p>
        </w:tc>
        <w:tc>
          <w:tcPr/>
          <w:p>
            <w:pPr>
              <w:pStyle w:val="Compact"/>
            </w:pPr>
            <w:r>
              <w:t xml:space="preserve">Campaign venue indicates systematic recall effort</w:t>
            </w:r>
          </w:p>
        </w:tc>
      </w:tr>
    </w:tbl>
    <w:p>
      <w:pPr>
        <w:pStyle w:val="BodyText"/>
      </w:pPr>
      <w:r>
        <w:rPr>
          <w:i/>
          <w:iCs/>
        </w:rPr>
        <w:t xml:space="preserve">Note: Conditional incentive (a₄) is not assigned from DHS proxies because no DHS variable reliably distinguishes incentive-receiving visits from routine attendance. a₄ assignment in the training data is therefore treated as unobserved and excluded from behaviour-policy estimation; this is acknowledged as a limitation.</w:t>
      </w:r>
    </w:p>
    <w:bookmarkEnd w:id="19"/>
    <w:bookmarkEnd w:id="20"/>
    <w:bookmarkStart w:id="23" w:name="supplementary-material-s2-parameters"/>
    <w:p>
      <w:pPr>
        <w:pStyle w:val="Heading1"/>
      </w:pPr>
      <w:r>
        <w:t xml:space="preserve">Supplementary Material S2 — Parameters</w:t>
      </w:r>
    </w:p>
    <w:bookmarkStart w:id="21" w:name="s2.1-model-input-parameter-table"/>
    <w:p>
      <w:pPr>
        <w:pStyle w:val="Heading2"/>
      </w:pPr>
      <w:r>
        <w:t xml:space="preserve">S2.1 Model-input parameter table</w:t>
      </w:r>
    </w:p>
    <w:p>
      <w:pPr>
        <w:pStyle w:val="FirstParagraph"/>
      </w:pPr>
      <w:r>
        <w:rPr>
          <w:b/>
          <w:bCs/>
        </w:rPr>
        <w:t xml:space="preserve">Table S2.1. Model-input parameters: intervention effect sizes from literature review, intervention costs, and PSA prior ranges.</w:t>
      </w:r>
    </w:p>
    <w:tbl>
      <w:tblPr>
        <w:tblStyle w:val="Table"/>
        <w:tblW w:type="pct" w:w="5000"/>
        <w:tblLayout w:type="fixed"/>
        <w:tblLook w:firstRow="1" w:lastRow="0" w:firstColumn="0" w:lastColumn="0" w:noHBand="0" w:noVBand="0" w:val="0020"/>
      </w:tblPr>
      <w:tblGrid>
        <w:gridCol w:w="657"/>
        <w:gridCol w:w="266"/>
        <w:gridCol w:w="728"/>
        <w:gridCol w:w="142"/>
        <w:gridCol w:w="621"/>
        <w:gridCol w:w="603"/>
        <w:gridCol w:w="266"/>
        <w:gridCol w:w="479"/>
        <w:gridCol w:w="266"/>
        <w:gridCol w:w="213"/>
        <w:gridCol w:w="213"/>
        <w:gridCol w:w="195"/>
        <w:gridCol w:w="1367"/>
        <w:gridCol w:w="657"/>
        <w:gridCol w:w="195"/>
        <w:gridCol w:w="213"/>
        <w:gridCol w:w="213"/>
        <w:gridCol w:w="621"/>
      </w:tblGrid>
      <w:tr>
        <w:trPr>
          <w:tblHeader w:val="on"/>
        </w:trPr>
        <w:tc>
          <w:tcPr/>
          <w:p>
            <w:pPr>
              <w:pStyle w:val="Compact"/>
              <w:jc w:val="left"/>
            </w:pPr>
            <w:r>
              <w:t xml:space="preserve">intervention_type</w:t>
            </w:r>
          </w:p>
        </w:tc>
        <w:tc>
          <w:tcPr/>
          <w:p>
            <w:pPr>
              <w:pStyle w:val="Compact"/>
              <w:jc w:val="left"/>
            </w:pPr>
            <w:r>
              <w:t xml:space="preserve">action_code</w:t>
            </w:r>
          </w:p>
        </w:tc>
        <w:tc>
          <w:tcPr/>
          <w:p>
            <w:pPr>
              <w:pStyle w:val="Compact"/>
              <w:jc w:val="left"/>
            </w:pPr>
            <w:r>
              <w:t xml:space="preserve">study</w:t>
            </w:r>
          </w:p>
        </w:tc>
        <w:tc>
          <w:tcPr/>
          <w:p>
            <w:pPr>
              <w:pStyle w:val="Compact"/>
              <w:jc w:val="right"/>
            </w:pPr>
            <w:r>
              <w:t xml:space="preserve">year</w:t>
            </w:r>
          </w:p>
        </w:tc>
        <w:tc>
          <w:tcPr/>
          <w:p>
            <w:pPr>
              <w:pStyle w:val="Compact"/>
              <w:jc w:val="left"/>
            </w:pPr>
            <w:r>
              <w:t xml:space="preserve">design</w:t>
            </w:r>
          </w:p>
        </w:tc>
        <w:tc>
          <w:tcPr/>
          <w:p>
            <w:pPr>
              <w:pStyle w:val="Compact"/>
              <w:jc w:val="left"/>
            </w:pPr>
            <w:r>
              <w:t xml:space="preserve">setting</w:t>
            </w:r>
          </w:p>
        </w:tc>
        <w:tc>
          <w:tcPr/>
          <w:p>
            <w:pPr>
              <w:pStyle w:val="Compact"/>
              <w:jc w:val="left"/>
            </w:pPr>
            <w:r>
              <w:t xml:space="preserve">sample_size</w:t>
            </w:r>
          </w:p>
        </w:tc>
        <w:tc>
          <w:tcPr/>
          <w:p>
            <w:pPr>
              <w:pStyle w:val="Compact"/>
              <w:jc w:val="left"/>
            </w:pPr>
            <w:r>
              <w:t xml:space="preserve">effect_measure</w:t>
            </w:r>
          </w:p>
        </w:tc>
        <w:tc>
          <w:tcPr/>
          <w:p>
            <w:pPr>
              <w:pStyle w:val="Compact"/>
              <w:jc w:val="left"/>
            </w:pPr>
            <w:r>
              <w:t xml:space="preserve">effect_size</w:t>
            </w:r>
          </w:p>
        </w:tc>
        <w:tc>
          <w:tcPr/>
          <w:p>
            <w:pPr>
              <w:pStyle w:val="Compact"/>
              <w:jc w:val="right"/>
            </w:pPr>
            <w:r>
              <w:t xml:space="preserve">ci_lower</w:t>
            </w:r>
          </w:p>
        </w:tc>
        <w:tc>
          <w:tcPr/>
          <w:p>
            <w:pPr>
              <w:pStyle w:val="Compact"/>
              <w:jc w:val="right"/>
            </w:pPr>
            <w:r>
              <w:t xml:space="preserve">ci_upper</w:t>
            </w:r>
          </w:p>
        </w:tc>
        <w:tc>
          <w:tcPr/>
          <w:p>
            <w:pPr>
              <w:pStyle w:val="Compact"/>
              <w:jc w:val="left"/>
            </w:pPr>
            <w:r>
              <w:t xml:space="preserve">p_value</w:t>
            </w:r>
          </w:p>
        </w:tc>
        <w:tc>
          <w:tcPr/>
          <w:p>
            <w:pPr>
              <w:pStyle w:val="Compact"/>
              <w:jc w:val="left"/>
            </w:pPr>
            <w:r>
              <w:t xml:space="preserve">notes</w:t>
            </w:r>
          </w:p>
        </w:tc>
        <w:tc>
          <w:tcPr/>
          <w:p>
            <w:pPr>
              <w:pStyle w:val="Compact"/>
              <w:jc w:val="left"/>
            </w:pPr>
            <w:r>
              <w:t xml:space="preserve">Parameter</w:t>
            </w:r>
          </w:p>
        </w:tc>
        <w:tc>
          <w:tcPr/>
          <w:p>
            <w:pPr>
              <w:pStyle w:val="Compact"/>
              <w:jc w:val="right"/>
            </w:pPr>
            <w:r>
              <w:t xml:space="preserve">Base</w:t>
            </w:r>
          </w:p>
        </w:tc>
        <w:tc>
          <w:tcPr/>
          <w:p>
            <w:pPr>
              <w:pStyle w:val="Compact"/>
              <w:jc w:val="right"/>
            </w:pPr>
            <w:r>
              <w:t xml:space="preserve">PSA low</w:t>
            </w:r>
          </w:p>
        </w:tc>
        <w:tc>
          <w:tcPr/>
          <w:p>
            <w:pPr>
              <w:pStyle w:val="Compact"/>
              <w:jc w:val="right"/>
            </w:pPr>
            <w:r>
              <w:t xml:space="preserve">PSA high</w:t>
            </w:r>
          </w:p>
        </w:tc>
        <w:tc>
          <w:tcPr/>
          <w:p>
            <w:pPr>
              <w:pStyle w:val="Compact"/>
              <w:jc w:val="left"/>
            </w:pPr>
            <w:r>
              <w:t xml:space="preserve">Source</w:t>
            </w:r>
          </w:p>
        </w:tc>
      </w:tr>
      <w:tr>
        <w:tc>
          <w:tcPr/>
          <w:p>
            <w:pPr>
              <w:pStyle w:val="Compact"/>
              <w:jc w:val="left"/>
            </w:pPr>
            <w:r>
              <w:t xml:space="preserve">SMS reminder</w:t>
            </w:r>
          </w:p>
        </w:tc>
        <w:tc>
          <w:tcPr/>
          <w:p>
            <w:pPr>
              <w:pStyle w:val="Compact"/>
              <w:jc w:val="left"/>
            </w:pPr>
            <w:r>
              <w:t xml:space="preserve">a1</w:t>
            </w:r>
          </w:p>
        </w:tc>
        <w:tc>
          <w:tcPr/>
          <w:p>
            <w:pPr>
              <w:pStyle w:val="Compact"/>
              <w:jc w:val="left"/>
            </w:pPr>
            <w:r>
              <w:t xml:space="preserve">Eze et al. (meta-analysis)</w:t>
            </w:r>
          </w:p>
        </w:tc>
        <w:tc>
          <w:tcPr/>
          <w:p>
            <w:pPr>
              <w:pStyle w:val="Compact"/>
              <w:jc w:val="right"/>
            </w:pPr>
            <w:r>
              <w:t xml:space="preserve">2021</w:t>
            </w:r>
          </w:p>
        </w:tc>
        <w:tc>
          <w:tcPr/>
          <w:p>
            <w:pPr>
              <w:pStyle w:val="Compact"/>
              <w:jc w:val="left"/>
            </w:pPr>
            <w:r>
              <w:t xml:space="preserve">Systematic review + meta-analysis</w:t>
            </w:r>
          </w:p>
        </w:tc>
        <w:tc>
          <w:tcPr/>
          <w:p>
            <w:pPr>
              <w:pStyle w:val="Compact"/>
              <w:jc w:val="left"/>
            </w:pPr>
            <w:r>
              <w:t xml:space="preserve">18 LMICs</w:t>
            </w:r>
          </w:p>
        </w:tc>
        <w:tc>
          <w:tcPr/>
          <w:p>
            <w:pPr>
              <w:pStyle w:val="Compact"/>
              <w:jc w:val="left"/>
            </w:pPr>
            <w:r>
              <w:t xml:space="preserve">32712</w:t>
            </w:r>
          </w:p>
        </w:tc>
        <w:tc>
          <w:tcPr/>
          <w:p>
            <w:pPr>
              <w:pStyle w:val="Compact"/>
              <w:jc w:val="left"/>
            </w:pPr>
            <w:r>
              <w:t xml:space="preserve">RR (coverage)</w:t>
            </w:r>
          </w:p>
        </w:tc>
        <w:tc>
          <w:tcPr/>
          <w:p>
            <w:pPr>
              <w:pStyle w:val="Compact"/>
              <w:jc w:val="left"/>
            </w:pPr>
            <w:r>
              <w:t xml:space="preserve">1.16</w:t>
            </w:r>
          </w:p>
        </w:tc>
        <w:tc>
          <w:tcPr/>
          <w:p>
            <w:pPr>
              <w:pStyle w:val="Compact"/>
              <w:jc w:val="right"/>
            </w:pPr>
            <w:r>
              <w:t xml:space="preserve">1.1</w:t>
            </w:r>
          </w:p>
        </w:tc>
        <w:tc>
          <w:tcPr/>
          <w:p>
            <w:pPr>
              <w:pStyle w:val="Compact"/>
              <w:jc w:val="right"/>
            </w:pPr>
            <w:r>
              <w:t xml:space="preserve">1.21</w:t>
            </w:r>
          </w:p>
        </w:tc>
        <w:tc>
          <w:tcPr/>
          <w:p>
            <w:pPr>
              <w:pStyle w:val="Compact"/>
              <w:jc w:val="left"/>
            </w:pPr>
            <w:r>
              <w:t xml:space="preserve">&lt;0.001</w:t>
            </w:r>
          </w:p>
        </w:tc>
        <w:tc>
          <w:tcPr/>
          <w:p>
            <w:pPr>
              <w:pStyle w:val="Compact"/>
              <w:jc w:val="left"/>
            </w:pPr>
            <w:r>
              <w:t xml:space="preserve">Pooled across 19 interventions; I2=90.4%</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SMS reminder</w:t>
            </w:r>
          </w:p>
        </w:tc>
        <w:tc>
          <w:tcPr/>
          <w:p>
            <w:pPr>
              <w:pStyle w:val="Compact"/>
              <w:jc w:val="left"/>
            </w:pPr>
            <w:r>
              <w:t xml:space="preserve">a1</w:t>
            </w:r>
          </w:p>
        </w:tc>
        <w:tc>
          <w:tcPr/>
          <w:p>
            <w:pPr>
              <w:pStyle w:val="Compact"/>
              <w:jc w:val="left"/>
            </w:pPr>
            <w:r>
              <w:t xml:space="preserve">Eze et al. (meta-analysis)</w:t>
            </w:r>
          </w:p>
        </w:tc>
        <w:tc>
          <w:tcPr/>
          <w:p>
            <w:pPr>
              <w:pStyle w:val="Compact"/>
              <w:jc w:val="right"/>
            </w:pPr>
            <w:r>
              <w:t xml:space="preserve">2021</w:t>
            </w:r>
          </w:p>
        </w:tc>
        <w:tc>
          <w:tcPr/>
          <w:p>
            <w:pPr>
              <w:pStyle w:val="Compact"/>
              <w:jc w:val="left"/>
            </w:pPr>
            <w:r>
              <w:t xml:space="preserve">Systematic review + meta-analysis</w:t>
            </w:r>
          </w:p>
        </w:tc>
        <w:tc>
          <w:tcPr/>
          <w:p>
            <w:pPr>
              <w:pStyle w:val="Compact"/>
              <w:jc w:val="left"/>
            </w:pPr>
            <w:r>
              <w:t xml:space="preserve">18 LMICs</w:t>
            </w:r>
          </w:p>
        </w:tc>
        <w:tc>
          <w:tcPr/>
          <w:p>
            <w:pPr>
              <w:pStyle w:val="Compact"/>
              <w:jc w:val="left"/>
            </w:pPr>
            <w:r>
              <w:t xml:space="preserve">25257</w:t>
            </w:r>
          </w:p>
        </w:tc>
        <w:tc>
          <w:tcPr/>
          <w:p>
            <w:pPr>
              <w:pStyle w:val="Compact"/>
              <w:jc w:val="left"/>
            </w:pPr>
            <w:r>
              <w:t xml:space="preserve">RR (timeliness)</w:t>
            </w:r>
          </w:p>
        </w:tc>
        <w:tc>
          <w:tcPr/>
          <w:p>
            <w:pPr>
              <w:pStyle w:val="Compact"/>
              <w:jc w:val="left"/>
            </w:pPr>
            <w:r>
              <w:t xml:space="preserve">1.21</w:t>
            </w:r>
          </w:p>
        </w:tc>
        <w:tc>
          <w:tcPr/>
          <w:p>
            <w:pPr>
              <w:pStyle w:val="Compact"/>
              <w:jc w:val="right"/>
            </w:pPr>
            <w:r>
              <w:t xml:space="preserve">1.12</w:t>
            </w:r>
          </w:p>
        </w:tc>
        <w:tc>
          <w:tcPr/>
          <w:p>
            <w:pPr>
              <w:pStyle w:val="Compact"/>
              <w:jc w:val="right"/>
            </w:pPr>
            <w:r>
              <w:t xml:space="preserve">1.3</w:t>
            </w:r>
          </w:p>
        </w:tc>
        <w:tc>
          <w:tcPr/>
          <w:p>
            <w:pPr>
              <w:pStyle w:val="Compact"/>
              <w:jc w:val="left"/>
            </w:pPr>
            <w:r>
              <w:t xml:space="preserve">&lt;0.001</w:t>
            </w:r>
          </w:p>
        </w:tc>
        <w:tc>
          <w:tcPr/>
          <w:p>
            <w:pPr>
              <w:pStyle w:val="Compact"/>
              <w:jc w:val="left"/>
            </w:pPr>
            <w:r>
              <w:t xml:space="preserve">12 studies; I2=87.3%</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SMS reminder</w:t>
            </w:r>
          </w:p>
        </w:tc>
        <w:tc>
          <w:tcPr/>
          <w:p>
            <w:pPr>
              <w:pStyle w:val="Compact"/>
              <w:jc w:val="left"/>
            </w:pPr>
            <w:r>
              <w:t xml:space="preserve">a1</w:t>
            </w:r>
          </w:p>
        </w:tc>
        <w:tc>
          <w:tcPr/>
          <w:p>
            <w:pPr>
              <w:pStyle w:val="Compact"/>
              <w:jc w:val="left"/>
            </w:pPr>
            <w:r>
              <w:t xml:space="preserve">Eze et al. — low-income countries</w:t>
            </w:r>
          </w:p>
        </w:tc>
        <w:tc>
          <w:tcPr/>
          <w:p>
            <w:pPr>
              <w:pStyle w:val="Compact"/>
              <w:jc w:val="right"/>
            </w:pPr>
            <w:r>
              <w:t xml:space="preserve">2021</w:t>
            </w:r>
          </w:p>
        </w:tc>
        <w:tc>
          <w:tcPr/>
          <w:p>
            <w:pPr>
              <w:pStyle w:val="Compact"/>
              <w:jc w:val="left"/>
            </w:pPr>
            <w:r>
              <w:t xml:space="preserve">Subgroup analysis</w:t>
            </w:r>
          </w:p>
        </w:tc>
        <w:tc>
          <w:tcPr/>
          <w:p>
            <w:pPr>
              <w:pStyle w:val="Compact"/>
              <w:jc w:val="left"/>
            </w:pPr>
            <w:r>
              <w:t xml:space="preserve">Low-income countries</w:t>
            </w:r>
          </w:p>
        </w:tc>
        <w:tc>
          <w:tcPr/>
          <w:p>
            <w:pPr>
              <w:pStyle w:val="Compact"/>
              <w:jc w:val="left"/>
            </w:pPr>
            <w:r>
              <w:t xml:space="preserve">nan</w:t>
            </w:r>
          </w:p>
        </w:tc>
        <w:tc>
          <w:tcPr/>
          <w:p>
            <w:pPr>
              <w:pStyle w:val="Compact"/>
              <w:jc w:val="left"/>
            </w:pPr>
            <w:r>
              <w:t xml:space="preserve">RR (coverage)</w:t>
            </w:r>
          </w:p>
        </w:tc>
        <w:tc>
          <w:tcPr/>
          <w:p>
            <w:pPr>
              <w:pStyle w:val="Compact"/>
              <w:jc w:val="left"/>
            </w:pPr>
            <w:r>
              <w:t xml:space="preserve">1.39</w:t>
            </w:r>
          </w:p>
        </w:tc>
        <w:tc>
          <w:tcPr/>
          <w:p>
            <w:pPr>
              <w:pStyle w:val="Compact"/>
              <w:jc w:val="right"/>
            </w:pPr>
            <w:r>
              <w:t xml:space="preserve">1.19</w:t>
            </w:r>
          </w:p>
        </w:tc>
        <w:tc>
          <w:tcPr/>
          <w:p>
            <w:pPr>
              <w:pStyle w:val="Compact"/>
              <w:jc w:val="right"/>
            </w:pPr>
            <w:r>
              <w:t xml:space="preserve">1.62</w:t>
            </w:r>
          </w:p>
        </w:tc>
        <w:tc>
          <w:tcPr/>
          <w:p>
            <w:pPr>
              <w:pStyle w:val="Compact"/>
              <w:jc w:val="left"/>
            </w:pPr>
            <w:r>
              <w:t xml:space="preserve">&lt;0.001</w:t>
            </w:r>
          </w:p>
        </w:tc>
        <w:tc>
          <w:tcPr/>
          <w:p>
            <w:pPr>
              <w:pStyle w:val="Compact"/>
              <w:jc w:val="left"/>
            </w:pPr>
            <w:r>
              <w:t xml:space="preserve">Strongest effect in low-income settings</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SMS reminder</w:t>
            </w:r>
          </w:p>
        </w:tc>
        <w:tc>
          <w:tcPr/>
          <w:p>
            <w:pPr>
              <w:pStyle w:val="Compact"/>
              <w:jc w:val="left"/>
            </w:pPr>
            <w:r>
              <w:t xml:space="preserve">a1</w:t>
            </w:r>
          </w:p>
        </w:tc>
        <w:tc>
          <w:tcPr/>
          <w:p>
            <w:pPr>
              <w:pStyle w:val="Compact"/>
              <w:jc w:val="left"/>
            </w:pPr>
            <w:r>
              <w:t xml:space="preserve">Eze et al. — lower-middle-income</w:t>
            </w:r>
          </w:p>
        </w:tc>
        <w:tc>
          <w:tcPr/>
          <w:p>
            <w:pPr>
              <w:pStyle w:val="Compact"/>
              <w:jc w:val="right"/>
            </w:pPr>
            <w:r>
              <w:t xml:space="preserve">2021</w:t>
            </w:r>
          </w:p>
        </w:tc>
        <w:tc>
          <w:tcPr/>
          <w:p>
            <w:pPr>
              <w:pStyle w:val="Compact"/>
              <w:jc w:val="left"/>
            </w:pPr>
            <w:r>
              <w:t xml:space="preserve">Subgroup analysis</w:t>
            </w:r>
          </w:p>
        </w:tc>
        <w:tc>
          <w:tcPr/>
          <w:p>
            <w:pPr>
              <w:pStyle w:val="Compact"/>
              <w:jc w:val="left"/>
            </w:pPr>
            <w:r>
              <w:t xml:space="preserve">Lower-middle-income</w:t>
            </w:r>
          </w:p>
        </w:tc>
        <w:tc>
          <w:tcPr/>
          <w:p>
            <w:pPr>
              <w:pStyle w:val="Compact"/>
              <w:jc w:val="left"/>
            </w:pPr>
            <w:r>
              <w:t xml:space="preserve">nan</w:t>
            </w:r>
          </w:p>
        </w:tc>
        <w:tc>
          <w:tcPr/>
          <w:p>
            <w:pPr>
              <w:pStyle w:val="Compact"/>
              <w:jc w:val="left"/>
            </w:pPr>
            <w:r>
              <w:t xml:space="preserve">RR (coverage)</w:t>
            </w:r>
          </w:p>
        </w:tc>
        <w:tc>
          <w:tcPr/>
          <w:p>
            <w:pPr>
              <w:pStyle w:val="Compact"/>
              <w:jc w:val="left"/>
            </w:pPr>
            <w:r>
              <w:t xml:space="preserve">1.19</w:t>
            </w:r>
          </w:p>
        </w:tc>
        <w:tc>
          <w:tcPr/>
          <w:p>
            <w:pPr>
              <w:pStyle w:val="Compact"/>
              <w:jc w:val="right"/>
            </w:pPr>
            <w:r>
              <w:t xml:space="preserve">1.13</w:t>
            </w:r>
          </w:p>
        </w:tc>
        <w:tc>
          <w:tcPr/>
          <w:p>
            <w:pPr>
              <w:pStyle w:val="Compact"/>
              <w:jc w:val="right"/>
            </w:pPr>
            <w:r>
              <w:t xml:space="preserve">1.26</w:t>
            </w:r>
          </w:p>
        </w:tc>
        <w:tc>
          <w:tcPr/>
          <w:p>
            <w:pPr>
              <w:pStyle w:val="Compact"/>
              <w:jc w:val="left"/>
            </w:pPr>
            <w:r>
              <w:t xml:space="preserve">&lt;0.001</w:t>
            </w:r>
          </w:p>
        </w:tc>
        <w:tc>
          <w:tcPr/>
          <w:p>
            <w:pPr>
              <w:pStyle w:val="Compact"/>
              <w:jc w:val="left"/>
            </w:pPr>
            <w:r>
              <w:t xml:space="preserve">Moderate effect</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SMS reminder</w:t>
            </w:r>
          </w:p>
        </w:tc>
        <w:tc>
          <w:tcPr/>
          <w:p>
            <w:pPr>
              <w:pStyle w:val="Compact"/>
              <w:jc w:val="left"/>
            </w:pPr>
            <w:r>
              <w:t xml:space="preserve">a1</w:t>
            </w:r>
          </w:p>
        </w:tc>
        <w:tc>
          <w:tcPr/>
          <w:p>
            <w:pPr>
              <w:pStyle w:val="Compact"/>
              <w:jc w:val="left"/>
            </w:pPr>
            <w:r>
              <w:t xml:space="preserve">Mekonnen et al.</w:t>
            </w:r>
          </w:p>
        </w:tc>
        <w:tc>
          <w:tcPr/>
          <w:p>
            <w:pPr>
              <w:pStyle w:val="Compact"/>
              <w:jc w:val="right"/>
            </w:pPr>
            <w:r>
              <w:t xml:space="preserve">2021</w:t>
            </w:r>
          </w:p>
        </w:tc>
        <w:tc>
          <w:tcPr/>
          <w:p>
            <w:pPr>
              <w:pStyle w:val="Compact"/>
              <w:jc w:val="left"/>
            </w:pPr>
            <w:r>
              <w:t xml:space="preserve">RCT</w:t>
            </w:r>
          </w:p>
        </w:tc>
        <w:tc>
          <w:tcPr/>
          <w:p>
            <w:pPr>
              <w:pStyle w:val="Compact"/>
              <w:jc w:val="left"/>
            </w:pPr>
            <w:r>
              <w:t xml:space="preserve">Northwest Ethiopia</w:t>
            </w:r>
          </w:p>
        </w:tc>
        <w:tc>
          <w:tcPr/>
          <w:p>
            <w:pPr>
              <w:pStyle w:val="Compact"/>
              <w:jc w:val="left"/>
            </w:pPr>
            <w:r>
              <w:t xml:space="preserve">nan</w:t>
            </w:r>
          </w:p>
        </w:tc>
        <w:tc>
          <w:tcPr/>
          <w:p>
            <w:pPr>
              <w:pStyle w:val="Compact"/>
              <w:jc w:val="left"/>
            </w:pPr>
            <w:r>
              <w:t xml:space="preserve">RR (completion)</w:t>
            </w:r>
          </w:p>
        </w:tc>
        <w:tc>
          <w:tcPr/>
          <w:p>
            <w:pPr>
              <w:pStyle w:val="Compact"/>
              <w:jc w:val="left"/>
            </w:pPr>
            <w:r>
              <w:t xml:space="preserve">1.47</w:t>
            </w:r>
          </w:p>
        </w:tc>
        <w:tc>
          <w:tcPr/>
          <w:p>
            <w:pPr>
              <w:pStyle w:val="Compact"/>
              <w:jc w:val="right"/>
            </w:pPr>
            <w:r>
              <w:t xml:space="preserve">1.23</w:t>
            </w:r>
          </w:p>
        </w:tc>
        <w:tc>
          <w:tcPr/>
          <w:p>
            <w:pPr>
              <w:pStyle w:val="Compact"/>
              <w:jc w:val="right"/>
            </w:pPr>
            <w:r>
              <w:t xml:space="preserve">1.76</w:t>
            </w:r>
          </w:p>
        </w:tc>
        <w:tc>
          <w:tcPr/>
          <w:p>
            <w:pPr>
              <w:pStyle w:val="Compact"/>
              <w:jc w:val="left"/>
            </w:pPr>
            <w:r>
              <w:t xml:space="preserve">&lt;0.001</w:t>
            </w:r>
          </w:p>
        </w:tc>
        <w:tc>
          <w:tcPr/>
          <w:p>
            <w:pPr>
              <w:pStyle w:val="Compact"/>
              <w:jc w:val="left"/>
            </w:pPr>
            <w:r>
              <w:t xml:space="preserve">Superiority trial; strong effect in rural setting</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SMS reminder</w:t>
            </w:r>
          </w:p>
        </w:tc>
        <w:tc>
          <w:tcPr/>
          <w:p>
            <w:pPr>
              <w:pStyle w:val="Compact"/>
              <w:jc w:val="left"/>
            </w:pPr>
            <w:r>
              <w:t xml:space="preserve">a1</w:t>
            </w:r>
          </w:p>
        </w:tc>
        <w:tc>
          <w:tcPr/>
          <w:p>
            <w:pPr>
              <w:pStyle w:val="Compact"/>
              <w:jc w:val="left"/>
            </w:pPr>
            <w:r>
              <w:t xml:space="preserve">Recent Africa meta-analysis</w:t>
            </w:r>
          </w:p>
        </w:tc>
        <w:tc>
          <w:tcPr/>
          <w:p>
            <w:pPr>
              <w:pStyle w:val="Compact"/>
              <w:jc w:val="right"/>
            </w:pPr>
            <w:r>
              <w:t xml:space="preserve">2025</w:t>
            </w:r>
          </w:p>
        </w:tc>
        <w:tc>
          <w:tcPr/>
          <w:p>
            <w:pPr>
              <w:pStyle w:val="Compact"/>
              <w:jc w:val="left"/>
            </w:pPr>
            <w:r>
              <w:t xml:space="preserve">Systematic review + meta-analysis</w:t>
            </w:r>
          </w:p>
        </w:tc>
        <w:tc>
          <w:tcPr/>
          <w:p>
            <w:pPr>
              <w:pStyle w:val="Compact"/>
              <w:jc w:val="left"/>
            </w:pPr>
            <w:r>
              <w:t xml:space="preserve">Africa</w:t>
            </w:r>
          </w:p>
        </w:tc>
        <w:tc>
          <w:tcPr/>
          <w:p>
            <w:pPr>
              <w:pStyle w:val="Compact"/>
              <w:jc w:val="left"/>
            </w:pPr>
            <w:r>
              <w:t xml:space="preserve">nan</w:t>
            </w:r>
          </w:p>
        </w:tc>
        <w:tc>
          <w:tcPr/>
          <w:p>
            <w:pPr>
              <w:pStyle w:val="Compact"/>
              <w:jc w:val="left"/>
            </w:pPr>
            <w:r>
              <w:t xml:space="preserve">OR (vaccination)</w:t>
            </w:r>
          </w:p>
        </w:tc>
        <w:tc>
          <w:tcPr/>
          <w:p>
            <w:pPr>
              <w:pStyle w:val="Compact"/>
              <w:jc w:val="left"/>
            </w:pPr>
            <w:r>
              <w:t xml:space="preserve">2.15</w:t>
            </w:r>
          </w:p>
        </w:tc>
        <w:tc>
          <w:tcPr/>
          <w:p>
            <w:pPr>
              <w:pStyle w:val="Compact"/>
              <w:jc w:val="right"/>
            </w:pPr>
            <w:r>
              <w:t xml:space="preserve">1.7</w:t>
            </w:r>
          </w:p>
        </w:tc>
        <w:tc>
          <w:tcPr/>
          <w:p>
            <w:pPr>
              <w:pStyle w:val="Compact"/>
              <w:jc w:val="right"/>
            </w:pPr>
            <w:r>
              <w:t xml:space="preserve">2.72</w:t>
            </w:r>
          </w:p>
        </w:tc>
        <w:tc>
          <w:tcPr/>
          <w:p>
            <w:pPr>
              <w:pStyle w:val="Compact"/>
              <w:jc w:val="left"/>
            </w:pPr>
            <w:r>
              <w:t xml:space="preserve">&lt;0.001</w:t>
            </w:r>
          </w:p>
        </w:tc>
        <w:tc>
          <w:tcPr/>
          <w:p>
            <w:pPr>
              <w:pStyle w:val="Compact"/>
              <w:jc w:val="left"/>
            </w:pPr>
            <w:r>
              <w:t xml:space="preserve">14 RCTs + 4 quasi-experiments; mHealth interventions broadly</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CHW home visit</w:t>
            </w:r>
          </w:p>
        </w:tc>
        <w:tc>
          <w:tcPr/>
          <w:p>
            <w:pPr>
              <w:pStyle w:val="Compact"/>
              <w:jc w:val="left"/>
            </w:pPr>
            <w:r>
              <w:t xml:space="preserve">a2</w:t>
            </w:r>
          </w:p>
        </w:tc>
        <w:tc>
          <w:tcPr/>
          <w:p>
            <w:pPr>
              <w:pStyle w:val="Compact"/>
              <w:jc w:val="left"/>
            </w:pPr>
            <w:r>
              <w:t xml:space="preserve">Brugha et al.</w:t>
            </w:r>
          </w:p>
        </w:tc>
        <w:tc>
          <w:tcPr/>
          <w:p>
            <w:pPr>
              <w:pStyle w:val="Compact"/>
              <w:jc w:val="right"/>
            </w:pPr>
            <w:r>
              <w:t xml:space="preserve">2008</w:t>
            </w:r>
          </w:p>
        </w:tc>
        <w:tc>
          <w:tcPr/>
          <w:p>
            <w:pPr>
              <w:pStyle w:val="Compact"/>
              <w:jc w:val="left"/>
            </w:pPr>
            <w:r>
              <w:t xml:space="preserve">Controlled trial</w:t>
            </w:r>
          </w:p>
        </w:tc>
        <w:tc>
          <w:tcPr/>
          <w:p>
            <w:pPr>
              <w:pStyle w:val="Compact"/>
              <w:jc w:val="left"/>
            </w:pPr>
            <w:r>
              <w:t xml:space="preserve">Urban Ghana</w:t>
            </w:r>
          </w:p>
        </w:tc>
        <w:tc>
          <w:tcPr/>
          <w:p>
            <w:pPr>
              <w:pStyle w:val="Compact"/>
              <w:jc w:val="left"/>
            </w:pPr>
            <w:r>
              <w:t xml:space="preserve">nan</w:t>
            </w:r>
          </w:p>
        </w:tc>
        <w:tc>
          <w:tcPr/>
          <w:p>
            <w:pPr>
              <w:pStyle w:val="Compact"/>
              <w:jc w:val="left"/>
            </w:pPr>
            <w:r>
              <w:t xml:space="preserve">Absolute increase</w:t>
            </w:r>
          </w:p>
        </w:tc>
        <w:tc>
          <w:tcPr/>
          <w:p>
            <w:pPr>
              <w:pStyle w:val="Compact"/>
              <w:jc w:val="left"/>
            </w:pPr>
            <w:r>
              <w:t xml:space="preserve">25pp</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&lt;0.005</w:t>
            </w:r>
          </w:p>
        </w:tc>
        <w:tc>
          <w:tcPr/>
          <w:p>
            <w:pPr>
              <w:pStyle w:val="Compact"/>
              <w:jc w:val="left"/>
            </w:pPr>
            <w:r>
              <w:t xml:space="preserve">Coverage rose from 60% to 85%; 25pp above control</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CHW home visit</w:t>
            </w:r>
          </w:p>
        </w:tc>
        <w:tc>
          <w:tcPr/>
          <w:p>
            <w:pPr>
              <w:pStyle w:val="Compact"/>
              <w:jc w:val="left"/>
            </w:pPr>
            <w:r>
              <w:t xml:space="preserve">a2</w:t>
            </w:r>
          </w:p>
        </w:tc>
        <w:tc>
          <w:tcPr/>
          <w:p>
            <w:pPr>
              <w:pStyle w:val="Compact"/>
              <w:jc w:val="left"/>
            </w:pPr>
            <w:r>
              <w:t xml:space="preserve">General evidence synthesis</w:t>
            </w:r>
          </w:p>
        </w:tc>
        <w:tc>
          <w:tcPr/>
          <w:p>
            <w:pPr>
              <w:pStyle w:val="Compact"/>
              <w:jc w:val="right"/>
            </w:pPr>
            <w:r>
              <w:t xml:space="preserve">2024</w:t>
            </w:r>
          </w:p>
        </w:tc>
        <w:tc>
          <w:tcPr/>
          <w:p>
            <w:pPr>
              <w:pStyle w:val="Compact"/>
              <w:jc w:val="left"/>
            </w:pPr>
            <w:r>
              <w:t xml:space="preserve">Multiple RCTs</w:t>
            </w:r>
          </w:p>
        </w:tc>
        <w:tc>
          <w:tcPr/>
          <w:p>
            <w:pPr>
              <w:pStyle w:val="Compact"/>
              <w:jc w:val="left"/>
            </w:pPr>
            <w:r>
              <w:t xml:space="preserve">Africa (multiple)</w:t>
            </w:r>
          </w:p>
        </w:tc>
        <w:tc>
          <w:tcPr/>
          <w:p>
            <w:pPr>
              <w:pStyle w:val="Compact"/>
              <w:jc w:val="left"/>
            </w:pPr>
            <w:r>
              <w:t xml:space="preserve">nan</w:t>
            </w:r>
          </w:p>
        </w:tc>
        <w:tc>
          <w:tcPr/>
          <w:p>
            <w:pPr>
              <w:pStyle w:val="Compact"/>
              <w:jc w:val="left"/>
            </w:pPr>
            <w:r>
              <w:t xml:space="preserve">Risk difference</w:t>
            </w:r>
          </w:p>
        </w:tc>
        <w:tc>
          <w:tcPr/>
          <w:p>
            <w:pPr>
              <w:pStyle w:val="Compact"/>
              <w:jc w:val="left"/>
            </w:pPr>
            <w:r>
              <w:t xml:space="preserve">+15-25pp</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&lt;0.05</w:t>
            </w:r>
          </w:p>
        </w:tc>
        <w:tc>
          <w:tcPr/>
          <w:p>
            <w:pPr>
              <w:pStyle w:val="Compact"/>
              <w:jc w:val="left"/>
            </w:pPr>
            <w:r>
              <w:t xml:space="preserve">Range from multiple studies of CHW vaccination interventions</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CHW home visit</w:t>
            </w:r>
          </w:p>
        </w:tc>
        <w:tc>
          <w:tcPr/>
          <w:p>
            <w:pPr>
              <w:pStyle w:val="Compact"/>
              <w:jc w:val="left"/>
            </w:pPr>
            <w:r>
              <w:t xml:space="preserve">a2</w:t>
            </w:r>
          </w:p>
        </w:tc>
        <w:tc>
          <w:tcPr/>
          <w:p>
            <w:pPr>
              <w:pStyle w:val="Compact"/>
              <w:jc w:val="left"/>
            </w:pPr>
            <w:r>
              <w:t xml:space="preserve">Meta-analysis of vaccination strategies</w:t>
            </w:r>
          </w:p>
        </w:tc>
        <w:tc>
          <w:tcPr/>
          <w:p>
            <w:pPr>
              <w:pStyle w:val="Compact"/>
              <w:jc w:val="right"/>
            </w:pPr>
            <w:r>
              <w:t xml:space="preserve">2025</w:t>
            </w:r>
          </w:p>
        </w:tc>
        <w:tc>
          <w:tcPr/>
          <w:p>
            <w:pPr>
              <w:pStyle w:val="Compact"/>
              <w:jc w:val="left"/>
            </w:pPr>
            <w:r>
              <w:t xml:space="preserve">Meta-analysis</w:t>
            </w:r>
          </w:p>
        </w:tc>
        <w:tc>
          <w:tcPr/>
          <w:p>
            <w:pPr>
              <w:pStyle w:val="Compact"/>
              <w:jc w:val="left"/>
            </w:pPr>
            <w:r>
              <w:t xml:space="preserve">Mixed</w:t>
            </w:r>
          </w:p>
        </w:tc>
        <w:tc>
          <w:tcPr/>
          <w:p>
            <w:pPr>
              <w:pStyle w:val="Compact"/>
              <w:jc w:val="left"/>
            </w:pPr>
            <w:r>
              <w:t xml:space="preserve">88 RCTs</w:t>
            </w:r>
          </w:p>
        </w:tc>
        <w:tc>
          <w:tcPr/>
          <w:p>
            <w:pPr>
              <w:pStyle w:val="Compact"/>
              <w:jc w:val="left"/>
            </w:pPr>
            <w:r>
              <w:t xml:space="preserve">OR (access enhancement)</w:t>
            </w:r>
          </w:p>
        </w:tc>
        <w:tc>
          <w:tcPr/>
          <w:p>
            <w:pPr>
              <w:pStyle w:val="Compact"/>
              <w:jc w:val="left"/>
            </w:pPr>
            <w:r>
              <w:t xml:space="preserve">3.31</w:t>
            </w:r>
          </w:p>
        </w:tc>
        <w:tc>
          <w:tcPr/>
          <w:p>
            <w:pPr>
              <w:pStyle w:val="Compact"/>
              <w:jc w:val="right"/>
            </w:pPr>
            <w:r>
              <w:t xml:space="preserve">2.18</w:t>
            </w:r>
          </w:p>
        </w:tc>
        <w:tc>
          <w:tcPr/>
          <w:p>
            <w:pPr>
              <w:pStyle w:val="Compact"/>
              <w:jc w:val="right"/>
            </w:pPr>
            <w:r>
              <w:t xml:space="preserve">5.04</w:t>
            </w:r>
          </w:p>
        </w:tc>
        <w:tc>
          <w:tcPr/>
          <w:p>
            <w:pPr>
              <w:pStyle w:val="Compact"/>
              <w:jc w:val="left"/>
            </w:pPr>
            <w:r>
              <w:t xml:space="preserve">&lt;0.001</w:t>
            </w:r>
          </w:p>
        </w:tc>
        <w:tc>
          <w:tcPr/>
          <w:p>
            <w:pPr>
              <w:pStyle w:val="Compact"/>
              <w:jc w:val="left"/>
            </w:pPr>
            <w:r>
              <w:t xml:space="preserve">Access enhancement strongest in lower-income countries; d=0.66</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Facility recall + defaulter tracing</w:t>
            </w:r>
          </w:p>
        </w:tc>
        <w:tc>
          <w:tcPr/>
          <w:p>
            <w:pPr>
              <w:pStyle w:val="Compact"/>
              <w:jc w:val="left"/>
            </w:pPr>
            <w:r>
              <w:t xml:space="preserve">a3</w:t>
            </w:r>
          </w:p>
        </w:tc>
        <w:tc>
          <w:tcPr/>
          <w:p>
            <w:pPr>
              <w:pStyle w:val="Compact"/>
              <w:jc w:val="left"/>
            </w:pPr>
            <w:r>
              <w:t xml:space="preserve">Indonesia cluster-RCT (HBR + sticker)</w:t>
            </w:r>
          </w:p>
        </w:tc>
        <w:tc>
          <w:tcPr/>
          <w:p>
            <w:pPr>
              <w:pStyle w:val="Compact"/>
              <w:jc w:val="right"/>
            </w:pPr>
            <w:r>
              <w:t xml:space="preserve">2020</w:t>
            </w:r>
          </w:p>
        </w:tc>
        <w:tc>
          <w:tcPr/>
          <w:p>
            <w:pPr>
              <w:pStyle w:val="Compact"/>
              <w:jc w:val="left"/>
            </w:pPr>
            <w:r>
              <w:t xml:space="preserve">Cluster-RCT</w:t>
            </w:r>
          </w:p>
        </w:tc>
        <w:tc>
          <w:tcPr/>
          <w:p>
            <w:pPr>
              <w:pStyle w:val="Compact"/>
              <w:jc w:val="left"/>
            </w:pPr>
            <w:r>
              <w:t xml:space="preserve">Indonesia</w:t>
            </w:r>
          </w:p>
        </w:tc>
        <w:tc>
          <w:tcPr/>
          <w:p>
            <w:pPr>
              <w:pStyle w:val="Compact"/>
              <w:jc w:val="left"/>
            </w:pPr>
            <w:r>
              <w:t xml:space="preserve">nan</w:t>
            </w:r>
          </w:p>
        </w:tc>
        <w:tc>
          <w:tcPr/>
          <w:p>
            <w:pPr>
              <w:pStyle w:val="Compact"/>
              <w:jc w:val="left"/>
            </w:pPr>
            <w:r>
              <w:t xml:space="preserve">Hazard ratio</w:t>
            </w:r>
          </w:p>
        </w:tc>
        <w:tc>
          <w:tcPr/>
          <w:p>
            <w:pPr>
              <w:pStyle w:val="Compact"/>
              <w:jc w:val="left"/>
            </w:pPr>
            <w:r>
              <w:t xml:space="preserve">1.50</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&lt;0.05</w:t>
            </w:r>
          </w:p>
        </w:tc>
        <w:tc>
          <w:tcPr/>
          <w:p>
            <w:pPr>
              <w:pStyle w:val="Compact"/>
              <w:jc w:val="left"/>
            </w:pPr>
            <w:r>
              <w:t xml:space="preserve">50% more likely to receive DTPcv3 within 60 days of DTPcv1</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Facility recall + defaulter tracing</w:t>
            </w:r>
          </w:p>
        </w:tc>
        <w:tc>
          <w:tcPr/>
          <w:p>
            <w:pPr>
              <w:pStyle w:val="Compact"/>
              <w:jc w:val="left"/>
            </w:pPr>
            <w:r>
              <w:t xml:space="preserve">a3</w:t>
            </w:r>
          </w:p>
        </w:tc>
        <w:tc>
          <w:tcPr/>
          <w:p>
            <w:pPr>
              <w:pStyle w:val="Compact"/>
              <w:jc w:val="left"/>
            </w:pPr>
            <w:r>
              <w:t xml:space="preserve">Cochrane review of reminder-recall</w:t>
            </w:r>
          </w:p>
        </w:tc>
        <w:tc>
          <w:tcPr/>
          <w:p>
            <w:pPr>
              <w:pStyle w:val="Compact"/>
              <w:jc w:val="right"/>
            </w:pPr>
            <w:r>
              <w:t xml:space="preserve">2018</w:t>
            </w:r>
          </w:p>
        </w:tc>
        <w:tc>
          <w:tcPr/>
          <w:p>
            <w:pPr>
              <w:pStyle w:val="Compact"/>
              <w:jc w:val="left"/>
            </w:pPr>
            <w:r>
              <w:t xml:space="preserve">Systematic review</w:t>
            </w:r>
          </w:p>
        </w:tc>
        <w:tc>
          <w:tcPr/>
          <w:p>
            <w:pPr>
              <w:pStyle w:val="Compact"/>
              <w:jc w:val="left"/>
            </w:pPr>
            <w:r>
              <w:t xml:space="preserve">Mixed</w:t>
            </w:r>
          </w:p>
        </w:tc>
        <w:tc>
          <w:tcPr/>
          <w:p>
            <w:pPr>
              <w:pStyle w:val="Compact"/>
              <w:jc w:val="left"/>
            </w:pPr>
            <w:r>
              <w:t xml:space="preserve">nan</w:t>
            </w:r>
          </w:p>
        </w:tc>
        <w:tc>
          <w:tcPr/>
          <w:p>
            <w:pPr>
              <w:pStyle w:val="Compact"/>
              <w:jc w:val="left"/>
            </w:pPr>
            <w:r>
              <w:t xml:space="preserve">OR (immunisation)</w:t>
            </w:r>
          </w:p>
        </w:tc>
        <w:tc>
          <w:tcPr/>
          <w:p>
            <w:pPr>
              <w:pStyle w:val="Compact"/>
              <w:jc w:val="left"/>
            </w:pPr>
            <w:r>
              <w:t xml:space="preserve">1.48</w:t>
            </w:r>
          </w:p>
        </w:tc>
        <w:tc>
          <w:tcPr/>
          <w:p>
            <w:pPr>
              <w:pStyle w:val="Compact"/>
              <w:jc w:val="right"/>
            </w:pPr>
            <w:r>
              <w:t xml:space="preserve">1.28</w:t>
            </w:r>
          </w:p>
        </w:tc>
        <w:tc>
          <w:tcPr/>
          <w:p>
            <w:pPr>
              <w:pStyle w:val="Compact"/>
              <w:jc w:val="right"/>
            </w:pPr>
            <w:r>
              <w:t xml:space="preserve">1.72</w:t>
            </w:r>
          </w:p>
        </w:tc>
        <w:tc>
          <w:tcPr/>
          <w:p>
            <w:pPr>
              <w:pStyle w:val="Compact"/>
              <w:jc w:val="left"/>
            </w:pPr>
            <w:r>
              <w:t xml:space="preserve">&lt;0.001</w:t>
            </w:r>
          </w:p>
        </w:tc>
        <w:tc>
          <w:tcPr/>
          <w:p>
            <w:pPr>
              <w:pStyle w:val="Compact"/>
              <w:jc w:val="left"/>
            </w:pPr>
            <w:r>
              <w:t xml:space="preserve">Multi-component reminder-recall with outreach has greater impact</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Facility recall + defaulter tracing</w:t>
            </w:r>
          </w:p>
        </w:tc>
        <w:tc>
          <w:tcPr/>
          <w:p>
            <w:pPr>
              <w:pStyle w:val="Compact"/>
              <w:jc w:val="left"/>
            </w:pPr>
            <w:r>
              <w:t xml:space="preserve">a3</w:t>
            </w:r>
          </w:p>
        </w:tc>
        <w:tc>
          <w:tcPr/>
          <w:p>
            <w:pPr>
              <w:pStyle w:val="Compact"/>
              <w:jc w:val="left"/>
            </w:pPr>
            <w:r>
              <w:t xml:space="preserve">General evidence synthesis</w:t>
            </w:r>
          </w:p>
        </w:tc>
        <w:tc>
          <w:tcPr/>
          <w:p>
            <w:pPr>
              <w:pStyle w:val="Compact"/>
              <w:jc w:val="right"/>
            </w:pPr>
            <w:r>
              <w:t xml:space="preserve">2024</w:t>
            </w:r>
          </w:p>
        </w:tc>
        <w:tc>
          <w:tcPr/>
          <w:p>
            <w:pPr>
              <w:pStyle w:val="Compact"/>
              <w:jc w:val="left"/>
            </w:pPr>
            <w:r>
              <w:t xml:space="preserve">Multiple studies</w:t>
            </w:r>
          </w:p>
        </w:tc>
        <w:tc>
          <w:tcPr/>
          <w:p>
            <w:pPr>
              <w:pStyle w:val="Compact"/>
              <w:jc w:val="left"/>
            </w:pPr>
            <w:r>
              <w:t xml:space="preserve">Mixed</w:t>
            </w:r>
          </w:p>
        </w:tc>
        <w:tc>
          <w:tcPr/>
          <w:p>
            <w:pPr>
              <w:pStyle w:val="Compact"/>
              <w:jc w:val="left"/>
            </w:pPr>
            <w:r>
              <w:t xml:space="preserve">nan</w:t>
            </w:r>
          </w:p>
        </w:tc>
        <w:tc>
          <w:tcPr/>
          <w:p>
            <w:pPr>
              <w:pStyle w:val="Compact"/>
              <w:jc w:val="left"/>
            </w:pPr>
            <w:r>
              <w:t xml:space="preserve">Risk difference</w:t>
            </w:r>
          </w:p>
        </w:tc>
        <w:tc>
          <w:tcPr/>
          <w:p>
            <w:pPr>
              <w:pStyle w:val="Compact"/>
              <w:jc w:val="left"/>
            </w:pPr>
            <w:r>
              <w:t xml:space="preserve">+20-30pp</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&lt;0.05</w:t>
            </w:r>
          </w:p>
        </w:tc>
        <w:tc>
          <w:tcPr/>
          <w:p>
            <w:pPr>
              <w:pStyle w:val="Compact"/>
              <w:jc w:val="left"/>
            </w:pPr>
            <w:r>
              <w:t xml:space="preserve">Range estimate combining reminder-recall with defaulter tracing</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Conditional incentive</w:t>
            </w:r>
          </w:p>
        </w:tc>
        <w:tc>
          <w:tcPr/>
          <w:p>
            <w:pPr>
              <w:pStyle w:val="Compact"/>
              <w:jc w:val="left"/>
            </w:pPr>
            <w:r>
              <w:t xml:space="preserve">a4</w:t>
            </w:r>
          </w:p>
        </w:tc>
        <w:tc>
          <w:tcPr/>
          <w:p>
            <w:pPr>
              <w:pStyle w:val="Compact"/>
              <w:jc w:val="left"/>
            </w:pPr>
            <w:r>
              <w:t xml:space="preserve">New Incentives Nigeria RCT</w:t>
            </w:r>
          </w:p>
        </w:tc>
        <w:tc>
          <w:tcPr/>
          <w:p>
            <w:pPr>
              <w:pStyle w:val="Compact"/>
              <w:jc w:val="right"/>
            </w:pPr>
            <w:r>
              <w:t xml:space="preserve">2020</w:t>
            </w:r>
          </w:p>
        </w:tc>
        <w:tc>
          <w:tcPr/>
          <w:p>
            <w:pPr>
              <w:pStyle w:val="Compact"/>
              <w:jc w:val="left"/>
            </w:pPr>
            <w:r>
              <w:t xml:space="preserve">RCT</w:t>
            </w:r>
          </w:p>
        </w:tc>
        <w:tc>
          <w:tcPr/>
          <w:p>
            <w:pPr>
              <w:pStyle w:val="Compact"/>
              <w:jc w:val="left"/>
            </w:pPr>
            <w:r>
              <w:t xml:space="preserve">Nigeria (Jigawa Katsina Zamfara)</w:t>
            </w:r>
          </w:p>
        </w:tc>
        <w:tc>
          <w:tcPr/>
          <w:p>
            <w:pPr>
              <w:pStyle w:val="Compact"/>
              <w:jc w:val="left"/>
            </w:pPr>
            <w:r>
              <w:t xml:space="preserve">nan</w:t>
            </w:r>
          </w:p>
        </w:tc>
        <w:tc>
          <w:tcPr/>
          <w:p>
            <w:pPr>
              <w:pStyle w:val="Compact"/>
              <w:jc w:val="left"/>
            </w:pPr>
            <w:r>
              <w:t xml:space="preserve">Percentage point increase</w:t>
            </w:r>
          </w:p>
        </w:tc>
        <w:tc>
          <w:tcPr/>
          <w:p>
            <w:pPr>
              <w:pStyle w:val="Compact"/>
              <w:jc w:val="left"/>
            </w:pPr>
            <w:r>
              <w:t xml:space="preserve">9-18pp</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&lt;0.05</w:t>
            </w:r>
          </w:p>
        </w:tc>
        <w:tc>
          <w:tcPr/>
          <w:p>
            <w:pPr>
              <w:pStyle w:val="Compact"/>
              <w:jc w:val="left"/>
            </w:pPr>
            <w:r>
              <w:t xml:space="preserve">Largest vaccine incentive impact in published literature; cost $18.21/child</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Conditional incentive</w:t>
            </w:r>
          </w:p>
        </w:tc>
        <w:tc>
          <w:tcPr/>
          <w:p>
            <w:pPr>
              <w:pStyle w:val="Compact"/>
              <w:jc w:val="left"/>
            </w:pPr>
            <w:r>
              <w:t xml:space="preserve">a4</w:t>
            </w:r>
          </w:p>
        </w:tc>
        <w:tc>
          <w:tcPr/>
          <w:p>
            <w:pPr>
              <w:pStyle w:val="Compact"/>
              <w:jc w:val="left"/>
            </w:pPr>
            <w:r>
              <w:t xml:space="preserve">Banerjee et al. (India lentils)</w:t>
            </w:r>
          </w:p>
        </w:tc>
        <w:tc>
          <w:tcPr/>
          <w:p>
            <w:pPr>
              <w:pStyle w:val="Compact"/>
              <w:jc w:val="right"/>
            </w:pPr>
            <w:r>
              <w:t xml:space="preserve">2010</w:t>
            </w:r>
          </w:p>
        </w:tc>
        <w:tc>
          <w:tcPr/>
          <w:p>
            <w:pPr>
              <w:pStyle w:val="Compact"/>
              <w:jc w:val="left"/>
            </w:pPr>
            <w:r>
              <w:t xml:space="preserve">RCT</w:t>
            </w:r>
          </w:p>
        </w:tc>
        <w:tc>
          <w:tcPr/>
          <w:p>
            <w:pPr>
              <w:pStyle w:val="Compact"/>
              <w:jc w:val="left"/>
            </w:pPr>
            <w:r>
              <w:t xml:space="preserve">Rural Udaipur India</w:t>
            </w:r>
          </w:p>
        </w:tc>
        <w:tc>
          <w:tcPr/>
          <w:p>
            <w:pPr>
              <w:pStyle w:val="Compact"/>
              <w:jc w:val="left"/>
            </w:pPr>
            <w:r>
              <w:t xml:space="preserve">nan</w:t>
            </w:r>
          </w:p>
        </w:tc>
        <w:tc>
          <w:tcPr/>
          <w:p>
            <w:pPr>
              <w:pStyle w:val="Compact"/>
              <w:jc w:val="left"/>
            </w:pPr>
            <w:r>
              <w:t xml:space="preserve">Absolute increase</w:t>
            </w:r>
          </w:p>
        </w:tc>
        <w:tc>
          <w:tcPr/>
          <w:p>
            <w:pPr>
              <w:pStyle w:val="Compact"/>
              <w:jc w:val="left"/>
            </w:pPr>
            <w:r>
              <w:t xml:space="preserve">22pp</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&lt;0.001</w:t>
            </w:r>
          </w:p>
        </w:tc>
        <w:tc>
          <w:tcPr/>
          <w:p>
            <w:pPr>
              <w:pStyle w:val="Compact"/>
              <w:jc w:val="left"/>
            </w:pPr>
            <w:r>
              <w:t xml:space="preserve">38% vs 16% full immunisation; noncash incentive ~EUR1</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Conditional incentive</w:t>
            </w:r>
          </w:p>
        </w:tc>
        <w:tc>
          <w:tcPr/>
          <w:p>
            <w:pPr>
              <w:pStyle w:val="Compact"/>
              <w:jc w:val="left"/>
            </w:pPr>
            <w:r>
              <w:t xml:space="preserve">a4</w:t>
            </w:r>
          </w:p>
        </w:tc>
        <w:tc>
          <w:tcPr/>
          <w:p>
            <w:pPr>
              <w:pStyle w:val="Compact"/>
              <w:jc w:val="left"/>
            </w:pPr>
            <w:r>
              <w:t xml:space="preserve">Pakistan mCCT trial</w:t>
            </w:r>
          </w:p>
        </w:tc>
        <w:tc>
          <w:tcPr/>
          <w:p>
            <w:pPr>
              <w:pStyle w:val="Compact"/>
              <w:jc w:val="right"/>
            </w:pPr>
            <w:r>
              <w:t xml:space="preserve">2022</w:t>
            </w:r>
          </w:p>
        </w:tc>
        <w:tc>
          <w:tcPr/>
          <w:p>
            <w:pPr>
              <w:pStyle w:val="Compact"/>
              <w:jc w:val="left"/>
            </w:pPr>
            <w:r>
              <w:t xml:space="preserve">Multi-arm RCT</w:t>
            </w:r>
          </w:p>
        </w:tc>
        <w:tc>
          <w:tcPr/>
          <w:p>
            <w:pPr>
              <w:pStyle w:val="Compact"/>
              <w:jc w:val="left"/>
            </w:pPr>
            <w:r>
              <w:t xml:space="preserve">Pakistan</w:t>
            </w:r>
          </w:p>
        </w:tc>
        <w:tc>
          <w:tcPr/>
          <w:p>
            <w:pPr>
              <w:pStyle w:val="Compact"/>
              <w:jc w:val="left"/>
            </w:pPr>
            <w:r>
              <w:t xml:space="preserve">12000</w:t>
            </w:r>
          </w:p>
        </w:tc>
        <w:tc>
          <w:tcPr/>
          <w:p>
            <w:pPr>
              <w:pStyle w:val="Compact"/>
              <w:jc w:val="left"/>
            </w:pPr>
            <w:r>
              <w:t xml:space="preserve">OR (vaccination)</w:t>
            </w:r>
          </w:p>
        </w:tc>
        <w:tc>
          <w:tcPr/>
          <w:p>
            <w:pPr>
              <w:pStyle w:val="Compact"/>
              <w:jc w:val="left"/>
            </w:pPr>
            <w:r>
              <w:t xml:space="preserve">1.30</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&lt;0.05</w:t>
            </w:r>
          </w:p>
        </w:tc>
        <w:tc>
          <w:tcPr/>
          <w:p>
            <w:pPr>
              <w:pStyle w:val="Compact"/>
              <w:jc w:val="left"/>
            </w:pPr>
            <w:r>
              <w:t xml:space="preserve">SMS + cash incentives; varied payment amounts PKR80-240/visit</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Conditional incentive</w:t>
            </w:r>
          </w:p>
        </w:tc>
        <w:tc>
          <w:tcPr/>
          <w:p>
            <w:pPr>
              <w:pStyle w:val="Compact"/>
              <w:jc w:val="left"/>
            </w:pPr>
            <w:r>
              <w:t xml:space="preserve">a4</w:t>
            </w:r>
          </w:p>
        </w:tc>
        <w:tc>
          <w:tcPr/>
          <w:p>
            <w:pPr>
              <w:pStyle w:val="Compact"/>
              <w:jc w:val="left"/>
            </w:pPr>
            <w:r>
              <w:t xml:space="preserve">Meta-analysis of vaccination strategies</w:t>
            </w:r>
          </w:p>
        </w:tc>
        <w:tc>
          <w:tcPr/>
          <w:p>
            <w:pPr>
              <w:pStyle w:val="Compact"/>
              <w:jc w:val="right"/>
            </w:pPr>
            <w:r>
              <w:t xml:space="preserve">2025</w:t>
            </w:r>
          </w:p>
        </w:tc>
        <w:tc>
          <w:tcPr/>
          <w:p>
            <w:pPr>
              <w:pStyle w:val="Compact"/>
              <w:jc w:val="left"/>
            </w:pPr>
            <w:r>
              <w:t xml:space="preserve">Meta-analysis</w:t>
            </w:r>
          </w:p>
        </w:tc>
        <w:tc>
          <w:tcPr/>
          <w:p>
            <w:pPr>
              <w:pStyle w:val="Compact"/>
              <w:jc w:val="left"/>
            </w:pPr>
            <w:r>
              <w:t xml:space="preserve">Mixed</w:t>
            </w:r>
          </w:p>
        </w:tc>
        <w:tc>
          <w:tcPr/>
          <w:p>
            <w:pPr>
              <w:pStyle w:val="Compact"/>
              <w:jc w:val="left"/>
            </w:pPr>
            <w:r>
              <w:t xml:space="preserve">88 RCTs</w:t>
            </w:r>
          </w:p>
        </w:tc>
        <w:tc>
          <w:tcPr/>
          <w:p>
            <w:pPr>
              <w:pStyle w:val="Compact"/>
              <w:jc w:val="left"/>
            </w:pPr>
            <w:r>
              <w:t xml:space="preserve">OR (incentives)</w:t>
            </w:r>
          </w:p>
        </w:tc>
        <w:tc>
          <w:tcPr/>
          <w:p>
            <w:pPr>
              <w:pStyle w:val="Compact"/>
              <w:jc w:val="left"/>
            </w:pPr>
            <w:r>
              <w:t xml:space="preserve">1.34</w:t>
            </w:r>
          </w:p>
        </w:tc>
        <w:tc>
          <w:tcPr/>
          <w:p>
            <w:pPr>
              <w:pStyle w:val="Compact"/>
              <w:jc w:val="right"/>
            </w:pPr>
            <w:r>
              <w:t xml:space="preserve">1.08</w:t>
            </w:r>
          </w:p>
        </w:tc>
        <w:tc>
          <w:tcPr/>
          <w:p>
            <w:pPr>
              <w:pStyle w:val="Compact"/>
              <w:jc w:val="right"/>
            </w:pPr>
            <w:r>
              <w:t xml:space="preserve">1.67</w:t>
            </w:r>
          </w:p>
        </w:tc>
        <w:tc>
          <w:tcPr/>
          <w:p>
            <w:pPr>
              <w:pStyle w:val="Compact"/>
              <w:jc w:val="left"/>
            </w:pPr>
            <w:r>
              <w:t xml:space="preserve">0.03</w:t>
            </w:r>
          </w:p>
        </w:tc>
        <w:tc>
          <w:tcPr/>
          <w:p>
            <w:pPr>
              <w:pStyle w:val="Compact"/>
              <w:jc w:val="left"/>
            </w:pPr>
            <w:r>
              <w:t xml:space="preserve">Cohen’s d=0.16; consistent positive effects</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No intervention (baseline)</w:t>
            </w:r>
          </w:p>
        </w:tc>
        <w:tc>
          <w:tcPr/>
          <w:p>
            <w:pPr>
              <w:pStyle w:val="Compact"/>
              <w:jc w:val="left"/>
            </w:pPr>
            <w:r>
              <w:t xml:space="preserve">a0</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RR</w:t>
            </w:r>
          </w:p>
        </w:tc>
        <w:tc>
          <w:tcPr/>
          <w:p>
            <w:pPr>
              <w:pStyle w:val="Compact"/>
              <w:jc w:val="left"/>
            </w:pPr>
            <w:r>
              <w:t xml:space="preserve">1.00</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Reference category</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Cost: a1 SMS reminder (₦)</w:t>
            </w:r>
          </w:p>
        </w:tc>
        <w:tc>
          <w:tcPr/>
          <w:p>
            <w:pPr>
              <w:pStyle w:val="Compact"/>
              <w:jc w:val="right"/>
            </w:pPr>
            <w:r>
              <w:t xml:space="preserve">50</w:t>
            </w:r>
          </w:p>
        </w:tc>
        <w:tc>
          <w:tcPr/>
          <w:p>
            <w:pPr>
              <w:pStyle w:val="Compact"/>
              <w:jc w:val="right"/>
            </w:pPr>
            <w:r>
              <w:t xml:space="preserve">40</w:t>
            </w:r>
          </w:p>
        </w:tc>
        <w:tc>
          <w:tcPr/>
          <w:p>
            <w:pPr>
              <w:pStyle w:val="Compact"/>
              <w:jc w:val="right"/>
            </w:pPr>
            <w:r>
              <w:t xml:space="preserve">60</w:t>
            </w:r>
          </w:p>
        </w:tc>
        <w:tc>
          <w:tcPr/>
          <w:p>
            <w:pPr>
              <w:pStyle w:val="Compact"/>
              <w:jc w:val="left"/>
            </w:pPr>
            <w:r>
              <w:t xml:space="preserve">CLAUDE.md action space</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Cost: a2 CHW home visit (₦)</w:t>
            </w:r>
          </w:p>
        </w:tc>
        <w:tc>
          <w:tcPr/>
          <w:p>
            <w:pPr>
              <w:pStyle w:val="Compact"/>
              <w:jc w:val="right"/>
            </w:pPr>
            <w:r>
              <w:t xml:space="preserve">500</w:t>
            </w:r>
          </w:p>
        </w:tc>
        <w:tc>
          <w:tcPr/>
          <w:p>
            <w:pPr>
              <w:pStyle w:val="Compact"/>
              <w:jc w:val="right"/>
            </w:pPr>
            <w:r>
              <w:t xml:space="preserve">400</w:t>
            </w:r>
          </w:p>
        </w:tc>
        <w:tc>
          <w:tcPr/>
          <w:p>
            <w:pPr>
              <w:pStyle w:val="Compact"/>
              <w:jc w:val="right"/>
            </w:pPr>
            <w:r>
              <w:t xml:space="preserve">600</w:t>
            </w:r>
          </w:p>
        </w:tc>
        <w:tc>
          <w:tcPr/>
          <w:p>
            <w:pPr>
              <w:pStyle w:val="Compact"/>
              <w:jc w:val="left"/>
            </w:pPr>
            <w:r>
              <w:t xml:space="preserve">CLAUDE.md action space</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Cost: a3 Facility recall (₦)</w:t>
            </w:r>
          </w:p>
        </w:tc>
        <w:tc>
          <w:tcPr/>
          <w:p>
            <w:pPr>
              <w:pStyle w:val="Compact"/>
              <w:jc w:val="right"/>
            </w:pPr>
            <w:r>
              <w:t xml:space="preserve">1500</w:t>
            </w:r>
          </w:p>
        </w:tc>
        <w:tc>
          <w:tcPr/>
          <w:p>
            <w:pPr>
              <w:pStyle w:val="Compact"/>
              <w:jc w:val="right"/>
            </w:pPr>
            <w:r>
              <w:t xml:space="preserve">1200</w:t>
            </w:r>
          </w:p>
        </w:tc>
        <w:tc>
          <w:tcPr/>
          <w:p>
            <w:pPr>
              <w:pStyle w:val="Compact"/>
              <w:jc w:val="right"/>
            </w:pPr>
            <w:r>
              <w:t xml:space="preserve">1800</w:t>
            </w:r>
          </w:p>
        </w:tc>
        <w:tc>
          <w:tcPr/>
          <w:p>
            <w:pPr>
              <w:pStyle w:val="Compact"/>
              <w:jc w:val="left"/>
            </w:pPr>
            <w:r>
              <w:t xml:space="preserve">CLAUDE.md action space</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Cost: a4 Conditional incentive (₦)</w:t>
            </w:r>
          </w:p>
        </w:tc>
        <w:tc>
          <w:tcPr/>
          <w:p>
            <w:pPr>
              <w:pStyle w:val="Compact"/>
              <w:jc w:val="right"/>
            </w:pPr>
            <w:r>
              <w:t xml:space="preserve">800</w:t>
            </w:r>
          </w:p>
        </w:tc>
        <w:tc>
          <w:tcPr/>
          <w:p>
            <w:pPr>
              <w:pStyle w:val="Compact"/>
              <w:jc w:val="right"/>
            </w:pPr>
            <w:r>
              <w:t xml:space="preserve">600</w:t>
            </w:r>
          </w:p>
        </w:tc>
        <w:tc>
          <w:tcPr/>
          <w:p>
            <w:pPr>
              <w:pStyle w:val="Compact"/>
              <w:jc w:val="right"/>
            </w:pPr>
            <w:r>
              <w:t xml:space="preserve">1000</w:t>
            </w:r>
          </w:p>
        </w:tc>
        <w:tc>
          <w:tcPr/>
          <w:p>
            <w:pPr>
              <w:pStyle w:val="Compact"/>
              <w:jc w:val="left"/>
            </w:pPr>
            <w:r>
              <w:t xml:space="preserve">CLAUDE.md action space</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Reward: DTP3 completion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Fixed per reward specification</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Reward: next dose received</w:t>
            </w:r>
          </w:p>
        </w:tc>
        <w:tc>
          <w:tcPr/>
          <w:p>
            <w:pPr>
              <w:pStyle w:val="Compact"/>
              <w:jc w:val="right"/>
            </w:pPr>
            <w:r>
              <w:t xml:space="preserve">0.3</w:t>
            </w:r>
          </w:p>
        </w:tc>
        <w:tc>
          <w:tcPr/>
          <w:p>
            <w:pPr>
              <w:pStyle w:val="Compact"/>
              <w:jc w:val="right"/>
            </w:pPr>
            <w:r>
              <w:t xml:space="preserve">0.2</w:t>
            </w:r>
          </w:p>
        </w:tc>
        <w:tc>
          <w:tcPr/>
          <w:p>
            <w:pPr>
              <w:pStyle w:val="Compact"/>
              <w:jc w:val="right"/>
            </w:pPr>
            <w:r>
              <w:t xml:space="preserve">0.4</w:t>
            </w:r>
          </w:p>
        </w:tc>
        <w:tc>
          <w:tcPr/>
          <w:p>
            <w:pPr>
              <w:pStyle w:val="Compact"/>
              <w:jc w:val="left"/>
            </w:pPr>
            <w:r>
              <w:t xml:space="preserve">Fixed per reward specification</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Cost weight λ</w:t>
            </w:r>
          </w:p>
        </w:tc>
        <w:tc>
          <w:tcPr/>
          <w:p>
            <w:pPr>
              <w:pStyle w:val="Compact"/>
              <w:jc w:val="right"/>
            </w:pPr>
            <w:r>
              <w:t xml:space="preserve">0.001</w:t>
            </w:r>
          </w:p>
        </w:tc>
        <w:tc>
          <w:tcPr/>
          <w:p>
            <w:pPr>
              <w:pStyle w:val="Compact"/>
              <w:jc w:val="right"/>
            </w:pPr>
            <w:r>
              <w:t xml:space="preserve">0.0005</w:t>
            </w:r>
          </w:p>
        </w:tc>
        <w:tc>
          <w:tcPr/>
          <w:p>
            <w:pPr>
              <w:pStyle w:val="Compact"/>
              <w:jc w:val="right"/>
            </w:pPr>
            <w:r>
              <w:t xml:space="preserve">0.002</w:t>
            </w:r>
          </w:p>
        </w:tc>
        <w:tc>
          <w:tcPr/>
          <w:p>
            <w:pPr>
              <w:pStyle w:val="Compact"/>
              <w:jc w:val="left"/>
            </w:pPr>
            <w:r>
              <w:t xml:space="preserve">CLAUDE.md reward function</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Willingness-to-pay (₦ / % coverage)</w:t>
            </w:r>
          </w:p>
        </w:tc>
        <w:tc>
          <w:tcPr/>
          <w:p>
            <w:pPr>
              <w:pStyle w:val="Compact"/>
              <w:jc w:val="right"/>
            </w:pPr>
            <w:r>
              <w:t xml:space="preserve">50000</w:t>
            </w:r>
          </w:p>
        </w:tc>
        <w:tc>
          <w:tcPr/>
          <w:p>
            <w:pPr>
              <w:pStyle w:val="Compact"/>
              <w:jc w:val="right"/>
            </w:pPr>
            <w:r>
              <w:t xml:space="preserve">25000</w:t>
            </w:r>
          </w:p>
        </w:tc>
        <w:tc>
          <w:tcPr/>
          <w:p>
            <w:pPr>
              <w:pStyle w:val="Compact"/>
              <w:jc w:val="right"/>
            </w:pPr>
            <w:r>
              <w:t xml:space="preserve">100000</w:t>
            </w:r>
          </w:p>
        </w:tc>
        <w:tc>
          <w:tcPr/>
          <w:p>
            <w:pPr>
              <w:pStyle w:val="Compact"/>
              <w:jc w:val="left"/>
            </w:pPr>
            <w:r>
              <w:t xml:space="preserve">Nigerian per-capita GDP benchmark</w:t>
            </w:r>
          </w:p>
        </w:tc>
      </w:tr>
    </w:tbl>
    <w:p>
      <w:pPr>
        <w:pStyle w:val="BodyText"/>
      </w:pPr>
      <w:r>
        <w:rPr>
          <w:i/>
          <w:iCs/>
        </w:rPr>
        <w:t xml:space="preserve">Intervention effect sizes sourced from outputs/literature/intervention_effect_sizes.csv. Costs in 2026 Nigerian Naira.</w:t>
      </w:r>
    </w:p>
    <w:p>
      <w:r>
        <w:pict>
          <v:rect style="width:0;height:1.5pt" o:hralign="center" o:hrstd="t" o:hr="t"/>
        </w:pict>
      </w:r>
    </w:p>
    <w:bookmarkEnd w:id="21"/>
    <w:bookmarkStart w:id="22" w:name="s2.2-reproducibility-parameters"/>
    <w:p>
      <w:pPr>
        <w:pStyle w:val="Heading2"/>
      </w:pPr>
      <w:r>
        <w:t xml:space="preserve">S2.2 Reproducibility parameters</w:t>
      </w:r>
    </w:p>
    <w:p>
      <w:pPr>
        <w:pStyle w:val="FirstParagraph"/>
      </w:pPr>
      <w:r>
        <w:rPr>
          <w:b/>
          <w:bCs/>
        </w:rPr>
        <w:t xml:space="preserve">Table S2.2. Reproducibility parameters: software versions, seeds, cross-validation configuration, model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Python</w:t>
            </w:r>
          </w:p>
        </w:tc>
        <w:tc>
          <w:tcPr/>
          <w:p>
            <w:pPr>
              <w:pStyle w:val="Compact"/>
              <w:jc w:val="left"/>
            </w:pPr>
            <w:r>
              <w:t xml:space="preserve">3.13.9</w:t>
            </w:r>
          </w:p>
        </w:tc>
      </w:tr>
      <w:tr>
        <w:tc>
          <w:tcPr/>
          <w:p>
            <w:pPr>
              <w:pStyle w:val="Compact"/>
              <w:jc w:val="left"/>
            </w:pPr>
            <w:r>
              <w:t xml:space="preserve">numpy</w:t>
            </w:r>
          </w:p>
        </w:tc>
        <w:tc>
          <w:tcPr/>
          <w:p>
            <w:pPr>
              <w:pStyle w:val="Compact"/>
              <w:jc w:val="left"/>
            </w:pPr>
            <w:r>
              <w:t xml:space="preserve">2.3.5</w:t>
            </w:r>
          </w:p>
        </w:tc>
      </w:tr>
      <w:tr>
        <w:tc>
          <w:tcPr/>
          <w:p>
            <w:pPr>
              <w:pStyle w:val="Compact"/>
              <w:jc w:val="left"/>
            </w:pPr>
            <w:r>
              <w:t xml:space="preserve">pandas</w:t>
            </w:r>
          </w:p>
        </w:tc>
        <w:tc>
          <w:tcPr/>
          <w:p>
            <w:pPr>
              <w:pStyle w:val="Compact"/>
              <w:jc w:val="left"/>
            </w:pPr>
            <w:r>
              <w:t xml:space="preserve">2.3.3</w:t>
            </w:r>
          </w:p>
        </w:tc>
      </w:tr>
      <w:tr>
        <w:tc>
          <w:tcPr/>
          <w:p>
            <w:pPr>
              <w:pStyle w:val="Compact"/>
              <w:jc w:val="left"/>
            </w:pPr>
            <w:r>
              <w:t xml:space="preserve">xgboost</w:t>
            </w:r>
          </w:p>
        </w:tc>
        <w:tc>
          <w:tcPr/>
          <w:p>
            <w:pPr>
              <w:pStyle w:val="Compact"/>
              <w:jc w:val="left"/>
            </w:pPr>
            <w:r>
              <w:t xml:space="preserve">3.2.0</w:t>
            </w:r>
          </w:p>
        </w:tc>
      </w:tr>
      <w:tr>
        <w:tc>
          <w:tcPr/>
          <w:p>
            <w:pPr>
              <w:pStyle w:val="Compact"/>
              <w:jc w:val="left"/>
            </w:pPr>
            <w:r>
              <w:t xml:space="preserve">scikit-learn</w:t>
            </w:r>
          </w:p>
        </w:tc>
        <w:tc>
          <w:tcPr/>
          <w:p>
            <w:pPr>
              <w:pStyle w:val="Compact"/>
              <w:jc w:val="left"/>
            </w:pPr>
            <w:r>
              <w:t xml:space="preserve">not installed</w:t>
            </w:r>
          </w:p>
        </w:tc>
      </w:tr>
      <w:tr>
        <w:tc>
          <w:tcPr/>
          <w:p>
            <w:pPr>
              <w:pStyle w:val="Compact"/>
              <w:jc w:val="left"/>
            </w:pPr>
            <w:r>
              <w:t xml:space="preserve">shap</w:t>
            </w:r>
          </w:p>
        </w:tc>
        <w:tc>
          <w:tcPr/>
          <w:p>
            <w:pPr>
              <w:pStyle w:val="Compact"/>
              <w:jc w:val="left"/>
            </w:pPr>
            <w:r>
              <w:t xml:space="preserve">0.51.0</w:t>
            </w:r>
          </w:p>
        </w:tc>
      </w:tr>
      <w:tr>
        <w:tc>
          <w:tcPr/>
          <w:p>
            <w:pPr>
              <w:pStyle w:val="Compact"/>
              <w:jc w:val="left"/>
            </w:pPr>
            <w:r>
              <w:t xml:space="preserve">matplotlib</w:t>
            </w:r>
          </w:p>
        </w:tc>
        <w:tc>
          <w:tcPr/>
          <w:p>
            <w:pPr>
              <w:pStyle w:val="Compact"/>
              <w:jc w:val="left"/>
            </w:pPr>
            <w:r>
              <w:t xml:space="preserve">3.10.6</w:t>
            </w:r>
          </w:p>
        </w:tc>
      </w:tr>
      <w:tr>
        <w:tc>
          <w:tcPr/>
          <w:p>
            <w:pPr>
              <w:pStyle w:val="Compact"/>
              <w:jc w:val="left"/>
            </w:pPr>
            <w:r>
              <w:t xml:space="preserve">geopandas</w:t>
            </w:r>
          </w:p>
        </w:tc>
        <w:tc>
          <w:tcPr/>
          <w:p>
            <w:pPr>
              <w:pStyle w:val="Compact"/>
              <w:jc w:val="left"/>
            </w:pPr>
            <w:r>
              <w:t xml:space="preserve">1.1.3</w:t>
            </w:r>
          </w:p>
        </w:tc>
      </w:tr>
      <w:tr>
        <w:tc>
          <w:tcPr/>
          <w:p>
            <w:pPr>
              <w:pStyle w:val="Compact"/>
              <w:jc w:val="left"/>
            </w:pPr>
            <w:r>
              <w:t xml:space="preserve">statsmodels</w:t>
            </w:r>
          </w:p>
        </w:tc>
        <w:tc>
          <w:tcPr/>
          <w:p>
            <w:pPr>
              <w:pStyle w:val="Compact"/>
              <w:jc w:val="left"/>
            </w:pPr>
            <w:r>
              <w:t xml:space="preserve">0.14.5</w:t>
            </w:r>
          </w:p>
        </w:tc>
      </w:tr>
      <w:tr>
        <w:tc>
          <w:tcPr/>
          <w:p>
            <w:pPr>
              <w:pStyle w:val="Compact"/>
              <w:jc w:val="left"/>
            </w:pPr>
            <w:r>
              <w:t xml:space="preserve">Random seed</w:t>
            </w:r>
          </w:p>
        </w:tc>
        <w:tc>
          <w:tcPr/>
          <w:p>
            <w:pPr>
              <w:pStyle w:val="Compact"/>
              <w:jc w:val="left"/>
            </w:pPr>
            <w:r>
              <w:t xml:space="preserve">42</w:t>
            </w:r>
          </w:p>
        </w:tc>
      </w:tr>
      <w:tr>
        <w:tc>
          <w:tcPr/>
          <w:p>
            <w:pPr>
              <w:pStyle w:val="Compact"/>
              <w:jc w:val="left"/>
            </w:pPr>
            <w:r>
              <w:t xml:space="preserve">CV folds</w:t>
            </w:r>
          </w:p>
        </w:tc>
        <w:tc>
          <w:tcPr/>
          <w:p>
            <w:pPr>
              <w:pStyle w:val="Compact"/>
              <w:jc w:val="left"/>
            </w:pPr>
            <w:r>
              <w:t xml:space="preserve">5 (stratified)</w:t>
            </w:r>
          </w:p>
        </w:tc>
      </w:tr>
      <w:tr>
        <w:tc>
          <w:tcPr/>
          <w:p>
            <w:pPr>
              <w:pStyle w:val="Compact"/>
              <w:jc w:val="left"/>
            </w:pPr>
            <w:r>
              <w:t xml:space="preserve">bootstrap iterations</w:t>
            </w:r>
          </w:p>
        </w:tc>
        <w:tc>
          <w:tcPr/>
          <w:p>
            <w:pPr>
              <w:pStyle w:val="Compact"/>
              <w:jc w:val="left"/>
            </w:pPr>
            <w:r>
              <w:t xml:space="preserve">1,000</w:t>
            </w:r>
          </w:p>
        </w:tc>
      </w:tr>
      <w:tr>
        <w:tc>
          <w:tcPr/>
          <w:p>
            <w:pPr>
              <w:pStyle w:val="Compact"/>
              <w:jc w:val="left"/>
            </w:pPr>
            <w:r>
              <w:t xml:space="preserve">PSA iterations</w:t>
            </w:r>
          </w:p>
        </w:tc>
        <w:tc>
          <w:tcPr/>
          <w:p>
            <w:pPr>
              <w:pStyle w:val="Compact"/>
              <w:jc w:val="left"/>
            </w:pPr>
            <w:r>
              <w:t xml:space="preserve">1,000</w:t>
            </w:r>
          </w:p>
        </w:tc>
      </w:tr>
      <w:tr>
        <w:tc>
          <w:tcPr/>
          <w:p>
            <w:pPr>
              <w:pStyle w:val="Compact"/>
              <w:jc w:val="left"/>
            </w:pPr>
            <w:r>
              <w:t xml:space="preserve">XGBoost n_estimators</w:t>
            </w:r>
          </w:p>
        </w:tc>
        <w:tc>
          <w:tcPr/>
          <w:p>
            <w:pPr>
              <w:pStyle w:val="Compact"/>
              <w:jc w:val="left"/>
            </w:pPr>
            <w:r>
              <w:t xml:space="preserve">500</w:t>
            </w:r>
          </w:p>
        </w:tc>
      </w:tr>
      <w:tr>
        <w:tc>
          <w:tcPr/>
          <w:p>
            <w:pPr>
              <w:pStyle w:val="Compact"/>
              <w:jc w:val="left"/>
            </w:pPr>
            <w:r>
              <w:t xml:space="preserve">XGBoost max_depth</w:t>
            </w:r>
          </w:p>
        </w:tc>
        <w:tc>
          <w:tcPr/>
          <w:p>
            <w:pPr>
              <w:pStyle w:val="Compact"/>
              <w:jc w:val="left"/>
            </w:pPr>
            <w:r>
              <w:t xml:space="preserve">6</w:t>
            </w:r>
          </w:p>
        </w:tc>
      </w:tr>
      <w:tr>
        <w:tc>
          <w:tcPr/>
          <w:p>
            <w:pPr>
              <w:pStyle w:val="Compact"/>
              <w:jc w:val="left"/>
            </w:pPr>
            <w:r>
              <w:t xml:space="preserve">FQI iterations</w:t>
            </w:r>
          </w:p>
        </w:tc>
        <w:tc>
          <w:tcPr/>
          <w:p>
            <w:pPr>
              <w:pStyle w:val="Compact"/>
              <w:jc w:val="left"/>
            </w:pPr>
            <w:r>
              <w:t xml:space="preserve">100</w:t>
            </w:r>
          </w:p>
        </w:tc>
      </w:tr>
      <w:tr>
        <w:tc>
          <w:tcPr/>
          <w:p>
            <w:pPr>
              <w:pStyle w:val="Compact"/>
              <w:jc w:val="left"/>
            </w:pPr>
            <w:r>
              <w:t xml:space="preserve">CQL α</w:t>
            </w:r>
          </w:p>
        </w:tc>
        <w:tc>
          <w:tcPr/>
          <w:p>
            <w:pPr>
              <w:pStyle w:val="Compact"/>
              <w:jc w:val="left"/>
            </w:pPr>
            <w:r>
              <w:t xml:space="preserve">1.0 (base)</w:t>
            </w:r>
          </w:p>
        </w:tc>
      </w:tr>
      <w:tr>
        <w:tc>
          <w:tcPr/>
          <w:p>
            <w:pPr>
              <w:pStyle w:val="Compact"/>
              <w:jc w:val="left"/>
            </w:pPr>
            <w:r>
              <w:t xml:space="preserve">Repo commit</w:t>
            </w:r>
          </w:p>
        </w:tc>
        <w:tc>
          <w:tcPr/>
          <w:p>
            <w:pPr>
              <w:pStyle w:val="Compact"/>
              <w:jc w:val="left"/>
            </w:pPr>
            <w:r>
              <w:t xml:space="preserve">see docs/pipeline_audit_log.md</w:t>
            </w:r>
          </w:p>
        </w:tc>
      </w:tr>
    </w:tbl>
    <w:bookmarkEnd w:id="22"/>
    <w:bookmarkEnd w:id="23"/>
    <w:bookmarkStart w:id="90" w:name="Xae2b2bd0098be99649d50651edc53f954e2b257"/>
    <w:p>
      <w:pPr>
        <w:pStyle w:val="Heading1"/>
      </w:pPr>
      <w:r>
        <w:t xml:space="preserve">Supplementary Material S3 — Figures and Tables</w:t>
      </w:r>
    </w:p>
    <w:bookmarkStart w:id="30" w:name="s3.1-supplementary-tables"/>
    <w:p>
      <w:pPr>
        <w:pStyle w:val="Heading2"/>
      </w:pPr>
      <w:r>
        <w:t xml:space="preserve">S3.1 Supplementary Tables</w:t>
      </w:r>
    </w:p>
    <w:bookmarkStart w:id="24" w:name="Xdcbc08c855641ffd11ad9380310676cf1f056dd"/>
    <w:p>
      <w:pPr>
        <w:pStyle w:val="Heading3"/>
      </w:pPr>
      <w:r>
        <w:t xml:space="preserve">Table S1 — Subgroup prediction performance by geopolitical zone</w:t>
      </w:r>
    </w:p>
    <w:p>
      <w:pPr>
        <w:pStyle w:val="FirstParagraph"/>
      </w:pPr>
      <w:r>
        <w:rPr>
          <w:b/>
          <w:bCs/>
        </w:rPr>
        <w:t xml:space="preserve">Table S. Subgroup prediction performance by zone.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group</w:t>
            </w:r>
          </w:p>
        </w:tc>
        <w:tc>
          <w:tcPr/>
          <w:p>
            <w:pPr>
              <w:pStyle w:val="Compact"/>
              <w:jc w:val="right"/>
            </w:pPr>
            <w:r>
              <w:t xml:space="preserve">predicted</w:t>
            </w:r>
          </w:p>
        </w:tc>
        <w:tc>
          <w:tcPr/>
          <w:p>
            <w:pPr>
              <w:pStyle w:val="Compact"/>
              <w:jc w:val="right"/>
            </w:pPr>
            <w:r>
              <w:t xml:space="preserve">observed</w:t>
            </w:r>
          </w:p>
        </w:tc>
        <w:tc>
          <w:tcPr/>
          <w:p>
            <w:pPr>
              <w:pStyle w:val="Compact"/>
              <w:jc w:val="right"/>
            </w:pPr>
            <w:r>
              <w:t xml:space="preserve">absolute_error</w:t>
            </w:r>
          </w:p>
        </w:tc>
        <w:tc>
          <w:tcPr/>
          <w:p>
            <w:pPr>
              <w:pStyle w:val="Compact"/>
              <w:jc w:val="left"/>
            </w:pPr>
            <w:r>
              <w:t xml:space="preserve">flagged</w:t>
            </w:r>
          </w:p>
        </w:tc>
      </w:tr>
      <w:tr>
        <w:tc>
          <w:tcPr/>
          <w:p>
            <w:pPr>
              <w:pStyle w:val="Compact"/>
              <w:jc w:val="right"/>
            </w:pPr>
            <w:r>
              <w:t xml:space="preserve">3</w:t>
            </w:r>
          </w:p>
        </w:tc>
        <w:tc>
          <w:tcPr/>
          <w:p>
            <w:pPr>
              <w:pStyle w:val="Compact"/>
              <w:jc w:val="right"/>
            </w:pPr>
            <w:r>
              <w:t xml:space="preserve">0.891</w:t>
            </w:r>
          </w:p>
        </w:tc>
        <w:tc>
          <w:tcPr/>
          <w:p>
            <w:pPr>
              <w:pStyle w:val="Compact"/>
              <w:jc w:val="right"/>
            </w:pPr>
            <w:r>
              <w:t xml:space="preserve">0.862</w:t>
            </w:r>
          </w:p>
        </w:tc>
        <w:tc>
          <w:tcPr/>
          <w:p>
            <w:pPr>
              <w:pStyle w:val="Compact"/>
              <w:jc w:val="right"/>
            </w:pPr>
            <w:r>
              <w:t xml:space="preserve">0.028</w:t>
            </w:r>
          </w:p>
        </w:tc>
        <w:tc>
          <w:tcPr/>
          <w:p>
            <w:pPr>
              <w:pStyle w:val="Compact"/>
              <w:jc w:val="left"/>
            </w:pPr>
            <w:r>
              <w:t xml:space="preserve">False</w:t>
            </w:r>
          </w:p>
        </w:tc>
      </w:tr>
      <w:tr>
        <w:tc>
          <w:tcPr/>
          <w:p>
            <w:pPr>
              <w:pStyle w:val="Compact"/>
              <w:jc w:val="right"/>
            </w:pPr>
            <w:r>
              <w:t xml:space="preserve">2</w:t>
            </w:r>
          </w:p>
        </w:tc>
        <w:tc>
          <w:tcPr/>
          <w:p>
            <w:pPr>
              <w:pStyle w:val="Compact"/>
              <w:jc w:val="right"/>
            </w:pPr>
            <w:r>
              <w:t xml:space="preserve">0.886</w:t>
            </w:r>
          </w:p>
        </w:tc>
        <w:tc>
          <w:tcPr/>
          <w:p>
            <w:pPr>
              <w:pStyle w:val="Compact"/>
              <w:jc w:val="right"/>
            </w:pPr>
            <w:r>
              <w:t xml:space="preserve">0.832</w:t>
            </w:r>
          </w:p>
        </w:tc>
        <w:tc>
          <w:tcPr/>
          <w:p>
            <w:pPr>
              <w:pStyle w:val="Compact"/>
              <w:jc w:val="right"/>
            </w:pPr>
            <w:r>
              <w:t xml:space="preserve">0.055</w:t>
            </w:r>
          </w:p>
        </w:tc>
        <w:tc>
          <w:tcPr/>
          <w:p>
            <w:pPr>
              <w:pStyle w:val="Compact"/>
              <w:jc w:val="left"/>
            </w:pPr>
            <w:r>
              <w:t xml:space="preserve">True</w:t>
            </w:r>
          </w:p>
        </w:tc>
      </w:tr>
      <w:tr>
        <w:tc>
          <w:tcPr/>
          <w:p>
            <w:pPr>
              <w:pStyle w:val="Compact"/>
              <w:jc w:val="right"/>
            </w:pPr>
            <w:r>
              <w:t xml:space="preserve">1</w:t>
            </w:r>
          </w:p>
        </w:tc>
        <w:tc>
          <w:tcPr/>
          <w:p>
            <w:pPr>
              <w:pStyle w:val="Compact"/>
              <w:jc w:val="right"/>
            </w:pPr>
            <w:r>
              <w:t xml:space="preserve">0.878</w:t>
            </w:r>
          </w:p>
        </w:tc>
        <w:tc>
          <w:tcPr/>
          <w:p>
            <w:pPr>
              <w:pStyle w:val="Compact"/>
              <w:jc w:val="right"/>
            </w:pPr>
            <w:r>
              <w:t xml:space="preserve">0.804</w:t>
            </w:r>
          </w:p>
        </w:tc>
        <w:tc>
          <w:tcPr/>
          <w:p>
            <w:pPr>
              <w:pStyle w:val="Compact"/>
              <w:jc w:val="right"/>
            </w:pPr>
            <w:r>
              <w:t xml:space="preserve">0.074</w:t>
            </w:r>
          </w:p>
        </w:tc>
        <w:tc>
          <w:tcPr/>
          <w:p>
            <w:pPr>
              <w:pStyle w:val="Compact"/>
              <w:jc w:val="left"/>
            </w:pPr>
            <w:r>
              <w:t xml:space="preserve">True</w:t>
            </w:r>
          </w:p>
        </w:tc>
      </w:tr>
      <w:tr>
        <w:tc>
          <w:tcPr/>
          <w:p>
            <w:pPr>
              <w:pStyle w:val="Compact"/>
              <w:jc w:val="right"/>
            </w:pPr>
            <w:r>
              <w:t xml:space="preserve">6</w:t>
            </w:r>
          </w:p>
        </w:tc>
        <w:tc>
          <w:tcPr/>
          <w:p>
            <w:pPr>
              <w:pStyle w:val="Compact"/>
              <w:jc w:val="right"/>
            </w:pPr>
            <w:r>
              <w:t xml:space="preserve">0.945</w:t>
            </w:r>
          </w:p>
        </w:tc>
        <w:tc>
          <w:tcPr/>
          <w:p>
            <w:pPr>
              <w:pStyle w:val="Compact"/>
              <w:jc w:val="right"/>
            </w:pPr>
            <w:r>
              <w:t xml:space="preserve">0.870</w:t>
            </w:r>
          </w:p>
        </w:tc>
        <w:tc>
          <w:tcPr/>
          <w:p>
            <w:pPr>
              <w:pStyle w:val="Compact"/>
              <w:jc w:val="right"/>
            </w:pPr>
            <w:r>
              <w:t xml:space="preserve">0.075</w:t>
            </w:r>
          </w:p>
        </w:tc>
        <w:tc>
          <w:tcPr/>
          <w:p>
            <w:pPr>
              <w:pStyle w:val="Compact"/>
              <w:jc w:val="left"/>
            </w:pPr>
            <w:r>
              <w:t xml:space="preserve">True</w:t>
            </w:r>
          </w:p>
        </w:tc>
      </w:tr>
      <w:tr>
        <w:tc>
          <w:tcPr/>
          <w:p>
            <w:pPr>
              <w:pStyle w:val="Compact"/>
              <w:jc w:val="right"/>
            </w:pPr>
            <w:r>
              <w:t xml:space="preserve">5</w:t>
            </w:r>
          </w:p>
        </w:tc>
        <w:tc>
          <w:tcPr/>
          <w:p>
            <w:pPr>
              <w:pStyle w:val="Compact"/>
              <w:jc w:val="right"/>
            </w:pPr>
            <w:r>
              <w:t xml:space="preserve">0.960</w:t>
            </w:r>
          </w:p>
        </w:tc>
        <w:tc>
          <w:tcPr/>
          <w:p>
            <w:pPr>
              <w:pStyle w:val="Compact"/>
              <w:jc w:val="right"/>
            </w:pPr>
            <w:r>
              <w:t xml:space="preserve">0.914</w:t>
            </w:r>
          </w:p>
        </w:tc>
        <w:tc>
          <w:tcPr/>
          <w:p>
            <w:pPr>
              <w:pStyle w:val="Compact"/>
              <w:jc w:val="right"/>
            </w:pPr>
            <w:r>
              <w:t xml:space="preserve">0.046</w:t>
            </w:r>
          </w:p>
        </w:tc>
        <w:tc>
          <w:tcPr/>
          <w:p>
            <w:pPr>
              <w:pStyle w:val="Compact"/>
              <w:jc w:val="left"/>
            </w:pPr>
            <w:r>
              <w:t xml:space="preserve">True</w:t>
            </w:r>
          </w:p>
        </w:tc>
      </w:tr>
      <w:tr>
        <w:tc>
          <w:tcPr/>
          <w:p>
            <w:pPr>
              <w:pStyle w:val="Compact"/>
              <w:jc w:val="right"/>
            </w:pPr>
            <w:r>
              <w:t xml:space="preserve">4</w:t>
            </w:r>
          </w:p>
        </w:tc>
        <w:tc>
          <w:tcPr/>
          <w:p>
            <w:pPr>
              <w:pStyle w:val="Compact"/>
              <w:jc w:val="right"/>
            </w:pPr>
            <w:r>
              <w:t xml:space="preserve">0.943</w:t>
            </w:r>
          </w:p>
        </w:tc>
        <w:tc>
          <w:tcPr/>
          <w:p>
            <w:pPr>
              <w:pStyle w:val="Compact"/>
              <w:jc w:val="right"/>
            </w:pPr>
            <w:r>
              <w:t xml:space="preserve">0.859</w:t>
            </w:r>
          </w:p>
        </w:tc>
        <w:tc>
          <w:tcPr/>
          <w:p>
            <w:pPr>
              <w:pStyle w:val="Compact"/>
              <w:jc w:val="right"/>
            </w:pPr>
            <w:r>
              <w:t xml:space="preserve">0.084</w:t>
            </w:r>
          </w:p>
        </w:tc>
        <w:tc>
          <w:tcPr/>
          <w:p>
            <w:pPr>
              <w:pStyle w:val="Compact"/>
              <w:jc w:val="left"/>
            </w:pPr>
            <w:r>
              <w:t xml:space="preserve">True</w:t>
            </w:r>
          </w:p>
        </w:tc>
      </w:tr>
    </w:tbl>
    <w:p>
      <w:pPr>
        <w:pStyle w:val="BodyText"/>
      </w:pPr>
      <w:r>
        <w:rPr>
          <w:i/>
          <w:iCs/>
        </w:rPr>
        <w:t xml:space="preserve">AUROC and Brier reported with 95 % bootstrap CI.</w:t>
      </w:r>
    </w:p>
    <w:p>
      <w:pPr>
        <w:pStyle w:val="BodyText"/>
      </w:pPr>
      <w:r>
        <w:t xml:space="preserve">Zone codes: 1 = North Central, 2 = North East, 3 = North West, 4 = South East, 5 = South South, 6 = South West (Nigeria DHS geopolitical zone coding). Flagged = absolute error between predicted and observed DTP3 completion &gt; 0.05.</w:t>
      </w:r>
    </w:p>
    <w:p>
      <w:r>
        <w:pict>
          <v:rect style="width:0;height:1.5pt" o:hralign="center" o:hrstd="t" o:hr="t"/>
        </w:pict>
      </w:r>
    </w:p>
    <w:bookmarkEnd w:id="24"/>
    <w:bookmarkStart w:id="25" w:name="Xdbde2146dda5d7ccb42c8841d91a66fad22292c"/>
    <w:p>
      <w:pPr>
        <w:pStyle w:val="Heading3"/>
      </w:pPr>
      <w:r>
        <w:t xml:space="preserve">Table S2 — Subgroup prediction performance by state</w:t>
      </w:r>
    </w:p>
    <w:p>
      <w:pPr>
        <w:pStyle w:val="FirstParagraph"/>
      </w:pPr>
      <w:r>
        <w:rPr>
          <w:b/>
          <w:bCs/>
        </w:rPr>
        <w:t xml:space="preserve">Table S. Subgroup prediction performance by state.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group</w:t>
            </w:r>
          </w:p>
        </w:tc>
        <w:tc>
          <w:tcPr/>
          <w:p>
            <w:pPr>
              <w:pStyle w:val="Compact"/>
              <w:jc w:val="right"/>
            </w:pPr>
            <w:r>
              <w:t xml:space="preserve">predicted</w:t>
            </w:r>
          </w:p>
        </w:tc>
        <w:tc>
          <w:tcPr/>
          <w:p>
            <w:pPr>
              <w:pStyle w:val="Compact"/>
              <w:jc w:val="right"/>
            </w:pPr>
            <w:r>
              <w:t xml:space="preserve">observed</w:t>
            </w:r>
          </w:p>
        </w:tc>
        <w:tc>
          <w:tcPr/>
          <w:p>
            <w:pPr>
              <w:pStyle w:val="Compact"/>
              <w:jc w:val="right"/>
            </w:pPr>
            <w:r>
              <w:t xml:space="preserve">absolute_error</w:t>
            </w:r>
          </w:p>
        </w:tc>
        <w:tc>
          <w:tcPr/>
          <w:p>
            <w:pPr>
              <w:pStyle w:val="Compact"/>
              <w:jc w:val="left"/>
            </w:pPr>
            <w:r>
              <w:t xml:space="preserve">flagged</w:t>
            </w:r>
          </w:p>
        </w:tc>
      </w:tr>
      <w:tr>
        <w:tc>
          <w:tcPr/>
          <w:p>
            <w:pPr>
              <w:pStyle w:val="Compact"/>
              <w:jc w:val="right"/>
            </w:pPr>
            <w:r>
              <w:t xml:space="preserve">1</w:t>
            </w:r>
          </w:p>
        </w:tc>
        <w:tc>
          <w:tcPr/>
          <w:p>
            <w:pPr>
              <w:pStyle w:val="Compact"/>
              <w:jc w:val="right"/>
            </w:pPr>
            <w:r>
              <w:t xml:space="preserve">0.752</w:t>
            </w:r>
          </w:p>
        </w:tc>
        <w:tc>
          <w:tcPr/>
          <w:p>
            <w:pPr>
              <w:pStyle w:val="Compact"/>
              <w:jc w:val="right"/>
            </w:pPr>
            <w:r>
              <w:t xml:space="preserve">0.750</w:t>
            </w:r>
          </w:p>
        </w:tc>
        <w:tc>
          <w:tcPr/>
          <w:p>
            <w:pPr>
              <w:pStyle w:val="Compact"/>
              <w:jc w:val="right"/>
            </w:pPr>
            <w:r>
              <w:t xml:space="preserve">0.002</w:t>
            </w:r>
          </w:p>
        </w:tc>
        <w:tc>
          <w:tcPr/>
          <w:p>
            <w:pPr>
              <w:pStyle w:val="Compact"/>
              <w:jc w:val="left"/>
            </w:pPr>
            <w:r>
              <w:t xml:space="preserve">False</w:t>
            </w:r>
          </w:p>
        </w:tc>
      </w:tr>
      <w:tr>
        <w:tc>
          <w:tcPr/>
          <w:p>
            <w:pPr>
              <w:pStyle w:val="Compact"/>
              <w:jc w:val="right"/>
            </w:pPr>
            <w:r>
              <w:t xml:space="preserve">2</w:t>
            </w:r>
          </w:p>
        </w:tc>
        <w:tc>
          <w:tcPr/>
          <w:p>
            <w:pPr>
              <w:pStyle w:val="Compact"/>
              <w:jc w:val="right"/>
            </w:pPr>
            <w:r>
              <w:t xml:space="preserve">0.815</w:t>
            </w:r>
          </w:p>
        </w:tc>
        <w:tc>
          <w:tcPr/>
          <w:p>
            <w:pPr>
              <w:pStyle w:val="Compact"/>
              <w:jc w:val="right"/>
            </w:pPr>
            <w:r>
              <w:t xml:space="preserve">0.756</w:t>
            </w:r>
          </w:p>
        </w:tc>
        <w:tc>
          <w:tcPr/>
          <w:p>
            <w:pPr>
              <w:pStyle w:val="Compact"/>
              <w:jc w:val="right"/>
            </w:pPr>
            <w:r>
              <w:t xml:space="preserve">0.059</w:t>
            </w:r>
          </w:p>
        </w:tc>
        <w:tc>
          <w:tcPr/>
          <w:p>
            <w:pPr>
              <w:pStyle w:val="Compact"/>
              <w:jc w:val="left"/>
            </w:pPr>
            <w:r>
              <w:t xml:space="preserve">True</w:t>
            </w:r>
          </w:p>
        </w:tc>
      </w:tr>
      <w:tr>
        <w:tc>
          <w:tcPr/>
          <w:p>
            <w:pPr>
              <w:pStyle w:val="Compact"/>
              <w:jc w:val="right"/>
            </w:pPr>
            <w:r>
              <w:t xml:space="preserve">3</w:t>
            </w:r>
          </w:p>
        </w:tc>
        <w:tc>
          <w:tcPr/>
          <w:p>
            <w:pPr>
              <w:pStyle w:val="Compact"/>
              <w:jc w:val="right"/>
            </w:pPr>
            <w:r>
              <w:t xml:space="preserve">0.946</w:t>
            </w:r>
          </w:p>
        </w:tc>
        <w:tc>
          <w:tcPr/>
          <w:p>
            <w:pPr>
              <w:pStyle w:val="Compact"/>
              <w:jc w:val="right"/>
            </w:pPr>
            <w:r>
              <w:t xml:space="preserve">0.892</w:t>
            </w:r>
          </w:p>
        </w:tc>
        <w:tc>
          <w:tcPr/>
          <w:p>
            <w:pPr>
              <w:pStyle w:val="Compact"/>
              <w:jc w:val="right"/>
            </w:pPr>
            <w:r>
              <w:t xml:space="preserve">0.054</w:t>
            </w:r>
          </w:p>
        </w:tc>
        <w:tc>
          <w:tcPr/>
          <w:p>
            <w:pPr>
              <w:pStyle w:val="Compact"/>
              <w:jc w:val="left"/>
            </w:pPr>
            <w:r>
              <w:t xml:space="preserve">True</w:t>
            </w:r>
          </w:p>
        </w:tc>
      </w:tr>
      <w:tr>
        <w:tc>
          <w:tcPr/>
          <w:p>
            <w:pPr>
              <w:pStyle w:val="Compact"/>
              <w:jc w:val="right"/>
            </w:pPr>
            <w:r>
              <w:t xml:space="preserve">4</w:t>
            </w:r>
          </w:p>
        </w:tc>
        <w:tc>
          <w:tcPr/>
          <w:p>
            <w:pPr>
              <w:pStyle w:val="Compact"/>
              <w:jc w:val="right"/>
            </w:pPr>
            <w:r>
              <w:t xml:space="preserve">0.973</w:t>
            </w:r>
          </w:p>
        </w:tc>
        <w:tc>
          <w:tcPr/>
          <w:p>
            <w:pPr>
              <w:pStyle w:val="Compact"/>
              <w:jc w:val="right"/>
            </w:pPr>
            <w:r>
              <w:t xml:space="preserve">0.946</w:t>
            </w:r>
          </w:p>
        </w:tc>
        <w:tc>
          <w:tcPr/>
          <w:p>
            <w:pPr>
              <w:pStyle w:val="Compact"/>
              <w:jc w:val="right"/>
            </w:pPr>
            <w:r>
              <w:t xml:space="preserve">0.026</w:t>
            </w:r>
          </w:p>
        </w:tc>
        <w:tc>
          <w:tcPr/>
          <w:p>
            <w:pPr>
              <w:pStyle w:val="Compact"/>
              <w:jc w:val="left"/>
            </w:pPr>
            <w:r>
              <w:t xml:space="preserve">False</w:t>
            </w:r>
          </w:p>
        </w:tc>
      </w:tr>
      <w:tr>
        <w:tc>
          <w:tcPr/>
          <w:p>
            <w:pPr>
              <w:pStyle w:val="Compact"/>
              <w:jc w:val="right"/>
            </w:pPr>
            <w:r>
              <w:t xml:space="preserve">5</w:t>
            </w:r>
          </w:p>
        </w:tc>
        <w:tc>
          <w:tcPr/>
          <w:p>
            <w:pPr>
              <w:pStyle w:val="Compact"/>
              <w:jc w:val="right"/>
            </w:pPr>
            <w:r>
              <w:t xml:space="preserve">0.874</w:t>
            </w:r>
          </w:p>
        </w:tc>
        <w:tc>
          <w:tcPr/>
          <w:p>
            <w:pPr>
              <w:pStyle w:val="Compact"/>
              <w:jc w:val="right"/>
            </w:pPr>
            <w:r>
              <w:t xml:space="preserve">0.864</w:t>
            </w:r>
          </w:p>
        </w:tc>
        <w:tc>
          <w:tcPr/>
          <w:p>
            <w:pPr>
              <w:pStyle w:val="Compact"/>
              <w:jc w:val="right"/>
            </w:pPr>
            <w:r>
              <w:t xml:space="preserve">0.010</w:t>
            </w:r>
          </w:p>
        </w:tc>
        <w:tc>
          <w:tcPr/>
          <w:p>
            <w:pPr>
              <w:pStyle w:val="Compact"/>
              <w:jc w:val="left"/>
            </w:pPr>
            <w:r>
              <w:t xml:space="preserve">False</w:t>
            </w:r>
          </w:p>
        </w:tc>
      </w:tr>
      <w:tr>
        <w:tc>
          <w:tcPr/>
          <w:p>
            <w:pPr>
              <w:pStyle w:val="Compact"/>
              <w:jc w:val="right"/>
            </w:pPr>
            <w:r>
              <w:t xml:space="preserve">6</w:t>
            </w:r>
          </w:p>
        </w:tc>
        <w:tc>
          <w:tcPr/>
          <w:p>
            <w:pPr>
              <w:pStyle w:val="Compact"/>
              <w:jc w:val="right"/>
            </w:pPr>
            <w:r>
              <w:t xml:space="preserve">0.805</w:t>
            </w:r>
          </w:p>
        </w:tc>
        <w:tc>
          <w:tcPr/>
          <w:p>
            <w:pPr>
              <w:pStyle w:val="Compact"/>
              <w:jc w:val="right"/>
            </w:pPr>
            <w:r>
              <w:t xml:space="preserve">0.618</w:t>
            </w:r>
          </w:p>
        </w:tc>
        <w:tc>
          <w:tcPr/>
          <w:p>
            <w:pPr>
              <w:pStyle w:val="Compact"/>
              <w:jc w:val="right"/>
            </w:pPr>
            <w:r>
              <w:t xml:space="preserve">0.188</w:t>
            </w:r>
          </w:p>
        </w:tc>
        <w:tc>
          <w:tcPr/>
          <w:p>
            <w:pPr>
              <w:pStyle w:val="Compact"/>
              <w:jc w:val="left"/>
            </w:pPr>
            <w:r>
              <w:t xml:space="preserve">True</w:t>
            </w:r>
          </w:p>
        </w:tc>
      </w:tr>
      <w:tr>
        <w:tc>
          <w:tcPr/>
          <w:p>
            <w:pPr>
              <w:pStyle w:val="Compact"/>
              <w:jc w:val="right"/>
            </w:pPr>
            <w:r>
              <w:t xml:space="preserve">7</w:t>
            </w:r>
          </w:p>
        </w:tc>
        <w:tc>
          <w:tcPr/>
          <w:p>
            <w:pPr>
              <w:pStyle w:val="Compact"/>
              <w:jc w:val="right"/>
            </w:pPr>
            <w:r>
              <w:t xml:space="preserve">0.911</w:t>
            </w:r>
          </w:p>
        </w:tc>
        <w:tc>
          <w:tcPr/>
          <w:p>
            <w:pPr>
              <w:pStyle w:val="Compact"/>
              <w:jc w:val="right"/>
            </w:pPr>
            <w:r>
              <w:t xml:space="preserve">0.842</w:t>
            </w:r>
          </w:p>
        </w:tc>
        <w:tc>
          <w:tcPr/>
          <w:p>
            <w:pPr>
              <w:pStyle w:val="Compact"/>
              <w:jc w:val="right"/>
            </w:pPr>
            <w:r>
              <w:t xml:space="preserve">0.070</w:t>
            </w:r>
          </w:p>
        </w:tc>
        <w:tc>
          <w:tcPr/>
          <w:p>
            <w:pPr>
              <w:pStyle w:val="Compact"/>
              <w:jc w:val="left"/>
            </w:pPr>
            <w:r>
              <w:t xml:space="preserve">True</w:t>
            </w:r>
          </w:p>
        </w:tc>
      </w:tr>
      <w:tr>
        <w:tc>
          <w:tcPr/>
          <w:p>
            <w:pPr>
              <w:pStyle w:val="Compact"/>
              <w:jc w:val="right"/>
            </w:pPr>
            <w:r>
              <w:t xml:space="preserve">8</w:t>
            </w:r>
          </w:p>
        </w:tc>
        <w:tc>
          <w:tcPr/>
          <w:p>
            <w:pPr>
              <w:pStyle w:val="Compact"/>
              <w:jc w:val="right"/>
            </w:pPr>
            <w:r>
              <w:t xml:space="preserve">0.943</w:t>
            </w:r>
          </w:p>
        </w:tc>
        <w:tc>
          <w:tcPr/>
          <w:p>
            <w:pPr>
              <w:pStyle w:val="Compact"/>
              <w:jc w:val="right"/>
            </w:pPr>
            <w:r>
              <w:t xml:space="preserve">0.911</w:t>
            </w:r>
          </w:p>
        </w:tc>
        <w:tc>
          <w:tcPr/>
          <w:p>
            <w:pPr>
              <w:pStyle w:val="Compact"/>
              <w:jc w:val="right"/>
            </w:pPr>
            <w:r>
              <w:t xml:space="preserve">0.033</w:t>
            </w:r>
          </w:p>
        </w:tc>
        <w:tc>
          <w:tcPr/>
          <w:p>
            <w:pPr>
              <w:pStyle w:val="Compact"/>
              <w:jc w:val="left"/>
            </w:pPr>
            <w:r>
              <w:t xml:space="preserve">True</w:t>
            </w:r>
          </w:p>
        </w:tc>
      </w:tr>
      <w:tr>
        <w:tc>
          <w:tcPr/>
          <w:p>
            <w:pPr>
              <w:pStyle w:val="Compact"/>
              <w:jc w:val="right"/>
            </w:pPr>
            <w:r>
              <w:t xml:space="preserve">9</w:t>
            </w:r>
          </w:p>
        </w:tc>
        <w:tc>
          <w:tcPr/>
          <w:p>
            <w:pPr>
              <w:pStyle w:val="Compact"/>
              <w:jc w:val="right"/>
            </w:pPr>
            <w:r>
              <w:t xml:space="preserve">0.917</w:t>
            </w:r>
          </w:p>
        </w:tc>
        <w:tc>
          <w:tcPr/>
          <w:p>
            <w:pPr>
              <w:pStyle w:val="Compact"/>
              <w:jc w:val="right"/>
            </w:pPr>
            <w:r>
              <w:t xml:space="preserve">0.920</w:t>
            </w:r>
          </w:p>
        </w:tc>
        <w:tc>
          <w:tcPr/>
          <w:p>
            <w:pPr>
              <w:pStyle w:val="Compact"/>
              <w:jc w:val="right"/>
            </w:pPr>
            <w:r>
              <w:t xml:space="preserve">0.003</w:t>
            </w:r>
          </w:p>
        </w:tc>
        <w:tc>
          <w:tcPr/>
          <w:p>
            <w:pPr>
              <w:pStyle w:val="Compact"/>
              <w:jc w:val="left"/>
            </w:pPr>
            <w:r>
              <w:t xml:space="preserve">False</w:t>
            </w:r>
          </w:p>
        </w:tc>
      </w:tr>
      <w:tr>
        <w:tc>
          <w:tcPr/>
          <w:p>
            <w:pPr>
              <w:pStyle w:val="Compact"/>
              <w:jc w:val="right"/>
            </w:pPr>
            <w:r>
              <w:t xml:space="preserve">10</w:t>
            </w:r>
          </w:p>
        </w:tc>
        <w:tc>
          <w:tcPr/>
          <w:p>
            <w:pPr>
              <w:pStyle w:val="Compact"/>
              <w:jc w:val="right"/>
            </w:pPr>
            <w:r>
              <w:t xml:space="preserve">0.838</w:t>
            </w:r>
          </w:p>
        </w:tc>
        <w:tc>
          <w:tcPr/>
          <w:p>
            <w:pPr>
              <w:pStyle w:val="Compact"/>
              <w:jc w:val="right"/>
            </w:pPr>
            <w:r>
              <w:t xml:space="preserve">0.817</w:t>
            </w:r>
          </w:p>
        </w:tc>
        <w:tc>
          <w:tcPr/>
          <w:p>
            <w:pPr>
              <w:pStyle w:val="Compact"/>
              <w:jc w:val="right"/>
            </w:pPr>
            <w:r>
              <w:t xml:space="preserve">0.021</w:t>
            </w:r>
          </w:p>
        </w:tc>
        <w:tc>
          <w:tcPr/>
          <w:p>
            <w:pPr>
              <w:pStyle w:val="Compact"/>
              <w:jc w:val="left"/>
            </w:pPr>
            <w:r>
              <w:t xml:space="preserve">False</w:t>
            </w:r>
          </w:p>
        </w:tc>
      </w:tr>
      <w:tr>
        <w:tc>
          <w:tcPr/>
          <w:p>
            <w:pPr>
              <w:pStyle w:val="Compact"/>
              <w:jc w:val="right"/>
            </w:pPr>
            <w:r>
              <w:t xml:space="preserve">11</w:t>
            </w:r>
          </w:p>
        </w:tc>
        <w:tc>
          <w:tcPr/>
          <w:p>
            <w:pPr>
              <w:pStyle w:val="Compact"/>
              <w:jc w:val="right"/>
            </w:pPr>
            <w:r>
              <w:t xml:space="preserve">0.907</w:t>
            </w:r>
          </w:p>
        </w:tc>
        <w:tc>
          <w:tcPr/>
          <w:p>
            <w:pPr>
              <w:pStyle w:val="Compact"/>
              <w:jc w:val="right"/>
            </w:pPr>
            <w:r>
              <w:t xml:space="preserve">0.897</w:t>
            </w:r>
          </w:p>
        </w:tc>
        <w:tc>
          <w:tcPr/>
          <w:p>
            <w:pPr>
              <w:pStyle w:val="Compact"/>
              <w:jc w:val="right"/>
            </w:pPr>
            <w:r>
              <w:t xml:space="preserve">0.009</w:t>
            </w:r>
          </w:p>
        </w:tc>
        <w:tc>
          <w:tcPr/>
          <w:p>
            <w:pPr>
              <w:pStyle w:val="Compact"/>
              <w:jc w:val="left"/>
            </w:pPr>
            <w:r>
              <w:t xml:space="preserve">False</w:t>
            </w:r>
          </w:p>
        </w:tc>
      </w:tr>
      <w:tr>
        <w:tc>
          <w:tcPr/>
          <w:p>
            <w:pPr>
              <w:pStyle w:val="Compact"/>
              <w:jc w:val="right"/>
            </w:pPr>
            <w:r>
              <w:t xml:space="preserve">12</w:t>
            </w:r>
          </w:p>
        </w:tc>
        <w:tc>
          <w:tcPr/>
          <w:p>
            <w:pPr>
              <w:pStyle w:val="Compact"/>
              <w:jc w:val="right"/>
            </w:pPr>
            <w:r>
              <w:t xml:space="preserve">0.839</w:t>
            </w:r>
          </w:p>
        </w:tc>
        <w:tc>
          <w:tcPr/>
          <w:p>
            <w:pPr>
              <w:pStyle w:val="Compact"/>
              <w:jc w:val="right"/>
            </w:pPr>
            <w:r>
              <w:t xml:space="preserve">0.779</w:t>
            </w:r>
          </w:p>
        </w:tc>
        <w:tc>
          <w:tcPr/>
          <w:p>
            <w:pPr>
              <w:pStyle w:val="Compact"/>
              <w:jc w:val="right"/>
            </w:pPr>
            <w:r>
              <w:t xml:space="preserve">0.060</w:t>
            </w:r>
          </w:p>
        </w:tc>
        <w:tc>
          <w:tcPr/>
          <w:p>
            <w:pPr>
              <w:pStyle w:val="Compact"/>
              <w:jc w:val="left"/>
            </w:pPr>
            <w:r>
              <w:t xml:space="preserve">True</w:t>
            </w:r>
          </w:p>
        </w:tc>
      </w:tr>
      <w:tr>
        <w:tc>
          <w:tcPr/>
          <w:p>
            <w:pPr>
              <w:pStyle w:val="Compact"/>
              <w:jc w:val="right"/>
            </w:pPr>
            <w:r>
              <w:t xml:space="preserve">13</w:t>
            </w:r>
          </w:p>
        </w:tc>
        <w:tc>
          <w:tcPr/>
          <w:p>
            <w:pPr>
              <w:pStyle w:val="Compact"/>
              <w:jc w:val="right"/>
            </w:pPr>
            <w:r>
              <w:t xml:space="preserve">0.828</w:t>
            </w:r>
          </w:p>
        </w:tc>
        <w:tc>
          <w:tcPr/>
          <w:p>
            <w:pPr>
              <w:pStyle w:val="Compact"/>
              <w:jc w:val="right"/>
            </w:pPr>
            <w:r>
              <w:t xml:space="preserve">0.828</w:t>
            </w:r>
          </w:p>
        </w:tc>
        <w:tc>
          <w:tcPr/>
          <w:p>
            <w:pPr>
              <w:pStyle w:val="Compact"/>
              <w:jc w:val="right"/>
            </w:pPr>
            <w:r>
              <w:t xml:space="preserve">0.001</w:t>
            </w:r>
          </w:p>
        </w:tc>
        <w:tc>
          <w:tcPr/>
          <w:p>
            <w:pPr>
              <w:pStyle w:val="Compact"/>
              <w:jc w:val="left"/>
            </w:pPr>
            <w:r>
              <w:t xml:space="preserve">False</w:t>
            </w:r>
          </w:p>
        </w:tc>
      </w:tr>
      <w:tr>
        <w:tc>
          <w:tcPr/>
          <w:p>
            <w:pPr>
              <w:pStyle w:val="Compact"/>
              <w:jc w:val="right"/>
            </w:pPr>
            <w:r>
              <w:t xml:space="preserve">14</w:t>
            </w:r>
          </w:p>
        </w:tc>
        <w:tc>
          <w:tcPr/>
          <w:p>
            <w:pPr>
              <w:pStyle w:val="Compact"/>
              <w:jc w:val="right"/>
            </w:pPr>
            <w:r>
              <w:t xml:space="preserve">0.959</w:t>
            </w:r>
          </w:p>
        </w:tc>
        <w:tc>
          <w:tcPr/>
          <w:p>
            <w:pPr>
              <w:pStyle w:val="Compact"/>
              <w:jc w:val="right"/>
            </w:pPr>
            <w:r>
              <w:t xml:space="preserve">0.915</w:t>
            </w:r>
          </w:p>
        </w:tc>
        <w:tc>
          <w:tcPr/>
          <w:p>
            <w:pPr>
              <w:pStyle w:val="Compact"/>
              <w:jc w:val="right"/>
            </w:pPr>
            <w:r>
              <w:t xml:space="preserve">0.044</w:t>
            </w:r>
          </w:p>
        </w:tc>
        <w:tc>
          <w:tcPr/>
          <w:p>
            <w:pPr>
              <w:pStyle w:val="Compact"/>
              <w:jc w:val="left"/>
            </w:pPr>
            <w:r>
              <w:t xml:space="preserve">True</w:t>
            </w:r>
          </w:p>
        </w:tc>
      </w:tr>
      <w:tr>
        <w:tc>
          <w:tcPr/>
          <w:p>
            <w:pPr>
              <w:pStyle w:val="Compact"/>
              <w:jc w:val="right"/>
            </w:pPr>
            <w:r>
              <w:t xml:space="preserve">15</w:t>
            </w:r>
          </w:p>
        </w:tc>
        <w:tc>
          <w:tcPr/>
          <w:p>
            <w:pPr>
              <w:pStyle w:val="Compact"/>
              <w:jc w:val="right"/>
            </w:pPr>
            <w:r>
              <w:t xml:space="preserve">0.906</w:t>
            </w:r>
          </w:p>
        </w:tc>
        <w:tc>
          <w:tcPr/>
          <w:p>
            <w:pPr>
              <w:pStyle w:val="Compact"/>
              <w:jc w:val="right"/>
            </w:pPr>
            <w:r>
              <w:t xml:space="preserve">0.862</w:t>
            </w:r>
          </w:p>
        </w:tc>
        <w:tc>
          <w:tcPr/>
          <w:p>
            <w:pPr>
              <w:pStyle w:val="Compact"/>
              <w:jc w:val="right"/>
            </w:pPr>
            <w:r>
              <w:t xml:space="preserve">0.044</w:t>
            </w:r>
          </w:p>
        </w:tc>
        <w:tc>
          <w:tcPr/>
          <w:p>
            <w:pPr>
              <w:pStyle w:val="Compact"/>
              <w:jc w:val="left"/>
            </w:pPr>
            <w:r>
              <w:t xml:space="preserve">True</w:t>
            </w:r>
          </w:p>
        </w:tc>
      </w:tr>
      <w:tr>
        <w:tc>
          <w:tcPr/>
          <w:p>
            <w:pPr>
              <w:pStyle w:val="Compact"/>
              <w:jc w:val="right"/>
            </w:pPr>
            <w:r>
              <w:t xml:space="preserve">16</w:t>
            </w:r>
          </w:p>
        </w:tc>
        <w:tc>
          <w:tcPr/>
          <w:p>
            <w:pPr>
              <w:pStyle w:val="Compact"/>
              <w:jc w:val="right"/>
            </w:pPr>
            <w:r>
              <w:t xml:space="preserve">0.816</w:t>
            </w:r>
          </w:p>
        </w:tc>
        <w:tc>
          <w:tcPr/>
          <w:p>
            <w:pPr>
              <w:pStyle w:val="Compact"/>
              <w:jc w:val="right"/>
            </w:pPr>
            <w:r>
              <w:t xml:space="preserve">0.713</w:t>
            </w:r>
          </w:p>
        </w:tc>
        <w:tc>
          <w:tcPr/>
          <w:p>
            <w:pPr>
              <w:pStyle w:val="Compact"/>
              <w:jc w:val="right"/>
            </w:pPr>
            <w:r>
              <w:t xml:space="preserve">0.103</w:t>
            </w:r>
          </w:p>
        </w:tc>
        <w:tc>
          <w:tcPr/>
          <w:p>
            <w:pPr>
              <w:pStyle w:val="Compact"/>
              <w:jc w:val="left"/>
            </w:pPr>
            <w:r>
              <w:t xml:space="preserve">True</w:t>
            </w:r>
          </w:p>
        </w:tc>
      </w:tr>
      <w:tr>
        <w:tc>
          <w:tcPr/>
          <w:p>
            <w:pPr>
              <w:pStyle w:val="Compact"/>
              <w:jc w:val="right"/>
            </w:pPr>
            <w:r>
              <w:t xml:space="preserve">17</w:t>
            </w:r>
          </w:p>
        </w:tc>
        <w:tc>
          <w:tcPr/>
          <w:p>
            <w:pPr>
              <w:pStyle w:val="Compact"/>
              <w:jc w:val="right"/>
            </w:pPr>
            <w:r>
              <w:t xml:space="preserve">0.925</w:t>
            </w:r>
          </w:p>
        </w:tc>
        <w:tc>
          <w:tcPr/>
          <w:p>
            <w:pPr>
              <w:pStyle w:val="Compact"/>
              <w:jc w:val="right"/>
            </w:pPr>
            <w:r>
              <w:t xml:space="preserve">0.854</w:t>
            </w:r>
          </w:p>
        </w:tc>
        <w:tc>
          <w:tcPr/>
          <w:p>
            <w:pPr>
              <w:pStyle w:val="Compact"/>
              <w:jc w:val="right"/>
            </w:pPr>
            <w:r>
              <w:t xml:space="preserve">0.072</w:t>
            </w:r>
          </w:p>
        </w:tc>
        <w:tc>
          <w:tcPr/>
          <w:p>
            <w:pPr>
              <w:pStyle w:val="Compact"/>
              <w:jc w:val="left"/>
            </w:pPr>
            <w:r>
              <w:t xml:space="preserve">True</w:t>
            </w:r>
          </w:p>
        </w:tc>
      </w:tr>
      <w:tr>
        <w:tc>
          <w:tcPr/>
          <w:p>
            <w:pPr>
              <w:pStyle w:val="Compact"/>
              <w:jc w:val="right"/>
            </w:pPr>
            <w:r>
              <w:t xml:space="preserve">18</w:t>
            </w:r>
          </w:p>
        </w:tc>
        <w:tc>
          <w:tcPr/>
          <w:p>
            <w:pPr>
              <w:pStyle w:val="Compact"/>
              <w:jc w:val="right"/>
            </w:pPr>
            <w:r>
              <w:t xml:space="preserve">0.856</w:t>
            </w:r>
          </w:p>
        </w:tc>
        <w:tc>
          <w:tcPr/>
          <w:p>
            <w:pPr>
              <w:pStyle w:val="Compact"/>
              <w:jc w:val="right"/>
            </w:pPr>
            <w:r>
              <w:t xml:space="preserve">0.667</w:t>
            </w:r>
          </w:p>
        </w:tc>
        <w:tc>
          <w:tcPr/>
          <w:p>
            <w:pPr>
              <w:pStyle w:val="Compact"/>
              <w:jc w:val="right"/>
            </w:pPr>
            <w:r>
              <w:t xml:space="preserve">0.189</w:t>
            </w:r>
          </w:p>
        </w:tc>
        <w:tc>
          <w:tcPr/>
          <w:p>
            <w:pPr>
              <w:pStyle w:val="Compact"/>
              <w:jc w:val="left"/>
            </w:pPr>
            <w:r>
              <w:t xml:space="preserve">True</w:t>
            </w:r>
          </w:p>
        </w:tc>
      </w:tr>
      <w:tr>
        <w:tc>
          <w:tcPr/>
          <w:p>
            <w:pPr>
              <w:pStyle w:val="Compact"/>
              <w:jc w:val="right"/>
            </w:pPr>
            <w:r>
              <w:t xml:space="preserve">19</w:t>
            </w:r>
          </w:p>
        </w:tc>
        <w:tc>
          <w:tcPr/>
          <w:p>
            <w:pPr>
              <w:pStyle w:val="Compact"/>
              <w:jc w:val="right"/>
            </w:pPr>
            <w:r>
              <w:t xml:space="preserve">0.945</w:t>
            </w:r>
          </w:p>
        </w:tc>
        <w:tc>
          <w:tcPr/>
          <w:p>
            <w:pPr>
              <w:pStyle w:val="Compact"/>
              <w:jc w:val="right"/>
            </w:pPr>
            <w:r>
              <w:t xml:space="preserve">0.869</w:t>
            </w:r>
          </w:p>
        </w:tc>
        <w:tc>
          <w:tcPr/>
          <w:p>
            <w:pPr>
              <w:pStyle w:val="Compact"/>
              <w:jc w:val="right"/>
            </w:pPr>
            <w:r>
              <w:t xml:space="preserve">0.076</w:t>
            </w:r>
          </w:p>
        </w:tc>
        <w:tc>
          <w:tcPr/>
          <w:p>
            <w:pPr>
              <w:pStyle w:val="Compact"/>
              <w:jc w:val="left"/>
            </w:pPr>
            <w:r>
              <w:t xml:space="preserve">True</w:t>
            </w:r>
          </w:p>
        </w:tc>
      </w:tr>
      <w:tr>
        <w:tc>
          <w:tcPr/>
          <w:p>
            <w:pPr>
              <w:pStyle w:val="Compact"/>
              <w:jc w:val="right"/>
            </w:pPr>
            <w:r>
              <w:t xml:space="preserve">20</w:t>
            </w:r>
          </w:p>
        </w:tc>
        <w:tc>
          <w:tcPr/>
          <w:p>
            <w:pPr>
              <w:pStyle w:val="Compact"/>
              <w:jc w:val="right"/>
            </w:pPr>
            <w:r>
              <w:t xml:space="preserve">0.887</w:t>
            </w:r>
          </w:p>
        </w:tc>
        <w:tc>
          <w:tcPr/>
          <w:p>
            <w:pPr>
              <w:pStyle w:val="Compact"/>
              <w:jc w:val="right"/>
            </w:pPr>
            <w:r>
              <w:t xml:space="preserve">0.767</w:t>
            </w:r>
          </w:p>
        </w:tc>
        <w:tc>
          <w:tcPr/>
          <w:p>
            <w:pPr>
              <w:pStyle w:val="Compact"/>
              <w:jc w:val="right"/>
            </w:pPr>
            <w:r>
              <w:t xml:space="preserve">0.119</w:t>
            </w:r>
          </w:p>
        </w:tc>
        <w:tc>
          <w:tcPr/>
          <w:p>
            <w:pPr>
              <w:pStyle w:val="Compact"/>
              <w:jc w:val="left"/>
            </w:pPr>
            <w:r>
              <w:t xml:space="preserve">True</w:t>
            </w:r>
          </w:p>
        </w:tc>
      </w:tr>
      <w:tr>
        <w:tc>
          <w:tcPr/>
          <w:p>
            <w:pPr>
              <w:pStyle w:val="Compact"/>
              <w:jc w:val="right"/>
            </w:pPr>
            <w:r>
              <w:t xml:space="preserve">21</w:t>
            </w:r>
          </w:p>
        </w:tc>
        <w:tc>
          <w:tcPr/>
          <w:p>
            <w:pPr>
              <w:pStyle w:val="Compact"/>
              <w:jc w:val="right"/>
            </w:pPr>
            <w:r>
              <w:t xml:space="preserve">0.939</w:t>
            </w:r>
          </w:p>
        </w:tc>
        <w:tc>
          <w:tcPr/>
          <w:p>
            <w:pPr>
              <w:pStyle w:val="Compact"/>
              <w:jc w:val="right"/>
            </w:pPr>
            <w:r>
              <w:t xml:space="preserve">0.759</w:t>
            </w:r>
          </w:p>
        </w:tc>
        <w:tc>
          <w:tcPr/>
          <w:p>
            <w:pPr>
              <w:pStyle w:val="Compact"/>
              <w:jc w:val="right"/>
            </w:pPr>
            <w:r>
              <w:t xml:space="preserve">0.180</w:t>
            </w:r>
          </w:p>
        </w:tc>
        <w:tc>
          <w:tcPr/>
          <w:p>
            <w:pPr>
              <w:pStyle w:val="Compact"/>
              <w:jc w:val="left"/>
            </w:pPr>
            <w:r>
              <w:t xml:space="preserve">True</w:t>
            </w:r>
          </w:p>
        </w:tc>
      </w:tr>
      <w:tr>
        <w:tc>
          <w:tcPr/>
          <w:p>
            <w:pPr>
              <w:pStyle w:val="Compact"/>
              <w:jc w:val="right"/>
            </w:pPr>
            <w:r>
              <w:t xml:space="preserve">22</w:t>
            </w:r>
          </w:p>
        </w:tc>
        <w:tc>
          <w:tcPr/>
          <w:p>
            <w:pPr>
              <w:pStyle w:val="Compact"/>
              <w:jc w:val="right"/>
            </w:pPr>
            <w:r>
              <w:t xml:space="preserve">0.859</w:t>
            </w:r>
          </w:p>
        </w:tc>
        <w:tc>
          <w:tcPr/>
          <w:p>
            <w:pPr>
              <w:pStyle w:val="Compact"/>
              <w:jc w:val="right"/>
            </w:pPr>
            <w:r>
              <w:t xml:space="preserve">0.782</w:t>
            </w:r>
          </w:p>
        </w:tc>
        <w:tc>
          <w:tcPr/>
          <w:p>
            <w:pPr>
              <w:pStyle w:val="Compact"/>
              <w:jc w:val="right"/>
            </w:pPr>
            <w:r>
              <w:t xml:space="preserve">0.077</w:t>
            </w:r>
          </w:p>
        </w:tc>
        <w:tc>
          <w:tcPr/>
          <w:p>
            <w:pPr>
              <w:pStyle w:val="Compact"/>
              <w:jc w:val="left"/>
            </w:pPr>
            <w:r>
              <w:t xml:space="preserve">True</w:t>
            </w:r>
          </w:p>
        </w:tc>
      </w:tr>
      <w:tr>
        <w:tc>
          <w:tcPr/>
          <w:p>
            <w:pPr>
              <w:pStyle w:val="Compact"/>
              <w:jc w:val="right"/>
            </w:pPr>
            <w:r>
              <w:t xml:space="preserve">23</w:t>
            </w:r>
          </w:p>
        </w:tc>
        <w:tc>
          <w:tcPr/>
          <w:p>
            <w:pPr>
              <w:pStyle w:val="Compact"/>
              <w:jc w:val="right"/>
            </w:pPr>
            <w:r>
              <w:t xml:space="preserve">0.932</w:t>
            </w:r>
          </w:p>
        </w:tc>
        <w:tc>
          <w:tcPr/>
          <w:p>
            <w:pPr>
              <w:pStyle w:val="Compact"/>
              <w:jc w:val="right"/>
            </w:pPr>
            <w:r>
              <w:t xml:space="preserve">0.835</w:t>
            </w:r>
          </w:p>
        </w:tc>
        <w:tc>
          <w:tcPr/>
          <w:p>
            <w:pPr>
              <w:pStyle w:val="Compact"/>
              <w:jc w:val="right"/>
            </w:pPr>
            <w:r>
              <w:t xml:space="preserve">0.097</w:t>
            </w:r>
          </w:p>
        </w:tc>
        <w:tc>
          <w:tcPr/>
          <w:p>
            <w:pPr>
              <w:pStyle w:val="Compact"/>
              <w:jc w:val="left"/>
            </w:pPr>
            <w:r>
              <w:t xml:space="preserve">True</w:t>
            </w:r>
          </w:p>
        </w:tc>
      </w:tr>
      <w:tr>
        <w:tc>
          <w:tcPr/>
          <w:p>
            <w:pPr>
              <w:pStyle w:val="Compact"/>
              <w:jc w:val="right"/>
            </w:pPr>
            <w:r>
              <w:t xml:space="preserve">24</w:t>
            </w:r>
          </w:p>
        </w:tc>
        <w:tc>
          <w:tcPr/>
          <w:p>
            <w:pPr>
              <w:pStyle w:val="Compact"/>
              <w:jc w:val="right"/>
            </w:pPr>
            <w:r>
              <w:t xml:space="preserve">0.894</w:t>
            </w:r>
          </w:p>
        </w:tc>
        <w:tc>
          <w:tcPr/>
          <w:p>
            <w:pPr>
              <w:pStyle w:val="Compact"/>
              <w:jc w:val="right"/>
            </w:pPr>
            <w:r>
              <w:t xml:space="preserve">0.835</w:t>
            </w:r>
          </w:p>
        </w:tc>
        <w:tc>
          <w:tcPr/>
          <w:p>
            <w:pPr>
              <w:pStyle w:val="Compact"/>
              <w:jc w:val="right"/>
            </w:pPr>
            <w:r>
              <w:t xml:space="preserve">0.058</w:t>
            </w:r>
          </w:p>
        </w:tc>
        <w:tc>
          <w:tcPr/>
          <w:p>
            <w:pPr>
              <w:pStyle w:val="Compact"/>
              <w:jc w:val="left"/>
            </w:pPr>
            <w:r>
              <w:t xml:space="preserve">True</w:t>
            </w:r>
          </w:p>
        </w:tc>
      </w:tr>
      <w:tr>
        <w:tc>
          <w:tcPr/>
          <w:p>
            <w:pPr>
              <w:pStyle w:val="Compact"/>
              <w:jc w:val="right"/>
            </w:pPr>
            <w:r>
              <w:t xml:space="preserve">25</w:t>
            </w:r>
          </w:p>
        </w:tc>
        <w:tc>
          <w:tcPr/>
          <w:p>
            <w:pPr>
              <w:pStyle w:val="Compact"/>
              <w:jc w:val="right"/>
            </w:pPr>
            <w:r>
              <w:t xml:space="preserve">0.949</w:t>
            </w:r>
          </w:p>
        </w:tc>
        <w:tc>
          <w:tcPr/>
          <w:p>
            <w:pPr>
              <w:pStyle w:val="Compact"/>
              <w:jc w:val="right"/>
            </w:pPr>
            <w:r>
              <w:t xml:space="preserve">0.872</w:t>
            </w:r>
          </w:p>
        </w:tc>
        <w:tc>
          <w:tcPr/>
          <w:p>
            <w:pPr>
              <w:pStyle w:val="Compact"/>
              <w:jc w:val="right"/>
            </w:pPr>
            <w:r>
              <w:t xml:space="preserve">0.076</w:t>
            </w:r>
          </w:p>
        </w:tc>
        <w:tc>
          <w:tcPr/>
          <w:p>
            <w:pPr>
              <w:pStyle w:val="Compact"/>
              <w:jc w:val="left"/>
            </w:pPr>
            <w:r>
              <w:t xml:space="preserve">True</w:t>
            </w:r>
          </w:p>
        </w:tc>
      </w:tr>
      <w:tr>
        <w:tc>
          <w:tcPr/>
          <w:p>
            <w:pPr>
              <w:pStyle w:val="Compact"/>
              <w:jc w:val="right"/>
            </w:pPr>
            <w:r>
              <w:t xml:space="preserve">26</w:t>
            </w:r>
          </w:p>
        </w:tc>
        <w:tc>
          <w:tcPr/>
          <w:p>
            <w:pPr>
              <w:pStyle w:val="Compact"/>
              <w:jc w:val="right"/>
            </w:pPr>
            <w:r>
              <w:t xml:space="preserve">0.954</w:t>
            </w:r>
          </w:p>
        </w:tc>
        <w:tc>
          <w:tcPr/>
          <w:p>
            <w:pPr>
              <w:pStyle w:val="Compact"/>
              <w:jc w:val="right"/>
            </w:pPr>
            <w:r>
              <w:t xml:space="preserve">0.927</w:t>
            </w:r>
          </w:p>
        </w:tc>
        <w:tc>
          <w:tcPr/>
          <w:p>
            <w:pPr>
              <w:pStyle w:val="Compact"/>
              <w:jc w:val="right"/>
            </w:pPr>
            <w:r>
              <w:t xml:space="preserve">0.026</w:t>
            </w:r>
          </w:p>
        </w:tc>
        <w:tc>
          <w:tcPr/>
          <w:p>
            <w:pPr>
              <w:pStyle w:val="Compact"/>
              <w:jc w:val="left"/>
            </w:pPr>
            <w:r>
              <w:t xml:space="preserve">False</w:t>
            </w:r>
          </w:p>
        </w:tc>
      </w:tr>
      <w:tr>
        <w:tc>
          <w:tcPr/>
          <w:p>
            <w:pPr>
              <w:pStyle w:val="Compact"/>
              <w:jc w:val="right"/>
            </w:pPr>
            <w:r>
              <w:t xml:space="preserve">27</w:t>
            </w:r>
          </w:p>
        </w:tc>
        <w:tc>
          <w:tcPr/>
          <w:p>
            <w:pPr>
              <w:pStyle w:val="Compact"/>
              <w:jc w:val="right"/>
            </w:pPr>
            <w:r>
              <w:t xml:space="preserve">0.984</w:t>
            </w:r>
          </w:p>
        </w:tc>
        <w:tc>
          <w:tcPr/>
          <w:p>
            <w:pPr>
              <w:pStyle w:val="Compact"/>
              <w:jc w:val="right"/>
            </w:pPr>
            <w:r>
              <w:t xml:space="preserve">0.939</w:t>
            </w:r>
          </w:p>
        </w:tc>
        <w:tc>
          <w:tcPr/>
          <w:p>
            <w:pPr>
              <w:pStyle w:val="Compact"/>
              <w:jc w:val="right"/>
            </w:pPr>
            <w:r>
              <w:t xml:space="preserve">0.044</w:t>
            </w:r>
          </w:p>
        </w:tc>
        <w:tc>
          <w:tcPr/>
          <w:p>
            <w:pPr>
              <w:pStyle w:val="Compact"/>
              <w:jc w:val="left"/>
            </w:pPr>
            <w:r>
              <w:t xml:space="preserve">True</w:t>
            </w:r>
          </w:p>
        </w:tc>
      </w:tr>
      <w:tr>
        <w:tc>
          <w:tcPr/>
          <w:p>
            <w:pPr>
              <w:pStyle w:val="Compact"/>
              <w:jc w:val="right"/>
            </w:pPr>
            <w:r>
              <w:t xml:space="preserve">28</w:t>
            </w:r>
          </w:p>
        </w:tc>
        <w:tc>
          <w:tcPr/>
          <w:p>
            <w:pPr>
              <w:pStyle w:val="Compact"/>
              <w:jc w:val="right"/>
            </w:pPr>
            <w:r>
              <w:t xml:space="preserve">0.916</w:t>
            </w:r>
          </w:p>
        </w:tc>
        <w:tc>
          <w:tcPr/>
          <w:p>
            <w:pPr>
              <w:pStyle w:val="Compact"/>
              <w:jc w:val="right"/>
            </w:pPr>
            <w:r>
              <w:t xml:space="preserve">0.793</w:t>
            </w:r>
          </w:p>
        </w:tc>
        <w:tc>
          <w:tcPr/>
          <w:p>
            <w:pPr>
              <w:pStyle w:val="Compact"/>
              <w:jc w:val="right"/>
            </w:pPr>
            <w:r>
              <w:t xml:space="preserve">0.123</w:t>
            </w:r>
          </w:p>
        </w:tc>
        <w:tc>
          <w:tcPr/>
          <w:p>
            <w:pPr>
              <w:pStyle w:val="Compact"/>
              <w:jc w:val="left"/>
            </w:pPr>
            <w:r>
              <w:t xml:space="preserve">True</w:t>
            </w:r>
          </w:p>
        </w:tc>
      </w:tr>
      <w:tr>
        <w:tc>
          <w:tcPr/>
          <w:p>
            <w:pPr>
              <w:pStyle w:val="Compact"/>
              <w:jc w:val="right"/>
            </w:pPr>
            <w:r>
              <w:t xml:space="preserve">29</w:t>
            </w:r>
          </w:p>
        </w:tc>
        <w:tc>
          <w:tcPr/>
          <w:p>
            <w:pPr>
              <w:pStyle w:val="Compact"/>
              <w:jc w:val="right"/>
            </w:pPr>
            <w:r>
              <w:t xml:space="preserve">0.979</w:t>
            </w:r>
          </w:p>
        </w:tc>
        <w:tc>
          <w:tcPr/>
          <w:p>
            <w:pPr>
              <w:pStyle w:val="Compact"/>
              <w:jc w:val="right"/>
            </w:pPr>
            <w:r>
              <w:t xml:space="preserve">0.972</w:t>
            </w:r>
          </w:p>
        </w:tc>
        <w:tc>
          <w:tcPr/>
          <w:p>
            <w:pPr>
              <w:pStyle w:val="Compact"/>
              <w:jc w:val="right"/>
            </w:pPr>
            <w:r>
              <w:t xml:space="preserve">0.007</w:t>
            </w:r>
          </w:p>
        </w:tc>
        <w:tc>
          <w:tcPr/>
          <w:p>
            <w:pPr>
              <w:pStyle w:val="Compact"/>
              <w:jc w:val="left"/>
            </w:pPr>
            <w:r>
              <w:t xml:space="preserve">False</w:t>
            </w:r>
          </w:p>
        </w:tc>
      </w:tr>
      <w:tr>
        <w:tc>
          <w:tcPr/>
          <w:p>
            <w:pPr>
              <w:pStyle w:val="Compact"/>
              <w:jc w:val="right"/>
            </w:pPr>
            <w:r>
              <w:t xml:space="preserve">30</w:t>
            </w:r>
          </w:p>
        </w:tc>
        <w:tc>
          <w:tcPr/>
          <w:p>
            <w:pPr>
              <w:pStyle w:val="Compact"/>
              <w:jc w:val="right"/>
            </w:pPr>
            <w:r>
              <w:t xml:space="preserve">0.932</w:t>
            </w:r>
          </w:p>
        </w:tc>
        <w:tc>
          <w:tcPr/>
          <w:p>
            <w:pPr>
              <w:pStyle w:val="Compact"/>
              <w:jc w:val="right"/>
            </w:pPr>
            <w:r>
              <w:t xml:space="preserve">0.856</w:t>
            </w:r>
          </w:p>
        </w:tc>
        <w:tc>
          <w:tcPr/>
          <w:p>
            <w:pPr>
              <w:pStyle w:val="Compact"/>
              <w:jc w:val="right"/>
            </w:pPr>
            <w:r>
              <w:t xml:space="preserve">0.077</w:t>
            </w:r>
          </w:p>
        </w:tc>
        <w:tc>
          <w:tcPr/>
          <w:p>
            <w:pPr>
              <w:pStyle w:val="Compact"/>
              <w:jc w:val="left"/>
            </w:pPr>
            <w:r>
              <w:t xml:space="preserve">True</w:t>
            </w:r>
          </w:p>
        </w:tc>
      </w:tr>
      <w:tr>
        <w:tc>
          <w:tcPr/>
          <w:p>
            <w:pPr>
              <w:pStyle w:val="Compact"/>
              <w:jc w:val="right"/>
            </w:pPr>
            <w:r>
              <w:t xml:space="preserve">31</w:t>
            </w:r>
          </w:p>
        </w:tc>
        <w:tc>
          <w:tcPr/>
          <w:p>
            <w:pPr>
              <w:pStyle w:val="Compact"/>
              <w:jc w:val="right"/>
            </w:pPr>
            <w:r>
              <w:t xml:space="preserve">0.954</w:t>
            </w:r>
          </w:p>
        </w:tc>
        <w:tc>
          <w:tcPr/>
          <w:p>
            <w:pPr>
              <w:pStyle w:val="Compact"/>
              <w:jc w:val="right"/>
            </w:pPr>
            <w:r>
              <w:t xml:space="preserve">0.835</w:t>
            </w:r>
          </w:p>
        </w:tc>
        <w:tc>
          <w:tcPr/>
          <w:p>
            <w:pPr>
              <w:pStyle w:val="Compact"/>
              <w:jc w:val="right"/>
            </w:pPr>
            <w:r>
              <w:t xml:space="preserve">0.118</w:t>
            </w:r>
          </w:p>
        </w:tc>
        <w:tc>
          <w:tcPr/>
          <w:p>
            <w:pPr>
              <w:pStyle w:val="Compact"/>
              <w:jc w:val="left"/>
            </w:pPr>
            <w:r>
              <w:t xml:space="preserve">True</w:t>
            </w:r>
          </w:p>
        </w:tc>
      </w:tr>
      <w:tr>
        <w:tc>
          <w:tcPr/>
          <w:p>
            <w:pPr>
              <w:pStyle w:val="Compact"/>
              <w:jc w:val="right"/>
            </w:pPr>
            <w:r>
              <w:t xml:space="preserve">32</w:t>
            </w:r>
          </w:p>
        </w:tc>
        <w:tc>
          <w:tcPr/>
          <w:p>
            <w:pPr>
              <w:pStyle w:val="Compact"/>
              <w:jc w:val="right"/>
            </w:pPr>
            <w:r>
              <w:t xml:space="preserve">0.967</w:t>
            </w:r>
          </w:p>
        </w:tc>
        <w:tc>
          <w:tcPr/>
          <w:p>
            <w:pPr>
              <w:pStyle w:val="Compact"/>
              <w:jc w:val="right"/>
            </w:pPr>
            <w:r>
              <w:t xml:space="preserve">0.891</w:t>
            </w:r>
          </w:p>
        </w:tc>
        <w:tc>
          <w:tcPr/>
          <w:p>
            <w:pPr>
              <w:pStyle w:val="Compact"/>
              <w:jc w:val="right"/>
            </w:pPr>
            <w:r>
              <w:t xml:space="preserve">0.075</w:t>
            </w:r>
          </w:p>
        </w:tc>
        <w:tc>
          <w:tcPr/>
          <w:p>
            <w:pPr>
              <w:pStyle w:val="Compact"/>
              <w:jc w:val="left"/>
            </w:pPr>
            <w:r>
              <w:t xml:space="preserve">True</w:t>
            </w:r>
          </w:p>
        </w:tc>
      </w:tr>
      <w:tr>
        <w:tc>
          <w:tcPr/>
          <w:p>
            <w:pPr>
              <w:pStyle w:val="Compact"/>
              <w:jc w:val="right"/>
            </w:pPr>
            <w:r>
              <w:t xml:space="preserve">33</w:t>
            </w:r>
          </w:p>
        </w:tc>
        <w:tc>
          <w:tcPr/>
          <w:p>
            <w:pPr>
              <w:pStyle w:val="Compact"/>
              <w:jc w:val="right"/>
            </w:pPr>
            <w:r>
              <w:t xml:space="preserve">0.984</w:t>
            </w:r>
          </w:p>
        </w:tc>
        <w:tc>
          <w:tcPr/>
          <w:p>
            <w:pPr>
              <w:pStyle w:val="Compact"/>
              <w:jc w:val="right"/>
            </w:pPr>
            <w:r>
              <w:t xml:space="preserve">0.912</w:t>
            </w:r>
          </w:p>
        </w:tc>
        <w:tc>
          <w:tcPr/>
          <w:p>
            <w:pPr>
              <w:pStyle w:val="Compact"/>
              <w:jc w:val="right"/>
            </w:pPr>
            <w:r>
              <w:t xml:space="preserve">0.071</w:t>
            </w:r>
          </w:p>
        </w:tc>
        <w:tc>
          <w:tcPr/>
          <w:p>
            <w:pPr>
              <w:pStyle w:val="Compact"/>
              <w:jc w:val="left"/>
            </w:pPr>
            <w:r>
              <w:t xml:space="preserve">True</w:t>
            </w:r>
          </w:p>
        </w:tc>
      </w:tr>
      <w:tr>
        <w:tc>
          <w:tcPr/>
          <w:p>
            <w:pPr>
              <w:pStyle w:val="Compact"/>
              <w:jc w:val="right"/>
            </w:pPr>
            <w:r>
              <w:t xml:space="preserve">34</w:t>
            </w:r>
          </w:p>
        </w:tc>
        <w:tc>
          <w:tcPr/>
          <w:p>
            <w:pPr>
              <w:pStyle w:val="Compact"/>
              <w:jc w:val="right"/>
            </w:pPr>
            <w:r>
              <w:t xml:space="preserve">0.948</w:t>
            </w:r>
          </w:p>
        </w:tc>
        <w:tc>
          <w:tcPr/>
          <w:p>
            <w:pPr>
              <w:pStyle w:val="Compact"/>
              <w:jc w:val="right"/>
            </w:pPr>
            <w:r>
              <w:t xml:space="preserve">0.909</w:t>
            </w:r>
          </w:p>
        </w:tc>
        <w:tc>
          <w:tcPr/>
          <w:p>
            <w:pPr>
              <w:pStyle w:val="Compact"/>
              <w:jc w:val="right"/>
            </w:pPr>
            <w:r>
              <w:t xml:space="preserve">0.039</w:t>
            </w:r>
          </w:p>
        </w:tc>
        <w:tc>
          <w:tcPr/>
          <w:p>
            <w:pPr>
              <w:pStyle w:val="Compact"/>
              <w:jc w:val="left"/>
            </w:pPr>
            <w:r>
              <w:t xml:space="preserve">True</w:t>
            </w:r>
          </w:p>
        </w:tc>
      </w:tr>
      <w:tr>
        <w:tc>
          <w:tcPr/>
          <w:p>
            <w:pPr>
              <w:pStyle w:val="Compact"/>
              <w:jc w:val="right"/>
            </w:pPr>
            <w:r>
              <w:t xml:space="preserve">35</w:t>
            </w:r>
          </w:p>
        </w:tc>
        <w:tc>
          <w:tcPr/>
          <w:p>
            <w:pPr>
              <w:pStyle w:val="Compact"/>
              <w:jc w:val="right"/>
            </w:pPr>
            <w:r>
              <w:t xml:space="preserve">0.962</w:t>
            </w:r>
          </w:p>
        </w:tc>
        <w:tc>
          <w:tcPr/>
          <w:p>
            <w:pPr>
              <w:pStyle w:val="Compact"/>
              <w:jc w:val="right"/>
            </w:pPr>
            <w:r>
              <w:t xml:space="preserve">0.948</w:t>
            </w:r>
          </w:p>
        </w:tc>
        <w:tc>
          <w:tcPr/>
          <w:p>
            <w:pPr>
              <w:pStyle w:val="Compact"/>
              <w:jc w:val="right"/>
            </w:pPr>
            <w:r>
              <w:t xml:space="preserve">0.015</w:t>
            </w:r>
          </w:p>
        </w:tc>
        <w:tc>
          <w:tcPr/>
          <w:p>
            <w:pPr>
              <w:pStyle w:val="Compact"/>
              <w:jc w:val="left"/>
            </w:pPr>
            <w:r>
              <w:t xml:space="preserve">False</w:t>
            </w:r>
          </w:p>
        </w:tc>
      </w:tr>
      <w:tr>
        <w:tc>
          <w:tcPr/>
          <w:p>
            <w:pPr>
              <w:pStyle w:val="Compact"/>
              <w:jc w:val="right"/>
            </w:pPr>
            <w:r>
              <w:t xml:space="preserve">36</w:t>
            </w:r>
          </w:p>
        </w:tc>
        <w:tc>
          <w:tcPr/>
          <w:p>
            <w:pPr>
              <w:pStyle w:val="Compact"/>
              <w:jc w:val="right"/>
            </w:pPr>
            <w:r>
              <w:t xml:space="preserve">0.967</w:t>
            </w:r>
          </w:p>
        </w:tc>
        <w:tc>
          <w:tcPr/>
          <w:p>
            <w:pPr>
              <w:pStyle w:val="Compact"/>
              <w:jc w:val="right"/>
            </w:pPr>
            <w:r>
              <w:t xml:space="preserve">0.917</w:t>
            </w:r>
          </w:p>
        </w:tc>
        <w:tc>
          <w:tcPr/>
          <w:p>
            <w:pPr>
              <w:pStyle w:val="Compact"/>
              <w:jc w:val="right"/>
            </w:pPr>
            <w:r>
              <w:t xml:space="preserve">0.051</w:t>
            </w:r>
          </w:p>
        </w:tc>
        <w:tc>
          <w:tcPr/>
          <w:p>
            <w:pPr>
              <w:pStyle w:val="Compact"/>
              <w:jc w:val="left"/>
            </w:pPr>
            <w:r>
              <w:t xml:space="preserve">True</w:t>
            </w:r>
          </w:p>
        </w:tc>
      </w:tr>
      <w:tr>
        <w:tc>
          <w:tcPr/>
          <w:p>
            <w:pPr>
              <w:pStyle w:val="Compact"/>
              <w:jc w:val="right"/>
            </w:pPr>
            <w:r>
              <w:t xml:space="preserve">37</w:t>
            </w:r>
          </w:p>
        </w:tc>
        <w:tc>
          <w:tcPr/>
          <w:p>
            <w:pPr>
              <w:pStyle w:val="Compact"/>
              <w:jc w:val="right"/>
            </w:pPr>
            <w:r>
              <w:t xml:space="preserve">0.967</w:t>
            </w:r>
          </w:p>
        </w:tc>
        <w:tc>
          <w:tcPr/>
          <w:p>
            <w:pPr>
              <w:pStyle w:val="Compact"/>
              <w:jc w:val="right"/>
            </w:pPr>
            <w:r>
              <w:t xml:space="preserve">0.940</w:t>
            </w:r>
          </w:p>
        </w:tc>
        <w:tc>
          <w:tcPr/>
          <w:p>
            <w:pPr>
              <w:pStyle w:val="Compact"/>
              <w:jc w:val="right"/>
            </w:pPr>
            <w:r>
              <w:t xml:space="preserve">0.027</w:t>
            </w:r>
          </w:p>
        </w:tc>
        <w:tc>
          <w:tcPr/>
          <w:p>
            <w:pPr>
              <w:pStyle w:val="Compact"/>
              <w:jc w:val="left"/>
            </w:pPr>
            <w:r>
              <w:t xml:space="preserve">False</w:t>
            </w:r>
          </w:p>
        </w:tc>
      </w:tr>
    </w:tbl>
    <w:p>
      <w:pPr>
        <w:pStyle w:val="BodyText"/>
      </w:pPr>
      <w:r>
        <w:rPr>
          <w:i/>
          <w:iCs/>
        </w:rPr>
        <w:t xml:space="preserve">AUROC and Brier reported with 95 % bootstrap CI.</w:t>
      </w:r>
    </w:p>
    <w:p>
      <w:pPr>
        <w:pStyle w:val="BodyText"/>
      </w:pPr>
      <w:r>
        <w:t xml:space="preserve">Group codes correspond to Nigeria DHS sstate variable values (37 states + FCT). Flagged = absolute error &gt; 0.05.</w:t>
      </w:r>
    </w:p>
    <w:p>
      <w:r>
        <w:pict>
          <v:rect style="width:0;height:1.5pt" o:hralign="center" o:hrstd="t" o:hr="t"/>
        </w:pict>
      </w:r>
    </w:p>
    <w:bookmarkEnd w:id="25"/>
    <w:bookmarkStart w:id="26" w:name="X5e44c5b43e52595cfe48b4dc7ee083df48db5b1"/>
    <w:p>
      <w:pPr>
        <w:pStyle w:val="Heading3"/>
      </w:pPr>
      <w:r>
        <w:t xml:space="preserve">Table S3 — Subgroup prediction performance by wealth quintile</w:t>
      </w:r>
    </w:p>
    <w:p>
      <w:pPr>
        <w:pStyle w:val="FirstParagraph"/>
      </w:pPr>
      <w:r>
        <w:rPr>
          <w:b/>
          <w:bCs/>
        </w:rPr>
        <w:t xml:space="preserve">Table S. Subgroup prediction performance by wealth quintile.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group</w:t>
            </w:r>
          </w:p>
        </w:tc>
        <w:tc>
          <w:tcPr/>
          <w:p>
            <w:pPr>
              <w:pStyle w:val="Compact"/>
              <w:jc w:val="right"/>
            </w:pPr>
            <w:r>
              <w:t xml:space="preserve">predicted</w:t>
            </w:r>
          </w:p>
        </w:tc>
        <w:tc>
          <w:tcPr/>
          <w:p>
            <w:pPr>
              <w:pStyle w:val="Compact"/>
              <w:jc w:val="right"/>
            </w:pPr>
            <w:r>
              <w:t xml:space="preserve">observed</w:t>
            </w:r>
          </w:p>
        </w:tc>
        <w:tc>
          <w:tcPr/>
          <w:p>
            <w:pPr>
              <w:pStyle w:val="Compact"/>
              <w:jc w:val="right"/>
            </w:pPr>
            <w:r>
              <w:t xml:space="preserve">absolute_error</w:t>
            </w:r>
          </w:p>
        </w:tc>
        <w:tc>
          <w:tcPr/>
          <w:p>
            <w:pPr>
              <w:pStyle w:val="Compact"/>
              <w:jc w:val="left"/>
            </w:pPr>
            <w:r>
              <w:t xml:space="preserve">flagged</w:t>
            </w:r>
          </w:p>
        </w:tc>
      </w:tr>
      <w:tr>
        <w:tc>
          <w:tcPr/>
          <w:p>
            <w:pPr>
              <w:pStyle w:val="Compact"/>
              <w:jc w:val="right"/>
            </w:pPr>
            <w:r>
              <w:t xml:space="preserve">3</w:t>
            </w:r>
          </w:p>
        </w:tc>
        <w:tc>
          <w:tcPr/>
          <w:p>
            <w:pPr>
              <w:pStyle w:val="Compact"/>
              <w:jc w:val="right"/>
            </w:pPr>
            <w:r>
              <w:t xml:space="preserve">0.897</w:t>
            </w:r>
          </w:p>
        </w:tc>
        <w:tc>
          <w:tcPr/>
          <w:p>
            <w:pPr>
              <w:pStyle w:val="Compact"/>
              <w:jc w:val="right"/>
            </w:pPr>
            <w:r>
              <w:t xml:space="preserve">0.836</w:t>
            </w:r>
          </w:p>
        </w:tc>
        <w:tc>
          <w:tcPr/>
          <w:p>
            <w:pPr>
              <w:pStyle w:val="Compact"/>
              <w:jc w:val="right"/>
            </w:pPr>
            <w:r>
              <w:t xml:space="preserve">0.061</w:t>
            </w:r>
          </w:p>
        </w:tc>
        <w:tc>
          <w:tcPr/>
          <w:p>
            <w:pPr>
              <w:pStyle w:val="Compact"/>
              <w:jc w:val="left"/>
            </w:pPr>
            <w:r>
              <w:t xml:space="preserve">True</w:t>
            </w:r>
          </w:p>
        </w:tc>
      </w:tr>
      <w:tr>
        <w:tc>
          <w:tcPr/>
          <w:p>
            <w:pPr>
              <w:pStyle w:val="Compact"/>
              <w:jc w:val="right"/>
            </w:pPr>
            <w:r>
              <w:t xml:space="preserve">4</w:t>
            </w:r>
          </w:p>
        </w:tc>
        <w:tc>
          <w:tcPr/>
          <w:p>
            <w:pPr>
              <w:pStyle w:val="Compact"/>
              <w:jc w:val="right"/>
            </w:pPr>
            <w:r>
              <w:t xml:space="preserve">0.913</w:t>
            </w:r>
          </w:p>
        </w:tc>
        <w:tc>
          <w:tcPr/>
          <w:p>
            <w:pPr>
              <w:pStyle w:val="Compact"/>
              <w:jc w:val="right"/>
            </w:pPr>
            <w:r>
              <w:t xml:space="preserve">0.857</w:t>
            </w:r>
          </w:p>
        </w:tc>
        <w:tc>
          <w:tcPr/>
          <w:p>
            <w:pPr>
              <w:pStyle w:val="Compact"/>
              <w:jc w:val="right"/>
            </w:pPr>
            <w:r>
              <w:t xml:space="preserve">0.056</w:t>
            </w:r>
          </w:p>
        </w:tc>
        <w:tc>
          <w:tcPr/>
          <w:p>
            <w:pPr>
              <w:pStyle w:val="Compact"/>
              <w:jc w:val="left"/>
            </w:pPr>
            <w:r>
              <w:t xml:space="preserve">True</w:t>
            </w:r>
          </w:p>
        </w:tc>
      </w:tr>
      <w:tr>
        <w:tc>
          <w:tcPr/>
          <w:p>
            <w:pPr>
              <w:pStyle w:val="Compact"/>
              <w:jc w:val="right"/>
            </w:pPr>
            <w:r>
              <w:t xml:space="preserve">5</w:t>
            </w:r>
          </w:p>
        </w:tc>
        <w:tc>
          <w:tcPr/>
          <w:p>
            <w:pPr>
              <w:pStyle w:val="Compact"/>
              <w:jc w:val="right"/>
            </w:pPr>
            <w:r>
              <w:t xml:space="preserve">0.958</w:t>
            </w:r>
          </w:p>
        </w:tc>
        <w:tc>
          <w:tcPr/>
          <w:p>
            <w:pPr>
              <w:pStyle w:val="Compact"/>
              <w:jc w:val="right"/>
            </w:pPr>
            <w:r>
              <w:t xml:space="preserve">0.918</w:t>
            </w:r>
          </w:p>
        </w:tc>
        <w:tc>
          <w:tcPr/>
          <w:p>
            <w:pPr>
              <w:pStyle w:val="Compact"/>
              <w:jc w:val="right"/>
            </w:pPr>
            <w:r>
              <w:t xml:space="preserve">0.040</w:t>
            </w:r>
          </w:p>
        </w:tc>
        <w:tc>
          <w:tcPr/>
          <w:p>
            <w:pPr>
              <w:pStyle w:val="Compact"/>
              <w:jc w:val="left"/>
            </w:pPr>
            <w:r>
              <w:t xml:space="preserve">True</w:t>
            </w:r>
          </w:p>
        </w:tc>
      </w:tr>
      <w:tr>
        <w:tc>
          <w:tcPr/>
          <w:p>
            <w:pPr>
              <w:pStyle w:val="Compact"/>
              <w:jc w:val="right"/>
            </w:pPr>
            <w:r>
              <w:t xml:space="preserve">1</w:t>
            </w:r>
          </w:p>
        </w:tc>
        <w:tc>
          <w:tcPr/>
          <w:p>
            <w:pPr>
              <w:pStyle w:val="Compact"/>
              <w:jc w:val="right"/>
            </w:pPr>
            <w:r>
              <w:t xml:space="preserve">0.880</w:t>
            </w:r>
          </w:p>
        </w:tc>
        <w:tc>
          <w:tcPr/>
          <w:p>
            <w:pPr>
              <w:pStyle w:val="Compact"/>
              <w:jc w:val="right"/>
            </w:pPr>
            <w:r>
              <w:t xml:space="preserve">0.834</w:t>
            </w:r>
          </w:p>
        </w:tc>
        <w:tc>
          <w:tcPr/>
          <w:p>
            <w:pPr>
              <w:pStyle w:val="Compact"/>
              <w:jc w:val="right"/>
            </w:pPr>
            <w:r>
              <w:t xml:space="preserve">0.047</w:t>
            </w:r>
          </w:p>
        </w:tc>
        <w:tc>
          <w:tcPr/>
          <w:p>
            <w:pPr>
              <w:pStyle w:val="Compact"/>
              <w:jc w:val="left"/>
            </w:pPr>
            <w:r>
              <w:t xml:space="preserve">True</w:t>
            </w:r>
          </w:p>
        </w:tc>
      </w:tr>
      <w:tr>
        <w:tc>
          <w:tcPr/>
          <w:p>
            <w:pPr>
              <w:pStyle w:val="Compact"/>
              <w:jc w:val="right"/>
            </w:pPr>
            <w:r>
              <w:t xml:space="preserve">2</w:t>
            </w:r>
          </w:p>
        </w:tc>
        <w:tc>
          <w:tcPr/>
          <w:p>
            <w:pPr>
              <w:pStyle w:val="Compact"/>
              <w:jc w:val="right"/>
            </w:pPr>
            <w:r>
              <w:t xml:space="preserve">0.868</w:t>
            </w:r>
          </w:p>
        </w:tc>
        <w:tc>
          <w:tcPr/>
          <w:p>
            <w:pPr>
              <w:pStyle w:val="Compact"/>
              <w:jc w:val="right"/>
            </w:pPr>
            <w:r>
              <w:t xml:space="preserve">0.801</w:t>
            </w:r>
          </w:p>
        </w:tc>
        <w:tc>
          <w:tcPr/>
          <w:p>
            <w:pPr>
              <w:pStyle w:val="Compact"/>
              <w:jc w:val="right"/>
            </w:pPr>
            <w:r>
              <w:t xml:space="preserve">0.067</w:t>
            </w:r>
          </w:p>
        </w:tc>
        <w:tc>
          <w:tcPr/>
          <w:p>
            <w:pPr>
              <w:pStyle w:val="Compact"/>
              <w:jc w:val="left"/>
            </w:pPr>
            <w:r>
              <w:t xml:space="preserve">True</w:t>
            </w:r>
          </w:p>
        </w:tc>
      </w:tr>
    </w:tbl>
    <w:p>
      <w:pPr>
        <w:pStyle w:val="BodyText"/>
      </w:pPr>
      <w:r>
        <w:rPr>
          <w:i/>
          <w:iCs/>
        </w:rPr>
        <w:t xml:space="preserve">AUROC and Brier reported with 95 % bootstrap CI.</w:t>
      </w:r>
    </w:p>
    <w:p>
      <w:pPr>
        <w:pStyle w:val="BodyText"/>
      </w:pPr>
      <w:r>
        <w:t xml:space="preserve">Wealth quintile codes (DHS v190): 1 = Poorest, 2 = Poorer, 3 = Middle, 4 = Richer, 5 = Richest. All five quintiles flagged, indicating systematic model over-prediction of DTP3 completion across the wealth distribution; this is acknowledged as a calibration limitation in §4.</w:t>
      </w:r>
    </w:p>
    <w:p>
      <w:r>
        <w:pict>
          <v:rect style="width:0;height:1.5pt" o:hralign="center" o:hrstd="t" o:hr="t"/>
        </w:pict>
      </w:r>
    </w:p>
    <w:bookmarkEnd w:id="26"/>
    <w:bookmarkStart w:id="27" w:name="X5c81ee2a1b2e22bdc0b52b31fec2fc78831af83"/>
    <w:p>
      <w:pPr>
        <w:pStyle w:val="Heading3"/>
      </w:pPr>
      <w:r>
        <w:t xml:space="preserve">Table S4 — Subgroup prediction performance by urban/rural residence</w:t>
      </w:r>
    </w:p>
    <w:p>
      <w:pPr>
        <w:pStyle w:val="FirstParagraph"/>
      </w:pPr>
      <w:r>
        <w:rPr>
          <w:b/>
          <w:bCs/>
        </w:rPr>
        <w:t xml:space="preserve">Table S. Subgroup prediction performance by urban rural.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group</w:t>
            </w:r>
          </w:p>
        </w:tc>
        <w:tc>
          <w:tcPr/>
          <w:p>
            <w:pPr>
              <w:pStyle w:val="Compact"/>
              <w:jc w:val="right"/>
            </w:pPr>
            <w:r>
              <w:t xml:space="preserve">predicted</w:t>
            </w:r>
          </w:p>
        </w:tc>
        <w:tc>
          <w:tcPr/>
          <w:p>
            <w:pPr>
              <w:pStyle w:val="Compact"/>
              <w:jc w:val="right"/>
            </w:pPr>
            <w:r>
              <w:t xml:space="preserve">observed</w:t>
            </w:r>
          </w:p>
        </w:tc>
        <w:tc>
          <w:tcPr/>
          <w:p>
            <w:pPr>
              <w:pStyle w:val="Compact"/>
              <w:jc w:val="right"/>
            </w:pPr>
            <w:r>
              <w:t xml:space="preserve">absolute_error</w:t>
            </w:r>
          </w:p>
        </w:tc>
        <w:tc>
          <w:tcPr/>
          <w:p>
            <w:pPr>
              <w:pStyle w:val="Compact"/>
              <w:jc w:val="left"/>
            </w:pPr>
            <w:r>
              <w:t xml:space="preserve">flagged</w:t>
            </w:r>
          </w:p>
        </w:tc>
      </w:tr>
      <w:tr>
        <w:tc>
          <w:tcPr/>
          <w:p>
            <w:pPr>
              <w:pStyle w:val="Compact"/>
              <w:jc w:val="right"/>
            </w:pPr>
            <w:r>
              <w:t xml:space="preserve">0</w:t>
            </w:r>
          </w:p>
        </w:tc>
        <w:tc>
          <w:tcPr/>
          <w:p>
            <w:pPr>
              <w:pStyle w:val="Compact"/>
              <w:jc w:val="right"/>
            </w:pPr>
            <w:r>
              <w:t xml:space="preserve">0.915</w:t>
            </w:r>
          </w:p>
        </w:tc>
        <w:tc>
          <w:tcPr/>
          <w:p>
            <w:pPr>
              <w:pStyle w:val="Compact"/>
              <w:jc w:val="right"/>
            </w:pPr>
            <w:r>
              <w:t xml:space="preserve">0.847</w:t>
            </w:r>
          </w:p>
        </w:tc>
        <w:tc>
          <w:tcPr/>
          <w:p>
            <w:pPr>
              <w:pStyle w:val="Compact"/>
              <w:jc w:val="right"/>
            </w:pPr>
            <w:r>
              <w:t xml:space="preserve">0.067</w:t>
            </w:r>
          </w:p>
        </w:tc>
        <w:tc>
          <w:tcPr/>
          <w:p>
            <w:pPr>
              <w:pStyle w:val="Compact"/>
              <w:jc w:val="left"/>
            </w:pPr>
            <w:r>
              <w:t xml:space="preserve">True</w:t>
            </w:r>
          </w:p>
        </w:tc>
      </w:tr>
      <w:tr>
        <w:tc>
          <w:tcPr/>
          <w:p>
            <w:pPr>
              <w:pStyle w:val="Compact"/>
              <w:jc w:val="right"/>
            </w:pPr>
            <w:r>
              <w:t xml:space="preserve">1</w:t>
            </w:r>
          </w:p>
        </w:tc>
        <w:tc>
          <w:tcPr/>
          <w:p>
            <w:pPr>
              <w:pStyle w:val="Compact"/>
              <w:jc w:val="right"/>
            </w:pPr>
            <w:r>
              <w:t xml:space="preserve">0.907</w:t>
            </w:r>
          </w:p>
        </w:tc>
        <w:tc>
          <w:tcPr/>
          <w:p>
            <w:pPr>
              <w:pStyle w:val="Compact"/>
              <w:jc w:val="right"/>
            </w:pPr>
            <w:r>
              <w:t xml:space="preserve">0.860</w:t>
            </w:r>
          </w:p>
        </w:tc>
        <w:tc>
          <w:tcPr/>
          <w:p>
            <w:pPr>
              <w:pStyle w:val="Compact"/>
              <w:jc w:val="right"/>
            </w:pPr>
            <w:r>
              <w:t xml:space="preserve">0.047</w:t>
            </w:r>
          </w:p>
        </w:tc>
        <w:tc>
          <w:tcPr/>
          <w:p>
            <w:pPr>
              <w:pStyle w:val="Compact"/>
              <w:jc w:val="left"/>
            </w:pPr>
            <w:r>
              <w:t xml:space="preserve">True</w:t>
            </w:r>
          </w:p>
        </w:tc>
      </w:tr>
    </w:tbl>
    <w:p>
      <w:pPr>
        <w:pStyle w:val="BodyText"/>
      </w:pPr>
      <w:r>
        <w:rPr>
          <w:i/>
          <w:iCs/>
        </w:rPr>
        <w:t xml:space="preserve">AUROC and Brier reported with 95 % bootstrap CI.</w:t>
      </w:r>
    </w:p>
    <w:p>
      <w:pPr>
        <w:pStyle w:val="BodyText"/>
      </w:pPr>
      <w:r>
        <w:t xml:space="preserve">Residence codes (DHS v025): 0 = Urban, 1 = Rural. Both strata flagged.</w:t>
      </w:r>
    </w:p>
    <w:p>
      <w:r>
        <w:pict>
          <v:rect style="width:0;height:1.5pt" o:hralign="center" o:hrstd="t" o:hr="t"/>
        </w:pict>
      </w:r>
    </w:p>
    <w:bookmarkEnd w:id="27"/>
    <w:bookmarkStart w:id="28" w:name="Xabd1a91afdc3505b87a22d3debe10100363cd90"/>
    <w:p>
      <w:pPr>
        <w:pStyle w:val="Heading3"/>
      </w:pPr>
      <w:r>
        <w:t xml:space="preserve">Table S5 — Subgroup prediction performance by maternal education</w:t>
      </w:r>
    </w:p>
    <w:p>
      <w:pPr>
        <w:pStyle w:val="FirstParagraph"/>
      </w:pPr>
      <w:r>
        <w:rPr>
          <w:b/>
          <w:bCs/>
        </w:rPr>
        <w:t xml:space="preserve">Table S. Subgroup prediction performance by maternal education.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group</w:t>
            </w:r>
          </w:p>
        </w:tc>
        <w:tc>
          <w:tcPr/>
          <w:p>
            <w:pPr>
              <w:pStyle w:val="Compact"/>
              <w:jc w:val="right"/>
            </w:pPr>
            <w:r>
              <w:t xml:space="preserve">predicted</w:t>
            </w:r>
          </w:p>
        </w:tc>
        <w:tc>
          <w:tcPr/>
          <w:p>
            <w:pPr>
              <w:pStyle w:val="Compact"/>
              <w:jc w:val="right"/>
            </w:pPr>
            <w:r>
              <w:t xml:space="preserve">observed</w:t>
            </w:r>
          </w:p>
        </w:tc>
        <w:tc>
          <w:tcPr/>
          <w:p>
            <w:pPr>
              <w:pStyle w:val="Compact"/>
              <w:jc w:val="right"/>
            </w:pPr>
            <w:r>
              <w:t xml:space="preserve">absolute_error</w:t>
            </w:r>
          </w:p>
        </w:tc>
        <w:tc>
          <w:tcPr/>
          <w:p>
            <w:pPr>
              <w:pStyle w:val="Compact"/>
              <w:jc w:val="left"/>
            </w:pPr>
            <w:r>
              <w:t xml:space="preserve">flagged</w:t>
            </w:r>
          </w:p>
        </w:tc>
      </w:tr>
      <w:tr>
        <w:tc>
          <w:tcPr/>
          <w:p>
            <w:pPr>
              <w:pStyle w:val="Compact"/>
              <w:jc w:val="right"/>
            </w:pPr>
            <w:r>
              <w:t xml:space="preserve">2</w:t>
            </w:r>
          </w:p>
        </w:tc>
        <w:tc>
          <w:tcPr/>
          <w:p>
            <w:pPr>
              <w:pStyle w:val="Compact"/>
              <w:jc w:val="right"/>
            </w:pPr>
            <w:r>
              <w:t xml:space="preserve">0.914</w:t>
            </w:r>
          </w:p>
        </w:tc>
        <w:tc>
          <w:tcPr/>
          <w:p>
            <w:pPr>
              <w:pStyle w:val="Compact"/>
              <w:jc w:val="right"/>
            </w:pPr>
            <w:r>
              <w:t xml:space="preserve">0.850</w:t>
            </w:r>
          </w:p>
        </w:tc>
        <w:tc>
          <w:tcPr/>
          <w:p>
            <w:pPr>
              <w:pStyle w:val="Compact"/>
              <w:jc w:val="right"/>
            </w:pPr>
            <w:r>
              <w:t xml:space="preserve">0.064</w:t>
            </w:r>
          </w:p>
        </w:tc>
        <w:tc>
          <w:tcPr/>
          <w:p>
            <w:pPr>
              <w:pStyle w:val="Compact"/>
              <w:jc w:val="left"/>
            </w:pPr>
            <w:r>
              <w:t xml:space="preserve">True</w:t>
            </w:r>
          </w:p>
        </w:tc>
      </w:tr>
      <w:tr>
        <w:tc>
          <w:tcPr/>
          <w:p>
            <w:pPr>
              <w:pStyle w:val="Compact"/>
              <w:jc w:val="right"/>
            </w:pPr>
            <w:r>
              <w:t xml:space="preserve">0</w:t>
            </w:r>
          </w:p>
        </w:tc>
        <w:tc>
          <w:tcPr/>
          <w:p>
            <w:pPr>
              <w:pStyle w:val="Compact"/>
              <w:jc w:val="right"/>
            </w:pPr>
            <w:r>
              <w:t xml:space="preserve">0.872</w:t>
            </w:r>
          </w:p>
        </w:tc>
        <w:tc>
          <w:tcPr/>
          <w:p>
            <w:pPr>
              <w:pStyle w:val="Compact"/>
              <w:jc w:val="right"/>
            </w:pPr>
            <w:r>
              <w:t xml:space="preserve">0.826</w:t>
            </w:r>
          </w:p>
        </w:tc>
        <w:tc>
          <w:tcPr/>
          <w:p>
            <w:pPr>
              <w:pStyle w:val="Compact"/>
              <w:jc w:val="right"/>
            </w:pPr>
            <w:r>
              <w:t xml:space="preserve">0.046</w:t>
            </w:r>
          </w:p>
        </w:tc>
        <w:tc>
          <w:tcPr/>
          <w:p>
            <w:pPr>
              <w:pStyle w:val="Compact"/>
              <w:jc w:val="left"/>
            </w:pPr>
            <w:r>
              <w:t xml:space="preserve">True</w:t>
            </w:r>
          </w:p>
        </w:tc>
      </w:tr>
      <w:tr>
        <w:tc>
          <w:tcPr/>
          <w:p>
            <w:pPr>
              <w:pStyle w:val="Compact"/>
              <w:jc w:val="right"/>
            </w:pPr>
            <w:r>
              <w:t xml:space="preserve">3</w:t>
            </w:r>
          </w:p>
        </w:tc>
        <w:tc>
          <w:tcPr/>
          <w:p>
            <w:pPr>
              <w:pStyle w:val="Compact"/>
              <w:jc w:val="right"/>
            </w:pPr>
            <w:r>
              <w:t xml:space="preserve">0.967</w:t>
            </w:r>
          </w:p>
        </w:tc>
        <w:tc>
          <w:tcPr/>
          <w:p>
            <w:pPr>
              <w:pStyle w:val="Compact"/>
              <w:jc w:val="right"/>
            </w:pPr>
            <w:r>
              <w:t xml:space="preserve">0.938</w:t>
            </w:r>
          </w:p>
        </w:tc>
        <w:tc>
          <w:tcPr/>
          <w:p>
            <w:pPr>
              <w:pStyle w:val="Compact"/>
              <w:jc w:val="right"/>
            </w:pPr>
            <w:r>
              <w:t xml:space="preserve">0.029</w:t>
            </w:r>
          </w:p>
        </w:tc>
        <w:tc>
          <w:tcPr/>
          <w:p>
            <w:pPr>
              <w:pStyle w:val="Compact"/>
              <w:jc w:val="left"/>
            </w:pPr>
            <w:r>
              <w:t xml:space="preserve">False</w:t>
            </w:r>
          </w:p>
        </w:tc>
      </w:tr>
      <w:tr>
        <w:tc>
          <w:tcPr/>
          <w:p>
            <w:pPr>
              <w:pStyle w:val="Compact"/>
              <w:jc w:val="right"/>
            </w:pPr>
            <w:r>
              <w:t xml:space="preserve">1</w:t>
            </w:r>
          </w:p>
        </w:tc>
        <w:tc>
          <w:tcPr/>
          <w:p>
            <w:pPr>
              <w:pStyle w:val="Compact"/>
              <w:jc w:val="right"/>
            </w:pPr>
            <w:r>
              <w:t xml:space="preserve">0.893</w:t>
            </w:r>
          </w:p>
        </w:tc>
        <w:tc>
          <w:tcPr/>
          <w:p>
            <w:pPr>
              <w:pStyle w:val="Compact"/>
              <w:jc w:val="right"/>
            </w:pPr>
            <w:r>
              <w:t xml:space="preserve">0.824</w:t>
            </w:r>
          </w:p>
        </w:tc>
        <w:tc>
          <w:tcPr/>
          <w:p>
            <w:pPr>
              <w:pStyle w:val="Compact"/>
              <w:jc w:val="right"/>
            </w:pPr>
            <w:r>
              <w:t xml:space="preserve">0.068</w:t>
            </w:r>
          </w:p>
        </w:tc>
        <w:tc>
          <w:tcPr/>
          <w:p>
            <w:pPr>
              <w:pStyle w:val="Compact"/>
              <w:jc w:val="left"/>
            </w:pPr>
            <w:r>
              <w:t xml:space="preserve">True</w:t>
            </w:r>
          </w:p>
        </w:tc>
      </w:tr>
    </w:tbl>
    <w:p>
      <w:pPr>
        <w:pStyle w:val="BodyText"/>
      </w:pPr>
      <w:r>
        <w:rPr>
          <w:i/>
          <w:iCs/>
        </w:rPr>
        <w:t xml:space="preserve">AUROC and Brier reported with 95 % bootstrap CI.</w:t>
      </w:r>
    </w:p>
    <w:p>
      <w:pPr>
        <w:pStyle w:val="BodyText"/>
      </w:pPr>
      <w:r>
        <w:t xml:space="preserve">Education codes (DHS v106): 0 = No education, 1 = Primary, 2 = Secondary, 3 = Higher. Group 3 (higher education) is the only stratum not flagged; all other education levels show over-prediction.</w:t>
      </w:r>
    </w:p>
    <w:p>
      <w:r>
        <w:pict>
          <v:rect style="width:0;height:1.5pt" o:hralign="center" o:hrstd="t" o:hr="t"/>
        </w:pict>
      </w:r>
    </w:p>
    <w:bookmarkEnd w:id="28"/>
    <w:bookmarkStart w:id="29" w:name="X3940d1e050a76fed00bfd450af993770523ea24"/>
    <w:p>
      <w:pPr>
        <w:pStyle w:val="Heading3"/>
      </w:pPr>
      <w:r>
        <w:t xml:space="preserve">Table S6 — RL policy lookup (first 50 of 2,500 states)</w:t>
      </w:r>
    </w:p>
    <w:p>
      <w:pPr>
        <w:pStyle w:val="FirstParagraph"/>
      </w:pPr>
      <w:r>
        <w:rPr>
          <w:b/>
          <w:bCs/>
        </w:rPr>
        <w:t xml:space="preserve">Table S. Example RL policy lookup (first 50 of 2,500 state representations) showing recommended action and Q-values.</w:t>
      </w:r>
    </w:p>
    <w:tbl>
      <w:tblPr>
        <w:tblStyle w:val="Table"/>
        <w:tblW w:type="pct" w:w="5000"/>
        <w:tblLayout w:type="fixed"/>
        <w:tblLook w:firstRow="1" w:lastRow="0" w:firstColumn="0" w:lastColumn="0" w:noHBand="0" w:noVBand="0" w:val="0020"/>
      </w:tblPr>
      <w:tblGrid>
        <w:gridCol w:w="688"/>
        <w:gridCol w:w="746"/>
        <w:gridCol w:w="1033"/>
        <w:gridCol w:w="516"/>
        <w:gridCol w:w="459"/>
        <w:gridCol w:w="459"/>
        <w:gridCol w:w="459"/>
        <w:gridCol w:w="459"/>
        <w:gridCol w:w="516"/>
        <w:gridCol w:w="860"/>
        <w:gridCol w:w="1147"/>
        <w:gridCol w:w="573"/>
      </w:tblGrid>
      <w:tr>
        <w:trPr>
          <w:tblHeader w:val="on"/>
        </w:trPr>
        <w:tc>
          <w:tcPr/>
          <w:p>
            <w:pPr>
              <w:pStyle w:val="Compact"/>
              <w:jc w:val="right"/>
            </w:pPr>
            <w:r>
              <w:t xml:space="preserve">child_id</w:t>
            </w:r>
          </w:p>
        </w:tc>
        <w:tc>
          <w:tcPr/>
          <w:p>
            <w:pPr>
              <w:pStyle w:val="Compact"/>
              <w:jc w:val="right"/>
            </w:pPr>
            <w:r>
              <w:t xml:space="preserve">dose_step</w:t>
            </w:r>
          </w:p>
        </w:tc>
        <w:tc>
          <w:tcPr/>
          <w:p>
            <w:pPr>
              <w:pStyle w:val="Compact"/>
              <w:jc w:val="right"/>
            </w:pPr>
            <w:r>
              <w:t xml:space="preserve">optimal_action</w:t>
            </w:r>
          </w:p>
        </w:tc>
        <w:tc>
          <w:tcPr/>
          <w:p>
            <w:pPr>
              <w:pStyle w:val="Compact"/>
              <w:jc w:val="right"/>
            </w:pPr>
            <w:r>
              <w:t xml:space="preserve">q_a0</w:t>
            </w:r>
          </w:p>
        </w:tc>
        <w:tc>
          <w:tcPr/>
          <w:p>
            <w:pPr>
              <w:pStyle w:val="Compact"/>
              <w:jc w:val="right"/>
            </w:pPr>
            <w:r>
              <w:t xml:space="preserve">q_a1</w:t>
            </w:r>
          </w:p>
        </w:tc>
        <w:tc>
          <w:tcPr/>
          <w:p>
            <w:pPr>
              <w:pStyle w:val="Compact"/>
              <w:jc w:val="right"/>
            </w:pPr>
            <w:r>
              <w:t xml:space="preserve">q_a2</w:t>
            </w:r>
          </w:p>
        </w:tc>
        <w:tc>
          <w:tcPr/>
          <w:p>
            <w:pPr>
              <w:pStyle w:val="Compact"/>
              <w:jc w:val="right"/>
            </w:pPr>
            <w:r>
              <w:t xml:space="preserve">q_a3</w:t>
            </w:r>
          </w:p>
        </w:tc>
        <w:tc>
          <w:tcPr/>
          <w:p>
            <w:pPr>
              <w:pStyle w:val="Compact"/>
              <w:jc w:val="right"/>
            </w:pPr>
            <w:r>
              <w:t xml:space="preserve">q_a4</w:t>
            </w:r>
          </w:p>
        </w:tc>
        <w:tc>
          <w:tcPr/>
          <w:p>
            <w:pPr>
              <w:pStyle w:val="Compact"/>
              <w:jc w:val="right"/>
            </w:pPr>
            <w:r>
              <w:t xml:space="preserve">q_max</w:t>
            </w:r>
          </w:p>
        </w:tc>
        <w:tc>
          <w:tcPr/>
          <w:p>
            <w:pPr>
              <w:pStyle w:val="Compact"/>
              <w:jc w:val="right"/>
            </w:pPr>
            <w:r>
              <w:t xml:space="preserve">q_advantage</w:t>
            </w:r>
          </w:p>
        </w:tc>
        <w:tc>
          <w:tcPr/>
          <w:p>
            <w:pPr>
              <w:pStyle w:val="Compact"/>
              <w:jc w:val="right"/>
            </w:pPr>
            <w:r>
              <w:t xml:space="preserve">behaviour_action</w:t>
            </w:r>
          </w:p>
        </w:tc>
        <w:tc>
          <w:tcPr/>
          <w:p>
            <w:pPr>
              <w:pStyle w:val="Compact"/>
              <w:jc w:val="right"/>
            </w:pPr>
            <w:r>
              <w:t xml:space="preserve">weight</w:t>
            </w:r>
          </w:p>
        </w:tc>
      </w:tr>
      <w:tr>
        <w:tc>
          <w:tcPr/>
          <w:p>
            <w:pPr>
              <w:pStyle w:val="Compact"/>
              <w:jc w:val="right"/>
            </w:pPr>
            <w:r>
              <w:t xml:space="preserve">2_3_3</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1.6245</w:t>
            </w:r>
          </w:p>
        </w:tc>
        <w:tc>
          <w:tcPr/>
          <w:p>
            <w:pPr>
              <w:pStyle w:val="Compact"/>
              <w:jc w:val="right"/>
            </w:pPr>
            <w:r>
              <w:t xml:space="preserve">1.5895</w:t>
            </w:r>
          </w:p>
        </w:tc>
        <w:tc>
          <w:tcPr/>
          <w:p>
            <w:pPr>
              <w:pStyle w:val="Compact"/>
              <w:jc w:val="right"/>
            </w:pPr>
            <w:r>
              <w:t xml:space="preserve">1.5808</w:t>
            </w:r>
          </w:p>
        </w:tc>
        <w:tc>
          <w:tcPr/>
          <w:p>
            <w:pPr>
              <w:pStyle w:val="Compact"/>
              <w:jc w:val="right"/>
            </w:pPr>
            <w:r>
              <w:t xml:space="preserve">1.1670</w:t>
            </w:r>
          </w:p>
        </w:tc>
        <w:tc>
          <w:tcPr/>
          <w:p>
            <w:pPr>
              <w:pStyle w:val="Compact"/>
              <w:jc w:val="right"/>
            </w:pPr>
            <w:r>
              <w:t xml:space="preserve">1.5998</w:t>
            </w:r>
          </w:p>
        </w:tc>
        <w:tc>
          <w:tcPr/>
          <w:p>
            <w:pPr>
              <w:pStyle w:val="Compact"/>
              <w:jc w:val="right"/>
            </w:pPr>
            <w:r>
              <w:t xml:space="preserve">1.6245</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0.7224</w:t>
            </w:r>
          </w:p>
        </w:tc>
      </w:tr>
      <w:tr>
        <w:tc>
          <w:tcPr/>
          <w:p>
            <w:pPr>
              <w:pStyle w:val="Compact"/>
              <w:jc w:val="right"/>
            </w:pPr>
            <w:r>
              <w:t xml:space="preserve">2_3_3</w:t>
            </w:r>
          </w:p>
        </w:tc>
        <w:tc>
          <w:tcPr/>
          <w:p>
            <w:pPr>
              <w:pStyle w:val="Compact"/>
              <w:jc w:val="right"/>
            </w:pPr>
            <w:r>
              <w:t xml:space="preserve">1</w:t>
            </w:r>
          </w:p>
        </w:tc>
        <w:tc>
          <w:tcPr/>
          <w:p>
            <w:pPr>
              <w:pStyle w:val="Compact"/>
              <w:jc w:val="right"/>
            </w:pPr>
            <w:r>
              <w:t xml:space="preserve">0</w:t>
            </w:r>
          </w:p>
        </w:tc>
        <w:tc>
          <w:tcPr/>
          <w:p>
            <w:pPr>
              <w:pStyle w:val="Compact"/>
              <w:jc w:val="right"/>
            </w:pPr>
            <w:r>
              <w:t xml:space="preserve">1.1750</w:t>
            </w:r>
          </w:p>
        </w:tc>
        <w:tc>
          <w:tcPr/>
          <w:p>
            <w:pPr>
              <w:pStyle w:val="Compact"/>
              <w:jc w:val="right"/>
            </w:pPr>
            <w:r>
              <w:t xml:space="preserve">1.1646</w:t>
            </w:r>
          </w:p>
        </w:tc>
        <w:tc>
          <w:tcPr/>
          <w:p>
            <w:pPr>
              <w:pStyle w:val="Compact"/>
              <w:jc w:val="right"/>
            </w:pPr>
            <w:r>
              <w:t xml:space="preserve">1.1686</w:t>
            </w:r>
          </w:p>
        </w:tc>
        <w:tc>
          <w:tcPr/>
          <w:p>
            <w:pPr>
              <w:pStyle w:val="Compact"/>
              <w:jc w:val="right"/>
            </w:pPr>
            <w:r>
              <w:t xml:space="preserve">1.1670</w:t>
            </w:r>
          </w:p>
        </w:tc>
        <w:tc>
          <w:tcPr/>
          <w:p>
            <w:pPr>
              <w:pStyle w:val="Compact"/>
              <w:jc w:val="right"/>
            </w:pPr>
            <w:r>
              <w:t xml:space="preserve">1.1262</w:t>
            </w:r>
          </w:p>
        </w:tc>
        <w:tc>
          <w:tcPr/>
          <w:p>
            <w:pPr>
              <w:pStyle w:val="Compact"/>
              <w:jc w:val="right"/>
            </w:pPr>
            <w:r>
              <w:t xml:space="preserve">1.1750</w:t>
            </w:r>
          </w:p>
        </w:tc>
        <w:tc>
          <w:tcPr/>
          <w:p>
            <w:pPr>
              <w:pStyle w:val="Compact"/>
              <w:jc w:val="right"/>
            </w:pPr>
            <w:r>
              <w:t xml:space="preserve">0.0064</w:t>
            </w:r>
          </w:p>
        </w:tc>
        <w:tc>
          <w:tcPr/>
          <w:p>
            <w:pPr>
              <w:pStyle w:val="Compact"/>
              <w:jc w:val="right"/>
            </w:pPr>
            <w:r>
              <w:t xml:space="preserve">2</w:t>
            </w:r>
          </w:p>
        </w:tc>
        <w:tc>
          <w:tcPr/>
          <w:p>
            <w:pPr>
              <w:pStyle w:val="Compact"/>
              <w:jc w:val="right"/>
            </w:pPr>
            <w:r>
              <w:t xml:space="preserve">0.7224</w:t>
            </w:r>
          </w:p>
        </w:tc>
      </w:tr>
      <w:tr>
        <w:tc>
          <w:tcPr/>
          <w:p>
            <w:pPr>
              <w:pStyle w:val="Compact"/>
              <w:jc w:val="right"/>
            </w:pPr>
            <w:r>
              <w:t xml:space="preserve">4_1_1</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1.0048</w:t>
            </w:r>
          </w:p>
        </w:tc>
        <w:tc>
          <w:tcPr/>
          <w:p>
            <w:pPr>
              <w:pStyle w:val="Compact"/>
              <w:jc w:val="right"/>
            </w:pPr>
            <w:r>
              <w:t xml:space="preserve">1.5806</w:t>
            </w:r>
          </w:p>
        </w:tc>
        <w:tc>
          <w:tcPr/>
          <w:p>
            <w:pPr>
              <w:pStyle w:val="Compact"/>
              <w:jc w:val="right"/>
            </w:pPr>
            <w:r>
              <w:t xml:space="preserve">1.5882</w:t>
            </w:r>
          </w:p>
        </w:tc>
        <w:tc>
          <w:tcPr/>
          <w:p>
            <w:pPr>
              <w:pStyle w:val="Compact"/>
              <w:jc w:val="right"/>
            </w:pPr>
            <w:r>
              <w:t xml:space="preserve">1.1670</w:t>
            </w:r>
          </w:p>
        </w:tc>
        <w:tc>
          <w:tcPr/>
          <w:p>
            <w:pPr>
              <w:pStyle w:val="Compact"/>
              <w:jc w:val="right"/>
            </w:pPr>
            <w:r>
              <w:t xml:space="preserve">1.5087</w:t>
            </w:r>
          </w:p>
        </w:tc>
        <w:tc>
          <w:tcPr/>
          <w:p>
            <w:pPr>
              <w:pStyle w:val="Compact"/>
              <w:jc w:val="right"/>
            </w:pPr>
            <w:r>
              <w:t xml:space="preserve">1.5882</w:t>
            </w:r>
          </w:p>
        </w:tc>
        <w:tc>
          <w:tcPr/>
          <w:p>
            <w:pPr>
              <w:pStyle w:val="Compact"/>
              <w:jc w:val="right"/>
            </w:pPr>
            <w:r>
              <w:t xml:space="preserve">0.0076</w:t>
            </w:r>
          </w:p>
        </w:tc>
        <w:tc>
          <w:tcPr/>
          <w:p>
            <w:pPr>
              <w:pStyle w:val="Compact"/>
              <w:jc w:val="right"/>
            </w:pPr>
            <w:r>
              <w:t xml:space="preserve">1</w:t>
            </w:r>
          </w:p>
        </w:tc>
        <w:tc>
          <w:tcPr/>
          <w:p>
            <w:pPr>
              <w:pStyle w:val="Compact"/>
              <w:jc w:val="right"/>
            </w:pPr>
            <w:r>
              <w:t xml:space="preserve">1.1799</w:t>
            </w:r>
          </w:p>
        </w:tc>
      </w:tr>
      <w:tr>
        <w:tc>
          <w:tcPr/>
          <w:p>
            <w:pPr>
              <w:pStyle w:val="Compact"/>
              <w:jc w:val="right"/>
            </w:pPr>
            <w:r>
              <w:t xml:space="preserve">4_1_1</w:t>
            </w:r>
          </w:p>
        </w:tc>
        <w:tc>
          <w:tcPr/>
          <w:p>
            <w:pPr>
              <w:pStyle w:val="Compact"/>
              <w:jc w:val="right"/>
            </w:pPr>
            <w:r>
              <w:t xml:space="preserve">1</w:t>
            </w:r>
          </w:p>
        </w:tc>
        <w:tc>
          <w:tcPr/>
          <w:p>
            <w:pPr>
              <w:pStyle w:val="Compact"/>
              <w:jc w:val="right"/>
            </w:pPr>
            <w:r>
              <w:t xml:space="preserve">3</w:t>
            </w:r>
          </w:p>
        </w:tc>
        <w:tc>
          <w:tcPr/>
          <w:p>
            <w:pPr>
              <w:pStyle w:val="Compact"/>
              <w:jc w:val="right"/>
            </w:pPr>
            <w:r>
              <w:t xml:space="preserve">0.1494</w:t>
            </w:r>
          </w:p>
        </w:tc>
        <w:tc>
          <w:tcPr/>
          <w:p>
            <w:pPr>
              <w:pStyle w:val="Compact"/>
              <w:jc w:val="right"/>
            </w:pPr>
            <w:r>
              <w:t xml:space="preserve">1.1664</w:t>
            </w:r>
          </w:p>
        </w:tc>
        <w:tc>
          <w:tcPr/>
          <w:p>
            <w:pPr>
              <w:pStyle w:val="Compact"/>
              <w:jc w:val="right"/>
            </w:pPr>
            <w:r>
              <w:t xml:space="preserve">1.1649</w:t>
            </w:r>
          </w:p>
        </w:tc>
        <w:tc>
          <w:tcPr/>
          <w:p>
            <w:pPr>
              <w:pStyle w:val="Compact"/>
              <w:jc w:val="right"/>
            </w:pPr>
            <w:r>
              <w:t xml:space="preserve">1.1670</w:t>
            </w:r>
          </w:p>
        </w:tc>
        <w:tc>
          <w:tcPr/>
          <w:p>
            <w:pPr>
              <w:pStyle w:val="Compact"/>
              <w:jc w:val="right"/>
            </w:pPr>
            <w:r>
              <w:t xml:space="preserve">0.1765</w:t>
            </w:r>
          </w:p>
        </w:tc>
        <w:tc>
          <w:tcPr/>
          <w:p>
            <w:pPr>
              <w:pStyle w:val="Compact"/>
              <w:jc w:val="right"/>
            </w:pPr>
            <w:r>
              <w:t xml:space="preserve">1.1670</w:t>
            </w:r>
          </w:p>
        </w:tc>
        <w:tc>
          <w:tcPr/>
          <w:p>
            <w:pPr>
              <w:pStyle w:val="Compact"/>
              <w:jc w:val="right"/>
            </w:pPr>
            <w:r>
              <w:t xml:space="preserve">1.0177</w:t>
            </w:r>
          </w:p>
        </w:tc>
        <w:tc>
          <w:tcPr/>
          <w:p>
            <w:pPr>
              <w:pStyle w:val="Compact"/>
              <w:jc w:val="right"/>
            </w:pPr>
            <w:r>
              <w:t xml:space="preserve">0</w:t>
            </w:r>
          </w:p>
        </w:tc>
        <w:tc>
          <w:tcPr/>
          <w:p>
            <w:pPr>
              <w:pStyle w:val="Compact"/>
              <w:jc w:val="right"/>
            </w:pPr>
            <w:r>
              <w:t xml:space="preserve">1.1799</w:t>
            </w:r>
          </w:p>
        </w:tc>
      </w:tr>
      <w:tr>
        <w:tc>
          <w:tcPr/>
          <w:p>
            <w:pPr>
              <w:pStyle w:val="Compact"/>
              <w:jc w:val="right"/>
            </w:pPr>
            <w:r>
              <w:t xml:space="preserve">5_19_2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1.5789</w:t>
            </w:r>
          </w:p>
        </w:tc>
        <w:tc>
          <w:tcPr/>
          <w:p>
            <w:pPr>
              <w:pStyle w:val="Compact"/>
              <w:jc w:val="right"/>
            </w:pPr>
            <w:r>
              <w:t xml:space="preserve">1.5849</w:t>
            </w:r>
          </w:p>
        </w:tc>
        <w:tc>
          <w:tcPr/>
          <w:p>
            <w:pPr>
              <w:pStyle w:val="Compact"/>
              <w:jc w:val="right"/>
            </w:pPr>
            <w:r>
              <w:t xml:space="preserve">1.5880</w:t>
            </w:r>
          </w:p>
        </w:tc>
        <w:tc>
          <w:tcPr/>
          <w:p>
            <w:pPr>
              <w:pStyle w:val="Compact"/>
              <w:jc w:val="right"/>
            </w:pPr>
            <w:r>
              <w:t xml:space="preserve">1.1670</w:t>
            </w:r>
          </w:p>
        </w:tc>
        <w:tc>
          <w:tcPr/>
          <w:p>
            <w:pPr>
              <w:pStyle w:val="Compact"/>
              <w:jc w:val="right"/>
            </w:pPr>
            <w:r>
              <w:t xml:space="preserve">1.5746</w:t>
            </w:r>
          </w:p>
        </w:tc>
        <w:tc>
          <w:tcPr/>
          <w:p>
            <w:pPr>
              <w:pStyle w:val="Compact"/>
              <w:jc w:val="right"/>
            </w:pPr>
            <w:r>
              <w:t xml:space="preserve">1.5880</w:t>
            </w:r>
          </w:p>
        </w:tc>
        <w:tc>
          <w:tcPr/>
          <w:p>
            <w:pPr>
              <w:pStyle w:val="Compact"/>
              <w:jc w:val="right"/>
            </w:pPr>
            <w:r>
              <w:t xml:space="preserve">0.0031</w:t>
            </w:r>
          </w:p>
        </w:tc>
        <w:tc>
          <w:tcPr/>
          <w:p>
            <w:pPr>
              <w:pStyle w:val="Compact"/>
              <w:jc w:val="right"/>
            </w:pPr>
            <w:r>
              <w:t xml:space="preserve">1</w:t>
            </w:r>
          </w:p>
        </w:tc>
        <w:tc>
          <w:tcPr/>
          <w:p>
            <w:pPr>
              <w:pStyle w:val="Compact"/>
              <w:jc w:val="right"/>
            </w:pPr>
            <w:r>
              <w:t xml:space="preserve">0.8297</w:t>
            </w:r>
          </w:p>
        </w:tc>
      </w:tr>
      <w:tr>
        <w:tc>
          <w:tcPr/>
          <w:p>
            <w:pPr>
              <w:pStyle w:val="Compact"/>
              <w:jc w:val="right"/>
            </w:pPr>
            <w:r>
              <w:t xml:space="preserve">5_19_2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1.1247</w:t>
            </w:r>
          </w:p>
        </w:tc>
        <w:tc>
          <w:tcPr/>
          <w:p>
            <w:pPr>
              <w:pStyle w:val="Compact"/>
              <w:jc w:val="right"/>
            </w:pPr>
            <w:r>
              <w:t xml:space="preserve">1.1668</w:t>
            </w:r>
          </w:p>
        </w:tc>
        <w:tc>
          <w:tcPr/>
          <w:p>
            <w:pPr>
              <w:pStyle w:val="Compact"/>
              <w:jc w:val="right"/>
            </w:pPr>
            <w:r>
              <w:t xml:space="preserve">1.1636</w:t>
            </w:r>
          </w:p>
        </w:tc>
        <w:tc>
          <w:tcPr/>
          <w:p>
            <w:pPr>
              <w:pStyle w:val="Compact"/>
              <w:jc w:val="right"/>
            </w:pPr>
            <w:r>
              <w:t xml:space="preserve">1.1670</w:t>
            </w:r>
          </w:p>
        </w:tc>
        <w:tc>
          <w:tcPr/>
          <w:p>
            <w:pPr>
              <w:pStyle w:val="Compact"/>
              <w:jc w:val="right"/>
            </w:pPr>
            <w:r>
              <w:t xml:space="preserve">1.1593</w:t>
            </w:r>
          </w:p>
        </w:tc>
        <w:tc>
          <w:tcPr/>
          <w:p>
            <w:pPr>
              <w:pStyle w:val="Compact"/>
              <w:jc w:val="right"/>
            </w:pPr>
            <w:r>
              <w:t xml:space="preserve">1.1670</w:t>
            </w:r>
          </w:p>
        </w:tc>
        <w:tc>
          <w:tcPr/>
          <w:p>
            <w:pPr>
              <w:pStyle w:val="Compact"/>
              <w:jc w:val="right"/>
            </w:pPr>
            <w:r>
              <w:t xml:space="preserve">0.0002</w:t>
            </w:r>
          </w:p>
        </w:tc>
        <w:tc>
          <w:tcPr/>
          <w:p>
            <w:pPr>
              <w:pStyle w:val="Compact"/>
              <w:jc w:val="right"/>
            </w:pPr>
            <w:r>
              <w:t xml:space="preserve">1</w:t>
            </w:r>
          </w:p>
        </w:tc>
        <w:tc>
          <w:tcPr/>
          <w:p>
            <w:pPr>
              <w:pStyle w:val="Compact"/>
              <w:jc w:val="right"/>
            </w:pPr>
            <w:r>
              <w:t xml:space="preserve">0.8297</w:t>
            </w:r>
          </w:p>
        </w:tc>
      </w:tr>
      <w:tr>
        <w:tc>
          <w:tcPr/>
          <w:p>
            <w:pPr>
              <w:pStyle w:val="Compact"/>
              <w:jc w:val="right"/>
            </w:pPr>
            <w:r>
              <w:t xml:space="preserve">5_51_2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1.5990</w:t>
            </w:r>
          </w:p>
        </w:tc>
        <w:tc>
          <w:tcPr/>
          <w:p>
            <w:pPr>
              <w:pStyle w:val="Compact"/>
              <w:jc w:val="right"/>
            </w:pPr>
            <w:r>
              <w:t xml:space="preserve">1.5837</w:t>
            </w:r>
          </w:p>
        </w:tc>
        <w:tc>
          <w:tcPr/>
          <w:p>
            <w:pPr>
              <w:pStyle w:val="Compact"/>
              <w:jc w:val="right"/>
            </w:pPr>
            <w:r>
              <w:t xml:space="preserve">1.6000</w:t>
            </w:r>
          </w:p>
        </w:tc>
        <w:tc>
          <w:tcPr/>
          <w:p>
            <w:pPr>
              <w:pStyle w:val="Compact"/>
              <w:jc w:val="right"/>
            </w:pPr>
            <w:r>
              <w:t xml:space="preserve">1.1670</w:t>
            </w:r>
          </w:p>
        </w:tc>
        <w:tc>
          <w:tcPr/>
          <w:p>
            <w:pPr>
              <w:pStyle w:val="Compact"/>
              <w:jc w:val="right"/>
            </w:pPr>
            <w:r>
              <w:t xml:space="preserve">1.5909</w:t>
            </w:r>
          </w:p>
        </w:tc>
        <w:tc>
          <w:tcPr/>
          <w:p>
            <w:pPr>
              <w:pStyle w:val="Compact"/>
              <w:jc w:val="right"/>
            </w:pPr>
            <w:r>
              <w:t xml:space="preserve">1.6000</w:t>
            </w:r>
          </w:p>
        </w:tc>
        <w:tc>
          <w:tcPr/>
          <w:p>
            <w:pPr>
              <w:pStyle w:val="Compact"/>
              <w:jc w:val="right"/>
            </w:pPr>
            <w:r>
              <w:t xml:space="preserve">0.0010</w:t>
            </w:r>
          </w:p>
        </w:tc>
        <w:tc>
          <w:tcPr/>
          <w:p>
            <w:pPr>
              <w:pStyle w:val="Compact"/>
              <w:jc w:val="right"/>
            </w:pPr>
            <w:r>
              <w:t xml:space="preserve">0</w:t>
            </w:r>
          </w:p>
        </w:tc>
        <w:tc>
          <w:tcPr/>
          <w:p>
            <w:pPr>
              <w:pStyle w:val="Compact"/>
              <w:jc w:val="right"/>
            </w:pPr>
            <w:r>
              <w:t xml:space="preserve">0.8297</w:t>
            </w:r>
          </w:p>
        </w:tc>
      </w:tr>
      <w:tr>
        <w:tc>
          <w:tcPr/>
          <w:p>
            <w:pPr>
              <w:pStyle w:val="Compact"/>
              <w:jc w:val="right"/>
            </w:pPr>
            <w:r>
              <w:t xml:space="preserve">5_51_2</w:t>
            </w:r>
          </w:p>
        </w:tc>
        <w:tc>
          <w:tcPr/>
          <w:p>
            <w:pPr>
              <w:pStyle w:val="Compact"/>
              <w:jc w:val="right"/>
            </w:pPr>
            <w:r>
              <w:t xml:space="preserve">1</w:t>
            </w:r>
          </w:p>
        </w:tc>
        <w:tc>
          <w:tcPr/>
          <w:p>
            <w:pPr>
              <w:pStyle w:val="Compact"/>
              <w:jc w:val="right"/>
            </w:pPr>
            <w:r>
              <w:t xml:space="preserve">4</w:t>
            </w:r>
          </w:p>
        </w:tc>
        <w:tc>
          <w:tcPr/>
          <w:p>
            <w:pPr>
              <w:pStyle w:val="Compact"/>
              <w:jc w:val="right"/>
            </w:pPr>
            <w:r>
              <w:t xml:space="preserve">1.1545</w:t>
            </w:r>
          </w:p>
        </w:tc>
        <w:tc>
          <w:tcPr/>
          <w:p>
            <w:pPr>
              <w:pStyle w:val="Compact"/>
              <w:jc w:val="right"/>
            </w:pPr>
            <w:r>
              <w:t xml:space="preserve">1.1714</w:t>
            </w:r>
          </w:p>
        </w:tc>
        <w:tc>
          <w:tcPr/>
          <w:p>
            <w:pPr>
              <w:pStyle w:val="Compact"/>
              <w:jc w:val="right"/>
            </w:pPr>
            <w:r>
              <w:t xml:space="preserve">1.1637</w:t>
            </w:r>
          </w:p>
        </w:tc>
        <w:tc>
          <w:tcPr/>
          <w:p>
            <w:pPr>
              <w:pStyle w:val="Compact"/>
              <w:jc w:val="right"/>
            </w:pPr>
            <w:r>
              <w:t xml:space="preserve">1.1670</w:t>
            </w:r>
          </w:p>
        </w:tc>
        <w:tc>
          <w:tcPr/>
          <w:p>
            <w:pPr>
              <w:pStyle w:val="Compact"/>
              <w:jc w:val="right"/>
            </w:pPr>
            <w:r>
              <w:t xml:space="preserve">1.1809</w:t>
            </w:r>
          </w:p>
        </w:tc>
        <w:tc>
          <w:tcPr/>
          <w:p>
            <w:pPr>
              <w:pStyle w:val="Compact"/>
              <w:jc w:val="right"/>
            </w:pPr>
            <w:r>
              <w:t xml:space="preserve">1.1809</w:t>
            </w:r>
          </w:p>
        </w:tc>
        <w:tc>
          <w:tcPr/>
          <w:p>
            <w:pPr>
              <w:pStyle w:val="Compact"/>
              <w:jc w:val="right"/>
            </w:pPr>
            <w:r>
              <w:t xml:space="preserve">0.0264</w:t>
            </w:r>
          </w:p>
        </w:tc>
        <w:tc>
          <w:tcPr/>
          <w:p>
            <w:pPr>
              <w:pStyle w:val="Compact"/>
              <w:jc w:val="right"/>
            </w:pPr>
            <w:r>
              <w:t xml:space="preserve">0</w:t>
            </w:r>
          </w:p>
        </w:tc>
        <w:tc>
          <w:tcPr/>
          <w:p>
            <w:pPr>
              <w:pStyle w:val="Compact"/>
              <w:jc w:val="right"/>
            </w:pPr>
            <w:r>
              <w:t xml:space="preserve">0.8297</w:t>
            </w:r>
          </w:p>
        </w:tc>
      </w:tr>
      <w:tr>
        <w:tc>
          <w:tcPr/>
          <w:p>
            <w:pPr>
              <w:pStyle w:val="Compact"/>
              <w:jc w:val="right"/>
            </w:pPr>
            <w:r>
              <w:t xml:space="preserve">6_6_2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1.6041</w:t>
            </w:r>
          </w:p>
        </w:tc>
        <w:tc>
          <w:tcPr/>
          <w:p>
            <w:pPr>
              <w:pStyle w:val="Compact"/>
              <w:jc w:val="right"/>
            </w:pPr>
            <w:r>
              <w:t xml:space="preserve">1.6161</w:t>
            </w:r>
          </w:p>
        </w:tc>
        <w:tc>
          <w:tcPr/>
          <w:p>
            <w:pPr>
              <w:pStyle w:val="Compact"/>
              <w:jc w:val="right"/>
            </w:pPr>
            <w:r>
              <w:t xml:space="preserve">1.6117</w:t>
            </w:r>
          </w:p>
        </w:tc>
        <w:tc>
          <w:tcPr/>
          <w:p>
            <w:pPr>
              <w:pStyle w:val="Compact"/>
              <w:jc w:val="right"/>
            </w:pPr>
            <w:r>
              <w:t xml:space="preserve">1.1670</w:t>
            </w:r>
          </w:p>
        </w:tc>
        <w:tc>
          <w:tcPr/>
          <w:p>
            <w:pPr>
              <w:pStyle w:val="Compact"/>
              <w:jc w:val="right"/>
            </w:pPr>
            <w:r>
              <w:t xml:space="preserve">1.6434</w:t>
            </w:r>
          </w:p>
        </w:tc>
        <w:tc>
          <w:tcPr/>
          <w:p>
            <w:pPr>
              <w:pStyle w:val="Compact"/>
              <w:jc w:val="right"/>
            </w:pPr>
            <w:r>
              <w:t xml:space="preserve">1.6434</w:t>
            </w:r>
          </w:p>
        </w:tc>
        <w:tc>
          <w:tcPr/>
          <w:p>
            <w:pPr>
              <w:pStyle w:val="Compact"/>
              <w:jc w:val="right"/>
            </w:pPr>
            <w:r>
              <w:t xml:space="preserve">0.0273</w:t>
            </w:r>
          </w:p>
        </w:tc>
        <w:tc>
          <w:tcPr/>
          <w:p>
            <w:pPr>
              <w:pStyle w:val="Compact"/>
              <w:jc w:val="right"/>
            </w:pPr>
            <w:r>
              <w:t xml:space="preserve">1</w:t>
            </w:r>
          </w:p>
        </w:tc>
        <w:tc>
          <w:tcPr/>
          <w:p>
            <w:pPr>
              <w:pStyle w:val="Compact"/>
              <w:jc w:val="right"/>
            </w:pPr>
            <w:r>
              <w:t xml:space="preserve">0.8401</w:t>
            </w:r>
          </w:p>
        </w:tc>
      </w:tr>
      <w:tr>
        <w:tc>
          <w:tcPr/>
          <w:p>
            <w:pPr>
              <w:pStyle w:val="Compact"/>
              <w:jc w:val="right"/>
            </w:pPr>
            <w:r>
              <w:t xml:space="preserve">6_6_2</w:t>
            </w:r>
          </w:p>
        </w:tc>
        <w:tc>
          <w:tcPr/>
          <w:p>
            <w:pPr>
              <w:pStyle w:val="Compact"/>
              <w:jc w:val="right"/>
            </w:pPr>
            <w:r>
              <w:t xml:space="preserve">1</w:t>
            </w:r>
          </w:p>
        </w:tc>
        <w:tc>
          <w:tcPr/>
          <w:p>
            <w:pPr>
              <w:pStyle w:val="Compact"/>
              <w:jc w:val="right"/>
            </w:pPr>
            <w:r>
              <w:t xml:space="preserve">4</w:t>
            </w:r>
          </w:p>
        </w:tc>
        <w:tc>
          <w:tcPr/>
          <w:p>
            <w:pPr>
              <w:pStyle w:val="Compact"/>
              <w:jc w:val="right"/>
            </w:pPr>
            <w:r>
              <w:t xml:space="preserve">1.0787</w:t>
            </w:r>
          </w:p>
        </w:tc>
        <w:tc>
          <w:tcPr/>
          <w:p>
            <w:pPr>
              <w:pStyle w:val="Compact"/>
              <w:jc w:val="right"/>
            </w:pPr>
            <w:r>
              <w:t xml:space="preserve">1.1689</w:t>
            </w:r>
          </w:p>
        </w:tc>
        <w:tc>
          <w:tcPr/>
          <w:p>
            <w:pPr>
              <w:pStyle w:val="Compact"/>
              <w:jc w:val="right"/>
            </w:pPr>
            <w:r>
              <w:t xml:space="preserve">1.1665</w:t>
            </w:r>
          </w:p>
        </w:tc>
        <w:tc>
          <w:tcPr/>
          <w:p>
            <w:pPr>
              <w:pStyle w:val="Compact"/>
              <w:jc w:val="right"/>
            </w:pPr>
            <w:r>
              <w:t xml:space="preserve">1.1670</w:t>
            </w:r>
          </w:p>
        </w:tc>
        <w:tc>
          <w:tcPr/>
          <w:p>
            <w:pPr>
              <w:pStyle w:val="Compact"/>
              <w:jc w:val="right"/>
            </w:pPr>
            <w:r>
              <w:t xml:space="preserve">1.2166</w:t>
            </w:r>
          </w:p>
        </w:tc>
        <w:tc>
          <w:tcPr/>
          <w:p>
            <w:pPr>
              <w:pStyle w:val="Compact"/>
              <w:jc w:val="right"/>
            </w:pPr>
            <w:r>
              <w:t xml:space="preserve">1.2166</w:t>
            </w:r>
          </w:p>
        </w:tc>
        <w:tc>
          <w:tcPr/>
          <w:p>
            <w:pPr>
              <w:pStyle w:val="Compact"/>
              <w:jc w:val="right"/>
            </w:pPr>
            <w:r>
              <w:t xml:space="preserve">0.0478</w:t>
            </w:r>
          </w:p>
        </w:tc>
        <w:tc>
          <w:tcPr/>
          <w:p>
            <w:pPr>
              <w:pStyle w:val="Compact"/>
              <w:jc w:val="right"/>
            </w:pPr>
            <w:r>
              <w:t xml:space="preserve">1</w:t>
            </w:r>
          </w:p>
        </w:tc>
        <w:tc>
          <w:tcPr/>
          <w:p>
            <w:pPr>
              <w:pStyle w:val="Compact"/>
              <w:jc w:val="right"/>
            </w:pPr>
            <w:r>
              <w:t xml:space="preserve">0.8401</w:t>
            </w:r>
          </w:p>
        </w:tc>
      </w:tr>
      <w:tr>
        <w:tc>
          <w:tcPr/>
          <w:p>
            <w:pPr>
              <w:pStyle w:val="Compact"/>
              <w:jc w:val="right"/>
            </w:pPr>
            <w:r>
              <w:t xml:space="preserve">13_7_2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0.5108</w:t>
            </w:r>
          </w:p>
        </w:tc>
        <w:tc>
          <w:tcPr/>
          <w:p>
            <w:pPr>
              <w:pStyle w:val="Compact"/>
              <w:jc w:val="right"/>
            </w:pPr>
            <w:r>
              <w:t xml:space="preserve">1.6146</w:t>
            </w:r>
          </w:p>
        </w:tc>
        <w:tc>
          <w:tcPr/>
          <w:p>
            <w:pPr>
              <w:pStyle w:val="Compact"/>
              <w:jc w:val="right"/>
            </w:pPr>
            <w:r>
              <w:t xml:space="preserve">1.5728</w:t>
            </w:r>
          </w:p>
        </w:tc>
        <w:tc>
          <w:tcPr/>
          <w:p>
            <w:pPr>
              <w:pStyle w:val="Compact"/>
              <w:jc w:val="right"/>
            </w:pPr>
            <w:r>
              <w:t xml:space="preserve">1.1670</w:t>
            </w:r>
          </w:p>
        </w:tc>
        <w:tc>
          <w:tcPr/>
          <w:p>
            <w:pPr>
              <w:pStyle w:val="Compact"/>
              <w:jc w:val="right"/>
            </w:pPr>
            <w:r>
              <w:t xml:space="preserve">1.5230</w:t>
            </w:r>
          </w:p>
        </w:tc>
        <w:tc>
          <w:tcPr/>
          <w:p>
            <w:pPr>
              <w:pStyle w:val="Compact"/>
              <w:jc w:val="right"/>
            </w:pPr>
            <w:r>
              <w:t xml:space="preserve">1.6146</w:t>
            </w:r>
          </w:p>
        </w:tc>
        <w:tc>
          <w:tcPr/>
          <w:p>
            <w:pPr>
              <w:pStyle w:val="Compact"/>
              <w:jc w:val="right"/>
            </w:pPr>
            <w:r>
              <w:t xml:space="preserve">0.0000</w:t>
            </w:r>
          </w:p>
        </w:tc>
        <w:tc>
          <w:tcPr/>
          <w:p>
            <w:pPr>
              <w:pStyle w:val="Compact"/>
              <w:jc w:val="right"/>
            </w:pPr>
            <w:r>
              <w:t xml:space="preserve">1</w:t>
            </w:r>
          </w:p>
        </w:tc>
        <w:tc>
          <w:tcPr/>
          <w:p>
            <w:pPr>
              <w:pStyle w:val="Compact"/>
              <w:jc w:val="right"/>
            </w:pPr>
            <w:r>
              <w:t xml:space="preserve">2.4576</w:t>
            </w:r>
          </w:p>
        </w:tc>
      </w:tr>
      <w:tr>
        <w:tc>
          <w:tcPr/>
          <w:p>
            <w:pPr>
              <w:pStyle w:val="Compact"/>
              <w:jc w:val="right"/>
            </w:pPr>
            <w:r>
              <w:t xml:space="preserve">13_7_2</w:t>
            </w:r>
          </w:p>
        </w:tc>
        <w:tc>
          <w:tcPr/>
          <w:p>
            <w:pPr>
              <w:pStyle w:val="Compact"/>
              <w:jc w:val="right"/>
            </w:pPr>
            <w:r>
              <w:t xml:space="preserve">1</w:t>
            </w:r>
          </w:p>
        </w:tc>
        <w:tc>
          <w:tcPr/>
          <w:p>
            <w:pPr>
              <w:pStyle w:val="Compact"/>
              <w:jc w:val="right"/>
            </w:pPr>
            <w:r>
              <w:t xml:space="preserve">3</w:t>
            </w:r>
          </w:p>
        </w:tc>
        <w:tc>
          <w:tcPr/>
          <w:p>
            <w:pPr>
              <w:pStyle w:val="Compact"/>
              <w:jc w:val="right"/>
            </w:pPr>
            <w:r>
              <w:t xml:space="preserve">0.4913</w:t>
            </w:r>
          </w:p>
        </w:tc>
        <w:tc>
          <w:tcPr/>
          <w:p>
            <w:pPr>
              <w:pStyle w:val="Compact"/>
              <w:jc w:val="right"/>
            </w:pPr>
            <w:r>
              <w:t xml:space="preserve">1.1653</w:t>
            </w:r>
          </w:p>
        </w:tc>
        <w:tc>
          <w:tcPr/>
          <w:p>
            <w:pPr>
              <w:pStyle w:val="Compact"/>
              <w:jc w:val="right"/>
            </w:pPr>
            <w:r>
              <w:t xml:space="preserve">1.1639</w:t>
            </w:r>
          </w:p>
        </w:tc>
        <w:tc>
          <w:tcPr/>
          <w:p>
            <w:pPr>
              <w:pStyle w:val="Compact"/>
              <w:jc w:val="right"/>
            </w:pPr>
            <w:r>
              <w:t xml:space="preserve">1.1670</w:t>
            </w:r>
          </w:p>
        </w:tc>
        <w:tc>
          <w:tcPr/>
          <w:p>
            <w:pPr>
              <w:pStyle w:val="Compact"/>
              <w:jc w:val="right"/>
            </w:pPr>
            <w:r>
              <w:t xml:space="preserve">1.1351</w:t>
            </w:r>
          </w:p>
        </w:tc>
        <w:tc>
          <w:tcPr/>
          <w:p>
            <w:pPr>
              <w:pStyle w:val="Compact"/>
              <w:jc w:val="right"/>
            </w:pPr>
            <w:r>
              <w:t xml:space="preserve">1.1670</w:t>
            </w:r>
          </w:p>
        </w:tc>
        <w:tc>
          <w:tcPr/>
          <w:p>
            <w:pPr>
              <w:pStyle w:val="Compact"/>
              <w:jc w:val="right"/>
            </w:pPr>
            <w:r>
              <w:t xml:space="preserve">0.0000</w:t>
            </w:r>
          </w:p>
        </w:tc>
        <w:tc>
          <w:tcPr/>
          <w:p>
            <w:pPr>
              <w:pStyle w:val="Compact"/>
              <w:jc w:val="right"/>
            </w:pPr>
            <w:r>
              <w:t xml:space="preserve">3</w:t>
            </w:r>
          </w:p>
        </w:tc>
        <w:tc>
          <w:tcPr/>
          <w:p>
            <w:pPr>
              <w:pStyle w:val="Compact"/>
              <w:jc w:val="right"/>
            </w:pPr>
            <w:r>
              <w:t xml:space="preserve">2.4576</w:t>
            </w:r>
          </w:p>
        </w:tc>
      </w:tr>
      <w:tr>
        <w:tc>
          <w:tcPr/>
          <w:p>
            <w:pPr>
              <w:pStyle w:val="Compact"/>
              <w:jc w:val="right"/>
            </w:pPr>
            <w:r>
              <w:t xml:space="preserve">13_49_2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1.5113</w:t>
            </w:r>
          </w:p>
        </w:tc>
        <w:tc>
          <w:tcPr/>
          <w:p>
            <w:pPr>
              <w:pStyle w:val="Compact"/>
              <w:jc w:val="right"/>
            </w:pPr>
            <w:r>
              <w:t xml:space="preserve">1.5939</w:t>
            </w:r>
          </w:p>
        </w:tc>
        <w:tc>
          <w:tcPr/>
          <w:p>
            <w:pPr>
              <w:pStyle w:val="Compact"/>
              <w:jc w:val="right"/>
            </w:pPr>
            <w:r>
              <w:t xml:space="preserve">1.5928</w:t>
            </w:r>
          </w:p>
        </w:tc>
        <w:tc>
          <w:tcPr/>
          <w:p>
            <w:pPr>
              <w:pStyle w:val="Compact"/>
              <w:jc w:val="right"/>
            </w:pPr>
            <w:r>
              <w:t xml:space="preserve">1.1670</w:t>
            </w:r>
          </w:p>
        </w:tc>
        <w:tc>
          <w:tcPr/>
          <w:p>
            <w:pPr>
              <w:pStyle w:val="Compact"/>
              <w:jc w:val="right"/>
            </w:pPr>
            <w:r>
              <w:t xml:space="preserve">1.5242</w:t>
            </w:r>
          </w:p>
        </w:tc>
        <w:tc>
          <w:tcPr/>
          <w:p>
            <w:pPr>
              <w:pStyle w:val="Compact"/>
              <w:jc w:val="right"/>
            </w:pPr>
            <w:r>
              <w:t xml:space="preserve">1.5939</w:t>
            </w:r>
          </w:p>
        </w:tc>
        <w:tc>
          <w:tcPr/>
          <w:p>
            <w:pPr>
              <w:pStyle w:val="Compact"/>
              <w:jc w:val="right"/>
            </w:pPr>
            <w:r>
              <w:t xml:space="preserve">0.0826</w:t>
            </w:r>
          </w:p>
        </w:tc>
        <w:tc>
          <w:tcPr/>
          <w:p>
            <w:pPr>
              <w:pStyle w:val="Compact"/>
              <w:jc w:val="right"/>
            </w:pPr>
            <w:r>
              <w:t xml:space="preserve">0</w:t>
            </w:r>
          </w:p>
        </w:tc>
        <w:tc>
          <w:tcPr/>
          <w:p>
            <w:pPr>
              <w:pStyle w:val="Compact"/>
              <w:jc w:val="right"/>
            </w:pPr>
            <w:r>
              <w:t xml:space="preserve">2.4576</w:t>
            </w:r>
          </w:p>
        </w:tc>
      </w:tr>
      <w:tr>
        <w:tc>
          <w:tcPr/>
          <w:p>
            <w:pPr>
              <w:pStyle w:val="Compact"/>
              <w:jc w:val="right"/>
            </w:pPr>
            <w:r>
              <w:t xml:space="preserve">13_49_2</w:t>
            </w:r>
          </w:p>
        </w:tc>
        <w:tc>
          <w:tcPr/>
          <w:p>
            <w:pPr>
              <w:pStyle w:val="Compact"/>
              <w:jc w:val="right"/>
            </w:pPr>
            <w:r>
              <w:t xml:space="preserve">1</w:t>
            </w:r>
          </w:p>
        </w:tc>
        <w:tc>
          <w:tcPr/>
          <w:p>
            <w:pPr>
              <w:pStyle w:val="Compact"/>
              <w:jc w:val="right"/>
            </w:pPr>
            <w:r>
              <w:t xml:space="preserve">3</w:t>
            </w:r>
          </w:p>
        </w:tc>
        <w:tc>
          <w:tcPr/>
          <w:p>
            <w:pPr>
              <w:pStyle w:val="Compact"/>
              <w:jc w:val="right"/>
            </w:pPr>
            <w:r>
              <w:t xml:space="preserve">0.2709</w:t>
            </w:r>
          </w:p>
        </w:tc>
        <w:tc>
          <w:tcPr/>
          <w:p>
            <w:pPr>
              <w:pStyle w:val="Compact"/>
              <w:jc w:val="right"/>
            </w:pPr>
            <w:r>
              <w:t xml:space="preserve">1.1665</w:t>
            </w:r>
          </w:p>
        </w:tc>
        <w:tc>
          <w:tcPr/>
          <w:p>
            <w:pPr>
              <w:pStyle w:val="Compact"/>
              <w:jc w:val="right"/>
            </w:pPr>
            <w:r>
              <w:t xml:space="preserve">1.1622</w:t>
            </w:r>
          </w:p>
        </w:tc>
        <w:tc>
          <w:tcPr/>
          <w:p>
            <w:pPr>
              <w:pStyle w:val="Compact"/>
              <w:jc w:val="right"/>
            </w:pPr>
            <w:r>
              <w:t xml:space="preserve">1.1670</w:t>
            </w:r>
          </w:p>
        </w:tc>
        <w:tc>
          <w:tcPr/>
          <w:p>
            <w:pPr>
              <w:pStyle w:val="Compact"/>
              <w:jc w:val="right"/>
            </w:pPr>
            <w:r>
              <w:t xml:space="preserve">0.3706</w:t>
            </w:r>
          </w:p>
        </w:tc>
        <w:tc>
          <w:tcPr/>
          <w:p>
            <w:pPr>
              <w:pStyle w:val="Compact"/>
              <w:jc w:val="right"/>
            </w:pPr>
            <w:r>
              <w:t xml:space="preserve">1.1670</w:t>
            </w:r>
          </w:p>
        </w:tc>
        <w:tc>
          <w:tcPr/>
          <w:p>
            <w:pPr>
              <w:pStyle w:val="Compact"/>
              <w:jc w:val="right"/>
            </w:pPr>
            <w:r>
              <w:t xml:space="preserve">0.8962</w:t>
            </w:r>
          </w:p>
        </w:tc>
        <w:tc>
          <w:tcPr/>
          <w:p>
            <w:pPr>
              <w:pStyle w:val="Compact"/>
              <w:jc w:val="right"/>
            </w:pPr>
            <w:r>
              <w:t xml:space="preserve">0</w:t>
            </w:r>
          </w:p>
        </w:tc>
        <w:tc>
          <w:tcPr/>
          <w:p>
            <w:pPr>
              <w:pStyle w:val="Compact"/>
              <w:jc w:val="right"/>
            </w:pPr>
            <w:r>
              <w:t xml:space="preserve">2.4576</w:t>
            </w:r>
          </w:p>
        </w:tc>
      </w:tr>
      <w:tr>
        <w:tc>
          <w:tcPr/>
          <w:p>
            <w:pPr>
              <w:pStyle w:val="Compact"/>
              <w:jc w:val="right"/>
            </w:pPr>
            <w:r>
              <w:t xml:space="preserve">17_39_2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0.3793</w:t>
            </w:r>
          </w:p>
        </w:tc>
        <w:tc>
          <w:tcPr/>
          <w:p>
            <w:pPr>
              <w:pStyle w:val="Compact"/>
              <w:jc w:val="right"/>
            </w:pPr>
            <w:r>
              <w:t xml:space="preserve">1.5955</w:t>
            </w:r>
          </w:p>
        </w:tc>
        <w:tc>
          <w:tcPr/>
          <w:p>
            <w:pPr>
              <w:pStyle w:val="Compact"/>
              <w:jc w:val="right"/>
            </w:pPr>
            <w:r>
              <w:t xml:space="preserve">1.5733</w:t>
            </w:r>
          </w:p>
        </w:tc>
        <w:tc>
          <w:tcPr/>
          <w:p>
            <w:pPr>
              <w:pStyle w:val="Compact"/>
              <w:jc w:val="right"/>
            </w:pPr>
            <w:r>
              <w:t xml:space="preserve">1.1670</w:t>
            </w:r>
          </w:p>
        </w:tc>
        <w:tc>
          <w:tcPr/>
          <w:p>
            <w:pPr>
              <w:pStyle w:val="Compact"/>
              <w:jc w:val="right"/>
            </w:pPr>
            <w:r>
              <w:t xml:space="preserve">0.6343</w:t>
            </w:r>
          </w:p>
        </w:tc>
        <w:tc>
          <w:tcPr/>
          <w:p>
            <w:pPr>
              <w:pStyle w:val="Compact"/>
              <w:jc w:val="right"/>
            </w:pPr>
            <w:r>
              <w:t xml:space="preserve">1.5955</w:t>
            </w:r>
          </w:p>
        </w:tc>
        <w:tc>
          <w:tcPr/>
          <w:p>
            <w:pPr>
              <w:pStyle w:val="Compact"/>
              <w:jc w:val="right"/>
            </w:pPr>
            <w:r>
              <w:t xml:space="preserve">1.2162</w:t>
            </w:r>
          </w:p>
        </w:tc>
        <w:tc>
          <w:tcPr/>
          <w:p>
            <w:pPr>
              <w:pStyle w:val="Compact"/>
              <w:jc w:val="right"/>
            </w:pPr>
            <w:r>
              <w:t xml:space="preserve">0</w:t>
            </w:r>
          </w:p>
        </w:tc>
        <w:tc>
          <w:tcPr/>
          <w:p>
            <w:pPr>
              <w:pStyle w:val="Compact"/>
              <w:jc w:val="right"/>
            </w:pPr>
            <w:r>
              <w:t xml:space="preserve">1.0105</w:t>
            </w:r>
          </w:p>
        </w:tc>
      </w:tr>
      <w:tr>
        <w:tc>
          <w:tcPr/>
          <w:p>
            <w:pPr>
              <w:pStyle w:val="Compact"/>
              <w:jc w:val="right"/>
            </w:pPr>
            <w:r>
              <w:t xml:space="preserve">20_18_2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0.3970</w:t>
            </w:r>
          </w:p>
        </w:tc>
        <w:tc>
          <w:tcPr/>
          <w:p>
            <w:pPr>
              <w:pStyle w:val="Compact"/>
              <w:jc w:val="right"/>
            </w:pPr>
            <w:r>
              <w:t xml:space="preserve">1.5729</w:t>
            </w:r>
          </w:p>
        </w:tc>
        <w:tc>
          <w:tcPr/>
          <w:p>
            <w:pPr>
              <w:pStyle w:val="Compact"/>
              <w:jc w:val="right"/>
            </w:pPr>
            <w:r>
              <w:t xml:space="preserve">1.5782</w:t>
            </w:r>
          </w:p>
        </w:tc>
        <w:tc>
          <w:tcPr/>
          <w:p>
            <w:pPr>
              <w:pStyle w:val="Compact"/>
              <w:jc w:val="right"/>
            </w:pPr>
            <w:r>
              <w:t xml:space="preserve">1.1670</w:t>
            </w:r>
          </w:p>
        </w:tc>
        <w:tc>
          <w:tcPr/>
          <w:p>
            <w:pPr>
              <w:pStyle w:val="Compact"/>
              <w:jc w:val="right"/>
            </w:pPr>
            <w:r>
              <w:t xml:space="preserve">1.3831</w:t>
            </w:r>
          </w:p>
        </w:tc>
        <w:tc>
          <w:tcPr/>
          <w:p>
            <w:pPr>
              <w:pStyle w:val="Compact"/>
              <w:jc w:val="right"/>
            </w:pPr>
            <w:r>
              <w:t xml:space="preserve">1.5782</w:t>
            </w:r>
          </w:p>
        </w:tc>
        <w:tc>
          <w:tcPr/>
          <w:p>
            <w:pPr>
              <w:pStyle w:val="Compact"/>
              <w:jc w:val="right"/>
            </w:pPr>
            <w:r>
              <w:t xml:space="preserve">0.0054</w:t>
            </w:r>
          </w:p>
        </w:tc>
        <w:tc>
          <w:tcPr/>
          <w:p>
            <w:pPr>
              <w:pStyle w:val="Compact"/>
              <w:jc w:val="right"/>
            </w:pPr>
            <w:r>
              <w:t xml:space="preserve">1</w:t>
            </w:r>
          </w:p>
        </w:tc>
        <w:tc>
          <w:tcPr/>
          <w:p>
            <w:pPr>
              <w:pStyle w:val="Compact"/>
              <w:jc w:val="right"/>
            </w:pPr>
            <w:r>
              <w:t xml:space="preserve">0.4718</w:t>
            </w:r>
          </w:p>
        </w:tc>
      </w:tr>
      <w:tr>
        <w:tc>
          <w:tcPr/>
          <w:p>
            <w:pPr>
              <w:pStyle w:val="Compact"/>
              <w:jc w:val="right"/>
            </w:pPr>
            <w:r>
              <w:t xml:space="preserve">20_18_2</w:t>
            </w:r>
          </w:p>
        </w:tc>
        <w:tc>
          <w:tcPr/>
          <w:p>
            <w:pPr>
              <w:pStyle w:val="Compact"/>
              <w:jc w:val="right"/>
            </w:pPr>
            <w:r>
              <w:t xml:space="preserve">1</w:t>
            </w:r>
          </w:p>
        </w:tc>
        <w:tc>
          <w:tcPr/>
          <w:p>
            <w:pPr>
              <w:pStyle w:val="Compact"/>
              <w:jc w:val="right"/>
            </w:pPr>
            <w:r>
              <w:t xml:space="preserve">3</w:t>
            </w:r>
          </w:p>
        </w:tc>
        <w:tc>
          <w:tcPr/>
          <w:p>
            <w:pPr>
              <w:pStyle w:val="Compact"/>
              <w:jc w:val="right"/>
            </w:pPr>
            <w:r>
              <w:t xml:space="preserve">-0.0956</w:t>
            </w:r>
          </w:p>
        </w:tc>
        <w:tc>
          <w:tcPr/>
          <w:p>
            <w:pPr>
              <w:pStyle w:val="Compact"/>
              <w:jc w:val="right"/>
            </w:pPr>
            <w:r>
              <w:t xml:space="preserve">1.1625</w:t>
            </w:r>
          </w:p>
        </w:tc>
        <w:tc>
          <w:tcPr/>
          <w:p>
            <w:pPr>
              <w:pStyle w:val="Compact"/>
              <w:jc w:val="right"/>
            </w:pPr>
            <w:r>
              <w:t xml:space="preserve">1.1627</w:t>
            </w:r>
          </w:p>
        </w:tc>
        <w:tc>
          <w:tcPr/>
          <w:p>
            <w:pPr>
              <w:pStyle w:val="Compact"/>
              <w:jc w:val="right"/>
            </w:pPr>
            <w:r>
              <w:t xml:space="preserve">1.1670</w:t>
            </w:r>
          </w:p>
        </w:tc>
        <w:tc>
          <w:tcPr/>
          <w:p>
            <w:pPr>
              <w:pStyle w:val="Compact"/>
              <w:jc w:val="right"/>
            </w:pPr>
            <w:r>
              <w:t xml:space="preserve">0.0142</w:t>
            </w:r>
          </w:p>
        </w:tc>
        <w:tc>
          <w:tcPr/>
          <w:p>
            <w:pPr>
              <w:pStyle w:val="Compact"/>
              <w:jc w:val="right"/>
            </w:pPr>
            <w:r>
              <w:t xml:space="preserve">1.1670</w:t>
            </w:r>
          </w:p>
        </w:tc>
        <w:tc>
          <w:tcPr/>
          <w:p>
            <w:pPr>
              <w:pStyle w:val="Compact"/>
              <w:jc w:val="right"/>
            </w:pPr>
            <w:r>
              <w:t xml:space="preserve">1.2627</w:t>
            </w:r>
          </w:p>
        </w:tc>
        <w:tc>
          <w:tcPr/>
          <w:p>
            <w:pPr>
              <w:pStyle w:val="Compact"/>
              <w:jc w:val="right"/>
            </w:pPr>
            <w:r>
              <w:t xml:space="preserve">0</w:t>
            </w:r>
          </w:p>
        </w:tc>
        <w:tc>
          <w:tcPr/>
          <w:p>
            <w:pPr>
              <w:pStyle w:val="Compact"/>
              <w:jc w:val="right"/>
            </w:pPr>
            <w:r>
              <w:t xml:space="preserve">0.4718</w:t>
            </w:r>
          </w:p>
        </w:tc>
      </w:tr>
      <w:tr>
        <w:tc>
          <w:tcPr/>
          <w:p>
            <w:pPr>
              <w:pStyle w:val="Compact"/>
              <w:jc w:val="right"/>
            </w:pPr>
            <w:r>
              <w:t xml:space="preserve">20_51_2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0.4214</w:t>
            </w:r>
          </w:p>
        </w:tc>
        <w:tc>
          <w:tcPr/>
          <w:p>
            <w:pPr>
              <w:pStyle w:val="Compact"/>
              <w:jc w:val="right"/>
            </w:pPr>
            <w:r>
              <w:t xml:space="preserve">1.5702</w:t>
            </w:r>
          </w:p>
        </w:tc>
        <w:tc>
          <w:tcPr/>
          <w:p>
            <w:pPr>
              <w:pStyle w:val="Compact"/>
              <w:jc w:val="right"/>
            </w:pPr>
            <w:r>
              <w:t xml:space="preserve">1.6015</w:t>
            </w:r>
          </w:p>
        </w:tc>
        <w:tc>
          <w:tcPr/>
          <w:p>
            <w:pPr>
              <w:pStyle w:val="Compact"/>
              <w:jc w:val="right"/>
            </w:pPr>
            <w:r>
              <w:t xml:space="preserve">1.1670</w:t>
            </w:r>
          </w:p>
        </w:tc>
        <w:tc>
          <w:tcPr/>
          <w:p>
            <w:pPr>
              <w:pStyle w:val="Compact"/>
              <w:jc w:val="right"/>
            </w:pPr>
            <w:r>
              <w:t xml:space="preserve">0.5886</w:t>
            </w:r>
          </w:p>
        </w:tc>
        <w:tc>
          <w:tcPr/>
          <w:p>
            <w:pPr>
              <w:pStyle w:val="Compact"/>
              <w:jc w:val="right"/>
            </w:pPr>
            <w:r>
              <w:t xml:space="preserve">1.6015</w:t>
            </w:r>
          </w:p>
        </w:tc>
        <w:tc>
          <w:tcPr/>
          <w:p>
            <w:pPr>
              <w:pStyle w:val="Compact"/>
              <w:jc w:val="right"/>
            </w:pPr>
            <w:r>
              <w:t xml:space="preserve">1.1800</w:t>
            </w:r>
          </w:p>
        </w:tc>
        <w:tc>
          <w:tcPr/>
          <w:p>
            <w:pPr>
              <w:pStyle w:val="Compact"/>
              <w:jc w:val="right"/>
            </w:pPr>
            <w:r>
              <w:t xml:space="preserve">0</w:t>
            </w:r>
          </w:p>
        </w:tc>
        <w:tc>
          <w:tcPr/>
          <w:p>
            <w:pPr>
              <w:pStyle w:val="Compact"/>
              <w:jc w:val="right"/>
            </w:pPr>
            <w:r>
              <w:t xml:space="preserve">0.4718</w:t>
            </w:r>
          </w:p>
        </w:tc>
      </w:tr>
      <w:tr>
        <w:tc>
          <w:tcPr/>
          <w:p>
            <w:pPr>
              <w:pStyle w:val="Compact"/>
              <w:jc w:val="right"/>
            </w:pPr>
            <w:r>
              <w:t xml:space="preserve">21_140_2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1.7700</w:t>
            </w:r>
          </w:p>
        </w:tc>
        <w:tc>
          <w:tcPr/>
          <w:p>
            <w:pPr>
              <w:pStyle w:val="Compact"/>
              <w:jc w:val="right"/>
            </w:pPr>
            <w:r>
              <w:t xml:space="preserve">1.5912</w:t>
            </w:r>
          </w:p>
        </w:tc>
        <w:tc>
          <w:tcPr/>
          <w:p>
            <w:pPr>
              <w:pStyle w:val="Compact"/>
              <w:jc w:val="right"/>
            </w:pPr>
            <w:r>
              <w:t xml:space="preserve">1.5811</w:t>
            </w:r>
          </w:p>
        </w:tc>
        <w:tc>
          <w:tcPr/>
          <w:p>
            <w:pPr>
              <w:pStyle w:val="Compact"/>
              <w:jc w:val="right"/>
            </w:pPr>
            <w:r>
              <w:t xml:space="preserve">1.1670</w:t>
            </w:r>
          </w:p>
        </w:tc>
        <w:tc>
          <w:tcPr/>
          <w:p>
            <w:pPr>
              <w:pStyle w:val="Compact"/>
              <w:jc w:val="right"/>
            </w:pPr>
            <w:r>
              <w:t xml:space="preserve">1.6070</w:t>
            </w:r>
          </w:p>
        </w:tc>
        <w:tc>
          <w:tcPr/>
          <w:p>
            <w:pPr>
              <w:pStyle w:val="Compact"/>
              <w:jc w:val="right"/>
            </w:pPr>
            <w:r>
              <w:t xml:space="preserve">1.7700</w:t>
            </w:r>
          </w:p>
        </w:tc>
        <w:tc>
          <w:tcPr/>
          <w:p>
            <w:pPr>
              <w:pStyle w:val="Compact"/>
              <w:jc w:val="right"/>
            </w:pPr>
            <w:r>
              <w:t xml:space="preserve">0.1788</w:t>
            </w:r>
          </w:p>
        </w:tc>
        <w:tc>
          <w:tcPr/>
          <w:p>
            <w:pPr>
              <w:pStyle w:val="Compact"/>
              <w:jc w:val="right"/>
            </w:pPr>
            <w:r>
              <w:t xml:space="preserve">1</w:t>
            </w:r>
          </w:p>
        </w:tc>
        <w:tc>
          <w:tcPr/>
          <w:p>
            <w:pPr>
              <w:pStyle w:val="Compact"/>
              <w:jc w:val="right"/>
            </w:pPr>
            <w:r>
              <w:t xml:space="preserve">1.6438</w:t>
            </w:r>
          </w:p>
        </w:tc>
      </w:tr>
      <w:tr>
        <w:tc>
          <w:tcPr/>
          <w:p>
            <w:pPr>
              <w:pStyle w:val="Compact"/>
              <w:jc w:val="right"/>
            </w:pPr>
            <w:r>
              <w:t xml:space="preserve">21_140_2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1.2087</w:t>
            </w:r>
          </w:p>
        </w:tc>
        <w:tc>
          <w:tcPr/>
          <w:p>
            <w:pPr>
              <w:pStyle w:val="Compact"/>
              <w:jc w:val="right"/>
            </w:pPr>
            <w:r>
              <w:t xml:space="preserve">1.1671</w:t>
            </w:r>
          </w:p>
        </w:tc>
        <w:tc>
          <w:tcPr/>
          <w:p>
            <w:pPr>
              <w:pStyle w:val="Compact"/>
              <w:jc w:val="right"/>
            </w:pPr>
            <w:r>
              <w:t xml:space="preserve">1.1658</w:t>
            </w:r>
          </w:p>
        </w:tc>
        <w:tc>
          <w:tcPr/>
          <w:p>
            <w:pPr>
              <w:pStyle w:val="Compact"/>
              <w:jc w:val="right"/>
            </w:pPr>
            <w:r>
              <w:t xml:space="preserve">1.1670</w:t>
            </w:r>
          </w:p>
        </w:tc>
        <w:tc>
          <w:tcPr/>
          <w:p>
            <w:pPr>
              <w:pStyle w:val="Compact"/>
              <w:jc w:val="right"/>
            </w:pPr>
            <w:r>
              <w:t xml:space="preserve">1.1903</w:t>
            </w:r>
          </w:p>
        </w:tc>
        <w:tc>
          <w:tcPr/>
          <w:p>
            <w:pPr>
              <w:pStyle w:val="Compact"/>
              <w:jc w:val="right"/>
            </w:pPr>
            <w:r>
              <w:t xml:space="preserve">1.2087</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1.6438</w:t>
            </w:r>
          </w:p>
        </w:tc>
      </w:tr>
      <w:tr>
        <w:tc>
          <w:tcPr/>
          <w:p>
            <w:pPr>
              <w:pStyle w:val="Compact"/>
              <w:jc w:val="right"/>
            </w:pPr>
            <w:r>
              <w:t xml:space="preserve">21_145_7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1.6372</w:t>
            </w:r>
          </w:p>
        </w:tc>
        <w:tc>
          <w:tcPr/>
          <w:p>
            <w:pPr>
              <w:pStyle w:val="Compact"/>
              <w:jc w:val="right"/>
            </w:pPr>
            <w:r>
              <w:t xml:space="preserve">1.5845</w:t>
            </w:r>
          </w:p>
        </w:tc>
        <w:tc>
          <w:tcPr/>
          <w:p>
            <w:pPr>
              <w:pStyle w:val="Compact"/>
              <w:jc w:val="right"/>
            </w:pPr>
            <w:r>
              <w:t xml:space="preserve">1.5842</w:t>
            </w:r>
          </w:p>
        </w:tc>
        <w:tc>
          <w:tcPr/>
          <w:p>
            <w:pPr>
              <w:pStyle w:val="Compact"/>
              <w:jc w:val="right"/>
            </w:pPr>
            <w:r>
              <w:t xml:space="preserve">1.1670</w:t>
            </w:r>
          </w:p>
        </w:tc>
        <w:tc>
          <w:tcPr/>
          <w:p>
            <w:pPr>
              <w:pStyle w:val="Compact"/>
              <w:jc w:val="right"/>
            </w:pPr>
            <w:r>
              <w:t xml:space="preserve">1.5963</w:t>
            </w:r>
          </w:p>
        </w:tc>
        <w:tc>
          <w:tcPr/>
          <w:p>
            <w:pPr>
              <w:pStyle w:val="Compact"/>
              <w:jc w:val="right"/>
            </w:pPr>
            <w:r>
              <w:t xml:space="preserve">1.6372</w:t>
            </w:r>
          </w:p>
        </w:tc>
        <w:tc>
          <w:tcPr/>
          <w:p>
            <w:pPr>
              <w:pStyle w:val="Compact"/>
              <w:jc w:val="right"/>
            </w:pPr>
            <w:r>
              <w:t xml:space="preserve">0.0527</w:t>
            </w:r>
          </w:p>
        </w:tc>
        <w:tc>
          <w:tcPr/>
          <w:p>
            <w:pPr>
              <w:pStyle w:val="Compact"/>
              <w:jc w:val="right"/>
            </w:pPr>
            <w:r>
              <w:t xml:space="preserve">1</w:t>
            </w:r>
          </w:p>
        </w:tc>
        <w:tc>
          <w:tcPr/>
          <w:p>
            <w:pPr>
              <w:pStyle w:val="Compact"/>
              <w:jc w:val="right"/>
            </w:pPr>
            <w:r>
              <w:t xml:space="preserve">1.6438</w:t>
            </w:r>
          </w:p>
        </w:tc>
      </w:tr>
      <w:tr>
        <w:tc>
          <w:tcPr/>
          <w:p>
            <w:pPr>
              <w:pStyle w:val="Compact"/>
              <w:jc w:val="right"/>
            </w:pPr>
            <w:r>
              <w:t xml:space="preserve">21_145_7</w:t>
            </w:r>
          </w:p>
        </w:tc>
        <w:tc>
          <w:tcPr/>
          <w:p>
            <w:pPr>
              <w:pStyle w:val="Compact"/>
              <w:jc w:val="right"/>
            </w:pPr>
            <w:r>
              <w:t xml:space="preserve">1</w:t>
            </w:r>
          </w:p>
        </w:tc>
        <w:tc>
          <w:tcPr/>
          <w:p>
            <w:pPr>
              <w:pStyle w:val="Compact"/>
              <w:jc w:val="right"/>
            </w:pPr>
            <w:r>
              <w:t xml:space="preserve">0</w:t>
            </w:r>
          </w:p>
        </w:tc>
        <w:tc>
          <w:tcPr/>
          <w:p>
            <w:pPr>
              <w:pStyle w:val="Compact"/>
              <w:jc w:val="right"/>
            </w:pPr>
            <w:r>
              <w:t xml:space="preserve">1.1804</w:t>
            </w:r>
          </w:p>
        </w:tc>
        <w:tc>
          <w:tcPr/>
          <w:p>
            <w:pPr>
              <w:pStyle w:val="Compact"/>
              <w:jc w:val="right"/>
            </w:pPr>
            <w:r>
              <w:t xml:space="preserve">1.1658</w:t>
            </w:r>
          </w:p>
        </w:tc>
        <w:tc>
          <w:tcPr/>
          <w:p>
            <w:pPr>
              <w:pStyle w:val="Compact"/>
              <w:jc w:val="right"/>
            </w:pPr>
            <w:r>
              <w:t xml:space="preserve">1.1678</w:t>
            </w:r>
          </w:p>
        </w:tc>
        <w:tc>
          <w:tcPr/>
          <w:p>
            <w:pPr>
              <w:pStyle w:val="Compact"/>
              <w:jc w:val="right"/>
            </w:pPr>
            <w:r>
              <w:t xml:space="preserve">1.1670</w:t>
            </w:r>
          </w:p>
        </w:tc>
        <w:tc>
          <w:tcPr/>
          <w:p>
            <w:pPr>
              <w:pStyle w:val="Compact"/>
              <w:jc w:val="right"/>
            </w:pPr>
            <w:r>
              <w:t xml:space="preserve">1.1664</w:t>
            </w:r>
          </w:p>
        </w:tc>
        <w:tc>
          <w:tcPr/>
          <w:p>
            <w:pPr>
              <w:pStyle w:val="Compact"/>
              <w:jc w:val="right"/>
            </w:pPr>
            <w:r>
              <w:t xml:space="preserve">1.1804</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1.6438</w:t>
            </w:r>
          </w:p>
        </w:tc>
      </w:tr>
      <w:tr>
        <w:tc>
          <w:tcPr/>
          <w:p>
            <w:pPr>
              <w:pStyle w:val="Compact"/>
              <w:jc w:val="right"/>
            </w:pPr>
            <w:r>
              <w:t xml:space="preserve">21_153_9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1.6146</w:t>
            </w:r>
          </w:p>
        </w:tc>
        <w:tc>
          <w:tcPr/>
          <w:p>
            <w:pPr>
              <w:pStyle w:val="Compact"/>
              <w:jc w:val="right"/>
            </w:pPr>
            <w:r>
              <w:t xml:space="preserve">1.5852</w:t>
            </w:r>
          </w:p>
        </w:tc>
        <w:tc>
          <w:tcPr/>
          <w:p>
            <w:pPr>
              <w:pStyle w:val="Compact"/>
              <w:jc w:val="right"/>
            </w:pPr>
            <w:r>
              <w:t xml:space="preserve">1.5865</w:t>
            </w:r>
          </w:p>
        </w:tc>
        <w:tc>
          <w:tcPr/>
          <w:p>
            <w:pPr>
              <w:pStyle w:val="Compact"/>
              <w:jc w:val="right"/>
            </w:pPr>
            <w:r>
              <w:t xml:space="preserve">1.1670</w:t>
            </w:r>
          </w:p>
        </w:tc>
        <w:tc>
          <w:tcPr/>
          <w:p>
            <w:pPr>
              <w:pStyle w:val="Compact"/>
              <w:jc w:val="right"/>
            </w:pPr>
            <w:r>
              <w:t xml:space="preserve">1.5930</w:t>
            </w:r>
          </w:p>
        </w:tc>
        <w:tc>
          <w:tcPr/>
          <w:p>
            <w:pPr>
              <w:pStyle w:val="Compact"/>
              <w:jc w:val="right"/>
            </w:pPr>
            <w:r>
              <w:t xml:space="preserve">1.6146</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1.6438</w:t>
            </w:r>
          </w:p>
        </w:tc>
      </w:tr>
      <w:tr>
        <w:tc>
          <w:tcPr/>
          <w:p>
            <w:pPr>
              <w:pStyle w:val="Compact"/>
              <w:jc w:val="right"/>
            </w:pPr>
            <w:r>
              <w:t xml:space="preserve">21_153_9</w:t>
            </w:r>
          </w:p>
        </w:tc>
        <w:tc>
          <w:tcPr/>
          <w:p>
            <w:pPr>
              <w:pStyle w:val="Compact"/>
              <w:jc w:val="right"/>
            </w:pPr>
            <w:r>
              <w:t xml:space="preserve">1</w:t>
            </w:r>
          </w:p>
        </w:tc>
        <w:tc>
          <w:tcPr/>
          <w:p>
            <w:pPr>
              <w:pStyle w:val="Compact"/>
              <w:jc w:val="right"/>
            </w:pPr>
            <w:r>
              <w:t xml:space="preserve">3</w:t>
            </w:r>
          </w:p>
        </w:tc>
        <w:tc>
          <w:tcPr/>
          <w:p>
            <w:pPr>
              <w:pStyle w:val="Compact"/>
              <w:jc w:val="right"/>
            </w:pPr>
            <w:r>
              <w:t xml:space="preserve">1.0679</w:t>
            </w:r>
          </w:p>
        </w:tc>
        <w:tc>
          <w:tcPr/>
          <w:p>
            <w:pPr>
              <w:pStyle w:val="Compact"/>
              <w:jc w:val="right"/>
            </w:pPr>
            <w:r>
              <w:t xml:space="preserve">1.1650</w:t>
            </w:r>
          </w:p>
        </w:tc>
        <w:tc>
          <w:tcPr/>
          <w:p>
            <w:pPr>
              <w:pStyle w:val="Compact"/>
              <w:jc w:val="right"/>
            </w:pPr>
            <w:r>
              <w:t xml:space="preserve">1.1640</w:t>
            </w:r>
          </w:p>
        </w:tc>
        <w:tc>
          <w:tcPr/>
          <w:p>
            <w:pPr>
              <w:pStyle w:val="Compact"/>
              <w:jc w:val="right"/>
            </w:pPr>
            <w:r>
              <w:t xml:space="preserve">1.1670</w:t>
            </w:r>
          </w:p>
        </w:tc>
        <w:tc>
          <w:tcPr/>
          <w:p>
            <w:pPr>
              <w:pStyle w:val="Compact"/>
              <w:jc w:val="right"/>
            </w:pPr>
            <w:r>
              <w:t xml:space="preserve">1.1408</w:t>
            </w:r>
          </w:p>
        </w:tc>
        <w:tc>
          <w:tcPr/>
          <w:p>
            <w:pPr>
              <w:pStyle w:val="Compact"/>
              <w:jc w:val="right"/>
            </w:pPr>
            <w:r>
              <w:t xml:space="preserve">1.1670</w:t>
            </w:r>
          </w:p>
        </w:tc>
        <w:tc>
          <w:tcPr/>
          <w:p>
            <w:pPr>
              <w:pStyle w:val="Compact"/>
              <w:jc w:val="right"/>
            </w:pPr>
            <w:r>
              <w:t xml:space="preserve">0.0020</w:t>
            </w:r>
          </w:p>
        </w:tc>
        <w:tc>
          <w:tcPr/>
          <w:p>
            <w:pPr>
              <w:pStyle w:val="Compact"/>
              <w:jc w:val="right"/>
            </w:pPr>
            <w:r>
              <w:t xml:space="preserve">1</w:t>
            </w:r>
          </w:p>
        </w:tc>
        <w:tc>
          <w:tcPr/>
          <w:p>
            <w:pPr>
              <w:pStyle w:val="Compact"/>
              <w:jc w:val="right"/>
            </w:pPr>
            <w:r>
              <w:t xml:space="preserve">1.6438</w:t>
            </w:r>
          </w:p>
        </w:tc>
      </w:tr>
      <w:tr>
        <w:tc>
          <w:tcPr/>
          <w:p>
            <w:pPr>
              <w:pStyle w:val="Compact"/>
              <w:jc w:val="right"/>
            </w:pPr>
            <w:r>
              <w:t xml:space="preserve">23_13_2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1.5882</w:t>
            </w:r>
          </w:p>
        </w:tc>
        <w:tc>
          <w:tcPr/>
          <w:p>
            <w:pPr>
              <w:pStyle w:val="Compact"/>
              <w:jc w:val="right"/>
            </w:pPr>
            <w:r>
              <w:t xml:space="preserve">1.5839</w:t>
            </w:r>
          </w:p>
        </w:tc>
        <w:tc>
          <w:tcPr/>
          <w:p>
            <w:pPr>
              <w:pStyle w:val="Compact"/>
              <w:jc w:val="right"/>
            </w:pPr>
            <w:r>
              <w:t xml:space="preserve">1.5904</w:t>
            </w:r>
          </w:p>
        </w:tc>
        <w:tc>
          <w:tcPr/>
          <w:p>
            <w:pPr>
              <w:pStyle w:val="Compact"/>
              <w:jc w:val="right"/>
            </w:pPr>
            <w:r>
              <w:t xml:space="preserve">1.1670</w:t>
            </w:r>
          </w:p>
        </w:tc>
        <w:tc>
          <w:tcPr/>
          <w:p>
            <w:pPr>
              <w:pStyle w:val="Compact"/>
              <w:jc w:val="right"/>
            </w:pPr>
            <w:r>
              <w:t xml:space="preserve">1.5846</w:t>
            </w:r>
          </w:p>
        </w:tc>
        <w:tc>
          <w:tcPr/>
          <w:p>
            <w:pPr>
              <w:pStyle w:val="Compact"/>
              <w:jc w:val="right"/>
            </w:pPr>
            <w:r>
              <w:t xml:space="preserve">1.5904</w:t>
            </w:r>
          </w:p>
        </w:tc>
        <w:tc>
          <w:tcPr/>
          <w:p>
            <w:pPr>
              <w:pStyle w:val="Compact"/>
              <w:jc w:val="right"/>
            </w:pPr>
            <w:r>
              <w:t xml:space="preserve">0.0066</w:t>
            </w:r>
          </w:p>
        </w:tc>
        <w:tc>
          <w:tcPr/>
          <w:p>
            <w:pPr>
              <w:pStyle w:val="Compact"/>
              <w:jc w:val="right"/>
            </w:pPr>
            <w:r>
              <w:t xml:space="preserve">1</w:t>
            </w:r>
          </w:p>
        </w:tc>
        <w:tc>
          <w:tcPr/>
          <w:p>
            <w:pPr>
              <w:pStyle w:val="Compact"/>
              <w:jc w:val="right"/>
            </w:pPr>
            <w:r>
              <w:t xml:space="preserve">0.8111</w:t>
            </w:r>
          </w:p>
        </w:tc>
      </w:tr>
      <w:tr>
        <w:tc>
          <w:tcPr/>
          <w:p>
            <w:pPr>
              <w:pStyle w:val="Compact"/>
              <w:jc w:val="right"/>
            </w:pPr>
            <w:r>
              <w:t xml:space="preserve">23_13_2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1.1967</w:t>
            </w:r>
          </w:p>
        </w:tc>
        <w:tc>
          <w:tcPr/>
          <w:p>
            <w:pPr>
              <w:pStyle w:val="Compact"/>
              <w:jc w:val="right"/>
            </w:pPr>
            <w:r>
              <w:t xml:space="preserve">1.1657</w:t>
            </w:r>
          </w:p>
        </w:tc>
        <w:tc>
          <w:tcPr/>
          <w:p>
            <w:pPr>
              <w:pStyle w:val="Compact"/>
              <w:jc w:val="right"/>
            </w:pPr>
            <w:r>
              <w:t xml:space="preserve">1.1683</w:t>
            </w:r>
          </w:p>
        </w:tc>
        <w:tc>
          <w:tcPr/>
          <w:p>
            <w:pPr>
              <w:pStyle w:val="Compact"/>
              <w:jc w:val="right"/>
            </w:pPr>
            <w:r>
              <w:t xml:space="preserve">1.1670</w:t>
            </w:r>
          </w:p>
        </w:tc>
        <w:tc>
          <w:tcPr/>
          <w:p>
            <w:pPr>
              <w:pStyle w:val="Compact"/>
              <w:jc w:val="right"/>
            </w:pPr>
            <w:r>
              <w:t xml:space="preserve">1.1543</w:t>
            </w:r>
          </w:p>
        </w:tc>
        <w:tc>
          <w:tcPr/>
          <w:p>
            <w:pPr>
              <w:pStyle w:val="Compact"/>
              <w:jc w:val="right"/>
            </w:pPr>
            <w:r>
              <w:t xml:space="preserve">1.1967</w:t>
            </w:r>
          </w:p>
        </w:tc>
        <w:tc>
          <w:tcPr/>
          <w:p>
            <w:pPr>
              <w:pStyle w:val="Compact"/>
              <w:jc w:val="right"/>
            </w:pPr>
            <w:r>
              <w:t xml:space="preserve">0.0309</w:t>
            </w:r>
          </w:p>
        </w:tc>
        <w:tc>
          <w:tcPr/>
          <w:p>
            <w:pPr>
              <w:pStyle w:val="Compact"/>
              <w:jc w:val="right"/>
            </w:pPr>
            <w:r>
              <w:t xml:space="preserve">1</w:t>
            </w:r>
          </w:p>
        </w:tc>
        <w:tc>
          <w:tcPr/>
          <w:p>
            <w:pPr>
              <w:pStyle w:val="Compact"/>
              <w:jc w:val="right"/>
            </w:pPr>
            <w:r>
              <w:t xml:space="preserve">0.8111</w:t>
            </w:r>
          </w:p>
        </w:tc>
      </w:tr>
      <w:tr>
        <w:tc>
          <w:tcPr/>
          <w:p>
            <w:pPr>
              <w:pStyle w:val="Compact"/>
              <w:jc w:val="right"/>
            </w:pPr>
            <w:r>
              <w:t xml:space="preserve">23_31_3</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1.6463</w:t>
            </w:r>
          </w:p>
        </w:tc>
        <w:tc>
          <w:tcPr/>
          <w:p>
            <w:pPr>
              <w:pStyle w:val="Compact"/>
              <w:jc w:val="right"/>
            </w:pPr>
            <w:r>
              <w:t xml:space="preserve">1.5888</w:t>
            </w:r>
          </w:p>
        </w:tc>
        <w:tc>
          <w:tcPr/>
          <w:p>
            <w:pPr>
              <w:pStyle w:val="Compact"/>
              <w:jc w:val="right"/>
            </w:pPr>
            <w:r>
              <w:t xml:space="preserve">1.5758</w:t>
            </w:r>
          </w:p>
        </w:tc>
        <w:tc>
          <w:tcPr/>
          <w:p>
            <w:pPr>
              <w:pStyle w:val="Compact"/>
              <w:jc w:val="right"/>
            </w:pPr>
            <w:r>
              <w:t xml:space="preserve">1.1670</w:t>
            </w:r>
          </w:p>
        </w:tc>
        <w:tc>
          <w:tcPr/>
          <w:p>
            <w:pPr>
              <w:pStyle w:val="Compact"/>
              <w:jc w:val="right"/>
            </w:pPr>
            <w:r>
              <w:t xml:space="preserve">1.6014</w:t>
            </w:r>
          </w:p>
        </w:tc>
        <w:tc>
          <w:tcPr/>
          <w:p>
            <w:pPr>
              <w:pStyle w:val="Compact"/>
              <w:jc w:val="right"/>
            </w:pPr>
            <w:r>
              <w:t xml:space="preserve">1.6463</w:t>
            </w:r>
          </w:p>
        </w:tc>
        <w:tc>
          <w:tcPr/>
          <w:p>
            <w:pPr>
              <w:pStyle w:val="Compact"/>
              <w:jc w:val="right"/>
            </w:pPr>
            <w:r>
              <w:t xml:space="preserve">0.0575</w:t>
            </w:r>
          </w:p>
        </w:tc>
        <w:tc>
          <w:tcPr/>
          <w:p>
            <w:pPr>
              <w:pStyle w:val="Compact"/>
              <w:jc w:val="right"/>
            </w:pPr>
            <w:r>
              <w:t xml:space="preserve">1</w:t>
            </w:r>
          </w:p>
        </w:tc>
        <w:tc>
          <w:tcPr/>
          <w:p>
            <w:pPr>
              <w:pStyle w:val="Compact"/>
              <w:jc w:val="right"/>
            </w:pPr>
            <w:r>
              <w:t xml:space="preserve">0.8111</w:t>
            </w:r>
          </w:p>
        </w:tc>
      </w:tr>
      <w:tr>
        <w:tc>
          <w:tcPr/>
          <w:p>
            <w:pPr>
              <w:pStyle w:val="Compact"/>
              <w:jc w:val="right"/>
            </w:pPr>
            <w:r>
              <w:t xml:space="preserve">23_31_3</w:t>
            </w:r>
          </w:p>
        </w:tc>
        <w:tc>
          <w:tcPr/>
          <w:p>
            <w:pPr>
              <w:pStyle w:val="Compact"/>
              <w:jc w:val="right"/>
            </w:pPr>
            <w:r>
              <w:t xml:space="preserve">1</w:t>
            </w:r>
          </w:p>
        </w:tc>
        <w:tc>
          <w:tcPr/>
          <w:p>
            <w:pPr>
              <w:pStyle w:val="Compact"/>
              <w:jc w:val="right"/>
            </w:pPr>
            <w:r>
              <w:t xml:space="preserve">0</w:t>
            </w:r>
          </w:p>
        </w:tc>
        <w:tc>
          <w:tcPr/>
          <w:p>
            <w:pPr>
              <w:pStyle w:val="Compact"/>
              <w:jc w:val="right"/>
            </w:pPr>
            <w:r>
              <w:t xml:space="preserve">1.2372</w:t>
            </w:r>
          </w:p>
        </w:tc>
        <w:tc>
          <w:tcPr/>
          <w:p>
            <w:pPr>
              <w:pStyle w:val="Compact"/>
              <w:jc w:val="right"/>
            </w:pPr>
            <w:r>
              <w:t xml:space="preserve">1.1668</w:t>
            </w:r>
          </w:p>
        </w:tc>
        <w:tc>
          <w:tcPr/>
          <w:p>
            <w:pPr>
              <w:pStyle w:val="Compact"/>
              <w:jc w:val="right"/>
            </w:pPr>
            <w:r>
              <w:t xml:space="preserve">1.1705</w:t>
            </w:r>
          </w:p>
        </w:tc>
        <w:tc>
          <w:tcPr/>
          <w:p>
            <w:pPr>
              <w:pStyle w:val="Compact"/>
              <w:jc w:val="right"/>
            </w:pPr>
            <w:r>
              <w:t xml:space="preserve">1.1670</w:t>
            </w:r>
          </w:p>
        </w:tc>
        <w:tc>
          <w:tcPr/>
          <w:p>
            <w:pPr>
              <w:pStyle w:val="Compact"/>
              <w:jc w:val="right"/>
            </w:pPr>
            <w:r>
              <w:t xml:space="preserve">1.1821</w:t>
            </w:r>
          </w:p>
        </w:tc>
        <w:tc>
          <w:tcPr/>
          <w:p>
            <w:pPr>
              <w:pStyle w:val="Compact"/>
              <w:jc w:val="right"/>
            </w:pPr>
            <w:r>
              <w:t xml:space="preserve">1.2372</w:t>
            </w:r>
          </w:p>
        </w:tc>
        <w:tc>
          <w:tcPr/>
          <w:p>
            <w:pPr>
              <w:pStyle w:val="Compact"/>
              <w:jc w:val="right"/>
            </w:pPr>
            <w:r>
              <w:t xml:space="preserve">0.0704</w:t>
            </w:r>
          </w:p>
        </w:tc>
        <w:tc>
          <w:tcPr/>
          <w:p>
            <w:pPr>
              <w:pStyle w:val="Compact"/>
              <w:jc w:val="right"/>
            </w:pPr>
            <w:r>
              <w:t xml:space="preserve">1</w:t>
            </w:r>
          </w:p>
        </w:tc>
        <w:tc>
          <w:tcPr/>
          <w:p>
            <w:pPr>
              <w:pStyle w:val="Compact"/>
              <w:jc w:val="right"/>
            </w:pPr>
            <w:r>
              <w:t xml:space="preserve">0.8111</w:t>
            </w:r>
          </w:p>
        </w:tc>
      </w:tr>
      <w:tr>
        <w:tc>
          <w:tcPr/>
          <w:p>
            <w:pPr>
              <w:pStyle w:val="Compact"/>
              <w:jc w:val="right"/>
            </w:pPr>
            <w:r>
              <w:t xml:space="preserve">23_73_2</w:t>
            </w:r>
          </w:p>
        </w:tc>
        <w:tc>
          <w:tcPr/>
          <w:p>
            <w:pPr>
              <w:pStyle w:val="Compact"/>
              <w:jc w:val="right"/>
            </w:pPr>
            <w:r>
              <w:t xml:space="preserve">0</w:t>
            </w:r>
          </w:p>
        </w:tc>
        <w:tc>
          <w:tcPr/>
          <w:p>
            <w:pPr>
              <w:pStyle w:val="Compact"/>
              <w:jc w:val="right"/>
            </w:pPr>
            <w:r>
              <w:t xml:space="preserve">2</w:t>
            </w:r>
          </w:p>
        </w:tc>
        <w:tc>
          <w:tcPr/>
          <w:p>
            <w:pPr>
              <w:pStyle w:val="Compact"/>
              <w:jc w:val="right"/>
            </w:pPr>
            <w:r>
              <w:t xml:space="preserve">0.9211</w:t>
            </w:r>
          </w:p>
        </w:tc>
        <w:tc>
          <w:tcPr/>
          <w:p>
            <w:pPr>
              <w:pStyle w:val="Compact"/>
              <w:jc w:val="right"/>
            </w:pPr>
            <w:r>
              <w:t xml:space="preserve">1.5800</w:t>
            </w:r>
          </w:p>
        </w:tc>
        <w:tc>
          <w:tcPr/>
          <w:p>
            <w:pPr>
              <w:pStyle w:val="Compact"/>
              <w:jc w:val="right"/>
            </w:pPr>
            <w:r>
              <w:t xml:space="preserve">1.5876</w:t>
            </w:r>
          </w:p>
        </w:tc>
        <w:tc>
          <w:tcPr/>
          <w:p>
            <w:pPr>
              <w:pStyle w:val="Compact"/>
              <w:jc w:val="right"/>
            </w:pPr>
            <w:r>
              <w:t xml:space="preserve">1.1670</w:t>
            </w:r>
          </w:p>
        </w:tc>
        <w:tc>
          <w:tcPr/>
          <w:p>
            <w:pPr>
              <w:pStyle w:val="Compact"/>
              <w:jc w:val="right"/>
            </w:pPr>
            <w:r>
              <w:t xml:space="preserve">1.5570</w:t>
            </w:r>
          </w:p>
        </w:tc>
        <w:tc>
          <w:tcPr/>
          <w:p>
            <w:pPr>
              <w:pStyle w:val="Compact"/>
              <w:jc w:val="right"/>
            </w:pPr>
            <w:r>
              <w:t xml:space="preserve">1.5876</w:t>
            </w:r>
          </w:p>
        </w:tc>
        <w:tc>
          <w:tcPr/>
          <w:p>
            <w:pPr>
              <w:pStyle w:val="Compact"/>
              <w:jc w:val="right"/>
            </w:pPr>
            <w:r>
              <w:t xml:space="preserve">0.0076</w:t>
            </w:r>
          </w:p>
        </w:tc>
        <w:tc>
          <w:tcPr/>
          <w:p>
            <w:pPr>
              <w:pStyle w:val="Compact"/>
              <w:jc w:val="right"/>
            </w:pPr>
            <w:r>
              <w:t xml:space="preserve">1</w:t>
            </w:r>
          </w:p>
        </w:tc>
        <w:tc>
          <w:tcPr/>
          <w:p>
            <w:pPr>
              <w:pStyle w:val="Compact"/>
              <w:jc w:val="right"/>
            </w:pPr>
            <w:r>
              <w:t xml:space="preserve">0.8111</w:t>
            </w:r>
          </w:p>
        </w:tc>
      </w:tr>
      <w:tr>
        <w:tc>
          <w:tcPr/>
          <w:p>
            <w:pPr>
              <w:pStyle w:val="Compact"/>
              <w:jc w:val="right"/>
            </w:pPr>
            <w:r>
              <w:t xml:space="preserve">23_73_2</w:t>
            </w:r>
          </w:p>
        </w:tc>
        <w:tc>
          <w:tcPr/>
          <w:p>
            <w:pPr>
              <w:pStyle w:val="Compact"/>
              <w:jc w:val="right"/>
            </w:pPr>
            <w:r>
              <w:t xml:space="preserve">1</w:t>
            </w:r>
          </w:p>
        </w:tc>
        <w:tc>
          <w:tcPr/>
          <w:p>
            <w:pPr>
              <w:pStyle w:val="Compact"/>
              <w:jc w:val="right"/>
            </w:pPr>
            <w:r>
              <w:t xml:space="preserve">3</w:t>
            </w:r>
          </w:p>
        </w:tc>
        <w:tc>
          <w:tcPr/>
          <w:p>
            <w:pPr>
              <w:pStyle w:val="Compact"/>
              <w:jc w:val="right"/>
            </w:pPr>
            <w:r>
              <w:t xml:space="preserve">0.7303</w:t>
            </w:r>
          </w:p>
        </w:tc>
        <w:tc>
          <w:tcPr/>
          <w:p>
            <w:pPr>
              <w:pStyle w:val="Compact"/>
              <w:jc w:val="right"/>
            </w:pPr>
            <w:r>
              <w:t xml:space="preserve">1.1660</w:t>
            </w:r>
          </w:p>
        </w:tc>
        <w:tc>
          <w:tcPr/>
          <w:p>
            <w:pPr>
              <w:pStyle w:val="Compact"/>
              <w:jc w:val="right"/>
            </w:pPr>
            <w:r>
              <w:t xml:space="preserve">1.1659</w:t>
            </w:r>
          </w:p>
        </w:tc>
        <w:tc>
          <w:tcPr/>
          <w:p>
            <w:pPr>
              <w:pStyle w:val="Compact"/>
              <w:jc w:val="right"/>
            </w:pPr>
            <w:r>
              <w:t xml:space="preserve">1.1670</w:t>
            </w:r>
          </w:p>
        </w:tc>
        <w:tc>
          <w:tcPr/>
          <w:p>
            <w:pPr>
              <w:pStyle w:val="Compact"/>
              <w:jc w:val="right"/>
            </w:pPr>
            <w:r>
              <w:t xml:space="preserve">1.1268</w:t>
            </w:r>
          </w:p>
        </w:tc>
        <w:tc>
          <w:tcPr/>
          <w:p>
            <w:pPr>
              <w:pStyle w:val="Compact"/>
              <w:jc w:val="right"/>
            </w:pPr>
            <w:r>
              <w:t xml:space="preserve">1.1670</w:t>
            </w:r>
          </w:p>
        </w:tc>
        <w:tc>
          <w:tcPr/>
          <w:p>
            <w:pPr>
              <w:pStyle w:val="Compact"/>
              <w:jc w:val="right"/>
            </w:pPr>
            <w:r>
              <w:t xml:space="preserve">0.0010</w:t>
            </w:r>
          </w:p>
        </w:tc>
        <w:tc>
          <w:tcPr/>
          <w:p>
            <w:pPr>
              <w:pStyle w:val="Compact"/>
              <w:jc w:val="right"/>
            </w:pPr>
            <w:r>
              <w:t xml:space="preserve">1</w:t>
            </w:r>
          </w:p>
        </w:tc>
        <w:tc>
          <w:tcPr/>
          <w:p>
            <w:pPr>
              <w:pStyle w:val="Compact"/>
              <w:jc w:val="right"/>
            </w:pPr>
            <w:r>
              <w:t xml:space="preserve">0.8111</w:t>
            </w:r>
          </w:p>
        </w:tc>
      </w:tr>
      <w:tr>
        <w:tc>
          <w:tcPr/>
          <w:p>
            <w:pPr>
              <w:pStyle w:val="Compact"/>
              <w:jc w:val="right"/>
            </w:pPr>
            <w:r>
              <w:t xml:space="preserve">27_1_2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1.6142</w:t>
            </w:r>
          </w:p>
        </w:tc>
        <w:tc>
          <w:tcPr/>
          <w:p>
            <w:pPr>
              <w:pStyle w:val="Compact"/>
              <w:jc w:val="right"/>
            </w:pPr>
            <w:r>
              <w:t xml:space="preserve">1.5884</w:t>
            </w:r>
          </w:p>
        </w:tc>
        <w:tc>
          <w:tcPr/>
          <w:p>
            <w:pPr>
              <w:pStyle w:val="Compact"/>
              <w:jc w:val="right"/>
            </w:pPr>
            <w:r>
              <w:t xml:space="preserve">1.5863</w:t>
            </w:r>
          </w:p>
        </w:tc>
        <w:tc>
          <w:tcPr/>
          <w:p>
            <w:pPr>
              <w:pStyle w:val="Compact"/>
              <w:jc w:val="right"/>
            </w:pPr>
            <w:r>
              <w:t xml:space="preserve">1.1670</w:t>
            </w:r>
          </w:p>
        </w:tc>
        <w:tc>
          <w:tcPr/>
          <w:p>
            <w:pPr>
              <w:pStyle w:val="Compact"/>
              <w:jc w:val="right"/>
            </w:pPr>
            <w:r>
              <w:t xml:space="preserve">1.5770</w:t>
            </w:r>
          </w:p>
        </w:tc>
        <w:tc>
          <w:tcPr/>
          <w:p>
            <w:pPr>
              <w:pStyle w:val="Compact"/>
              <w:jc w:val="right"/>
            </w:pPr>
            <w:r>
              <w:t xml:space="preserve">1.6142</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0.5041</w:t>
            </w:r>
          </w:p>
        </w:tc>
      </w:tr>
      <w:tr>
        <w:tc>
          <w:tcPr/>
          <w:p>
            <w:pPr>
              <w:pStyle w:val="Compact"/>
              <w:jc w:val="right"/>
            </w:pPr>
            <w:r>
              <w:t xml:space="preserve">27_1_2</w:t>
            </w:r>
          </w:p>
        </w:tc>
        <w:tc>
          <w:tcPr/>
          <w:p>
            <w:pPr>
              <w:pStyle w:val="Compact"/>
              <w:jc w:val="right"/>
            </w:pPr>
            <w:r>
              <w:t xml:space="preserve">1</w:t>
            </w:r>
          </w:p>
        </w:tc>
        <w:tc>
          <w:tcPr/>
          <w:p>
            <w:pPr>
              <w:pStyle w:val="Compact"/>
              <w:jc w:val="right"/>
            </w:pPr>
            <w:r>
              <w:t xml:space="preserve">4</w:t>
            </w:r>
          </w:p>
        </w:tc>
        <w:tc>
          <w:tcPr/>
          <w:p>
            <w:pPr>
              <w:pStyle w:val="Compact"/>
              <w:jc w:val="right"/>
            </w:pPr>
            <w:r>
              <w:t xml:space="preserve">1.1210</w:t>
            </w:r>
          </w:p>
        </w:tc>
        <w:tc>
          <w:tcPr/>
          <w:p>
            <w:pPr>
              <w:pStyle w:val="Compact"/>
              <w:jc w:val="right"/>
            </w:pPr>
            <w:r>
              <w:t xml:space="preserve">1.1667</w:t>
            </w:r>
          </w:p>
        </w:tc>
        <w:tc>
          <w:tcPr/>
          <w:p>
            <w:pPr>
              <w:pStyle w:val="Compact"/>
              <w:jc w:val="right"/>
            </w:pPr>
            <w:r>
              <w:t xml:space="preserve">1.1690</w:t>
            </w:r>
          </w:p>
        </w:tc>
        <w:tc>
          <w:tcPr/>
          <w:p>
            <w:pPr>
              <w:pStyle w:val="Compact"/>
              <w:jc w:val="right"/>
            </w:pPr>
            <w:r>
              <w:t xml:space="preserve">1.1670</w:t>
            </w:r>
          </w:p>
        </w:tc>
        <w:tc>
          <w:tcPr/>
          <w:p>
            <w:pPr>
              <w:pStyle w:val="Compact"/>
              <w:jc w:val="right"/>
            </w:pPr>
            <w:r>
              <w:t xml:space="preserve">1.1741</w:t>
            </w:r>
          </w:p>
        </w:tc>
        <w:tc>
          <w:tcPr/>
          <w:p>
            <w:pPr>
              <w:pStyle w:val="Compact"/>
              <w:jc w:val="right"/>
            </w:pPr>
            <w:r>
              <w:t xml:space="preserve">1.1741</w:t>
            </w:r>
          </w:p>
        </w:tc>
        <w:tc>
          <w:tcPr/>
          <w:p>
            <w:pPr>
              <w:pStyle w:val="Compact"/>
              <w:jc w:val="right"/>
            </w:pPr>
            <w:r>
              <w:t xml:space="preserve">0.0075</w:t>
            </w:r>
          </w:p>
        </w:tc>
        <w:tc>
          <w:tcPr/>
          <w:p>
            <w:pPr>
              <w:pStyle w:val="Compact"/>
              <w:jc w:val="right"/>
            </w:pPr>
            <w:r>
              <w:t xml:space="preserve">1</w:t>
            </w:r>
          </w:p>
        </w:tc>
        <w:tc>
          <w:tcPr/>
          <w:p>
            <w:pPr>
              <w:pStyle w:val="Compact"/>
              <w:jc w:val="right"/>
            </w:pPr>
            <w:r>
              <w:t xml:space="preserve">0.5041</w:t>
            </w:r>
          </w:p>
        </w:tc>
      </w:tr>
      <w:tr>
        <w:tc>
          <w:tcPr/>
          <w:p>
            <w:pPr>
              <w:pStyle w:val="Compact"/>
              <w:jc w:val="right"/>
            </w:pPr>
            <w:r>
              <w:t xml:space="preserve">27_23_2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1.5933</w:t>
            </w:r>
          </w:p>
        </w:tc>
        <w:tc>
          <w:tcPr/>
          <w:p>
            <w:pPr>
              <w:pStyle w:val="Compact"/>
              <w:jc w:val="right"/>
            </w:pPr>
            <w:r>
              <w:t xml:space="preserve">1.5969</w:t>
            </w:r>
          </w:p>
        </w:tc>
        <w:tc>
          <w:tcPr/>
          <w:p>
            <w:pPr>
              <w:pStyle w:val="Compact"/>
              <w:jc w:val="right"/>
            </w:pPr>
            <w:r>
              <w:t xml:space="preserve">1.5996</w:t>
            </w:r>
          </w:p>
        </w:tc>
        <w:tc>
          <w:tcPr/>
          <w:p>
            <w:pPr>
              <w:pStyle w:val="Compact"/>
              <w:jc w:val="right"/>
            </w:pPr>
            <w:r>
              <w:t xml:space="preserve">1.1670</w:t>
            </w:r>
          </w:p>
        </w:tc>
        <w:tc>
          <w:tcPr/>
          <w:p>
            <w:pPr>
              <w:pStyle w:val="Compact"/>
              <w:jc w:val="right"/>
            </w:pPr>
            <w:r>
              <w:t xml:space="preserve">1.6090</w:t>
            </w:r>
          </w:p>
        </w:tc>
        <w:tc>
          <w:tcPr/>
          <w:p>
            <w:pPr>
              <w:pStyle w:val="Compact"/>
              <w:jc w:val="right"/>
            </w:pPr>
            <w:r>
              <w:t xml:space="preserve">1.6090</w:t>
            </w:r>
          </w:p>
        </w:tc>
        <w:tc>
          <w:tcPr/>
          <w:p>
            <w:pPr>
              <w:pStyle w:val="Compact"/>
              <w:jc w:val="right"/>
            </w:pPr>
            <w:r>
              <w:t xml:space="preserve">0.0121</w:t>
            </w:r>
          </w:p>
        </w:tc>
        <w:tc>
          <w:tcPr/>
          <w:p>
            <w:pPr>
              <w:pStyle w:val="Compact"/>
              <w:jc w:val="right"/>
            </w:pPr>
            <w:r>
              <w:t xml:space="preserve">1</w:t>
            </w:r>
          </w:p>
        </w:tc>
        <w:tc>
          <w:tcPr/>
          <w:p>
            <w:pPr>
              <w:pStyle w:val="Compact"/>
              <w:jc w:val="right"/>
            </w:pPr>
            <w:r>
              <w:t xml:space="preserve">0.5041</w:t>
            </w:r>
          </w:p>
        </w:tc>
      </w:tr>
      <w:tr>
        <w:tc>
          <w:tcPr/>
          <w:p>
            <w:pPr>
              <w:pStyle w:val="Compact"/>
              <w:jc w:val="right"/>
            </w:pPr>
            <w:r>
              <w:t xml:space="preserve">27_23_2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1.1723</w:t>
            </w:r>
          </w:p>
        </w:tc>
        <w:tc>
          <w:tcPr/>
          <w:p>
            <w:pPr>
              <w:pStyle w:val="Compact"/>
              <w:jc w:val="right"/>
            </w:pPr>
            <w:r>
              <w:t xml:space="preserve">1.1690</w:t>
            </w:r>
          </w:p>
        </w:tc>
        <w:tc>
          <w:tcPr/>
          <w:p>
            <w:pPr>
              <w:pStyle w:val="Compact"/>
              <w:jc w:val="right"/>
            </w:pPr>
            <w:r>
              <w:t xml:space="preserve">1.1666</w:t>
            </w:r>
          </w:p>
        </w:tc>
        <w:tc>
          <w:tcPr/>
          <w:p>
            <w:pPr>
              <w:pStyle w:val="Compact"/>
              <w:jc w:val="right"/>
            </w:pPr>
            <w:r>
              <w:t xml:space="preserve">1.1670</w:t>
            </w:r>
          </w:p>
        </w:tc>
        <w:tc>
          <w:tcPr/>
          <w:p>
            <w:pPr>
              <w:pStyle w:val="Compact"/>
              <w:jc w:val="right"/>
            </w:pPr>
            <w:r>
              <w:t xml:space="preserve">1.1620</w:t>
            </w:r>
          </w:p>
        </w:tc>
        <w:tc>
          <w:tcPr/>
          <w:p>
            <w:pPr>
              <w:pStyle w:val="Compact"/>
              <w:jc w:val="right"/>
            </w:pPr>
            <w:r>
              <w:t xml:space="preserve">1.1723</w:t>
            </w:r>
          </w:p>
        </w:tc>
        <w:tc>
          <w:tcPr/>
          <w:p>
            <w:pPr>
              <w:pStyle w:val="Compact"/>
              <w:jc w:val="right"/>
            </w:pPr>
            <w:r>
              <w:t xml:space="preserve">0.0033</w:t>
            </w:r>
          </w:p>
        </w:tc>
        <w:tc>
          <w:tcPr/>
          <w:p>
            <w:pPr>
              <w:pStyle w:val="Compact"/>
              <w:jc w:val="right"/>
            </w:pPr>
            <w:r>
              <w:t xml:space="preserve">1</w:t>
            </w:r>
          </w:p>
        </w:tc>
        <w:tc>
          <w:tcPr/>
          <w:p>
            <w:pPr>
              <w:pStyle w:val="Compact"/>
              <w:jc w:val="right"/>
            </w:pPr>
            <w:r>
              <w:t xml:space="preserve">0.5041</w:t>
            </w:r>
          </w:p>
        </w:tc>
      </w:tr>
      <w:tr>
        <w:tc>
          <w:tcPr/>
          <w:p>
            <w:pPr>
              <w:pStyle w:val="Compact"/>
              <w:jc w:val="right"/>
            </w:pPr>
            <w:r>
              <w:t xml:space="preserve">27_49_2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1.6120</w:t>
            </w:r>
          </w:p>
        </w:tc>
        <w:tc>
          <w:tcPr/>
          <w:p>
            <w:pPr>
              <w:pStyle w:val="Compact"/>
              <w:jc w:val="right"/>
            </w:pPr>
            <w:r>
              <w:t xml:space="preserve">1.6061</w:t>
            </w:r>
          </w:p>
        </w:tc>
        <w:tc>
          <w:tcPr/>
          <w:p>
            <w:pPr>
              <w:pStyle w:val="Compact"/>
              <w:jc w:val="right"/>
            </w:pPr>
            <w:r>
              <w:t xml:space="preserve">1.6077</w:t>
            </w:r>
          </w:p>
        </w:tc>
        <w:tc>
          <w:tcPr/>
          <w:p>
            <w:pPr>
              <w:pStyle w:val="Compact"/>
              <w:jc w:val="right"/>
            </w:pPr>
            <w:r>
              <w:t xml:space="preserve">1.1670</w:t>
            </w:r>
          </w:p>
        </w:tc>
        <w:tc>
          <w:tcPr/>
          <w:p>
            <w:pPr>
              <w:pStyle w:val="Compact"/>
              <w:jc w:val="right"/>
            </w:pPr>
            <w:r>
              <w:t xml:space="preserve">1.5909</w:t>
            </w:r>
          </w:p>
        </w:tc>
        <w:tc>
          <w:tcPr/>
          <w:p>
            <w:pPr>
              <w:pStyle w:val="Compact"/>
              <w:jc w:val="right"/>
            </w:pPr>
            <w:r>
              <w:t xml:space="preserve">1.6120</w:t>
            </w:r>
          </w:p>
        </w:tc>
        <w:tc>
          <w:tcPr/>
          <w:p>
            <w:pPr>
              <w:pStyle w:val="Compact"/>
              <w:jc w:val="right"/>
            </w:pPr>
            <w:r>
              <w:t xml:space="preserve">0.0059</w:t>
            </w:r>
          </w:p>
        </w:tc>
        <w:tc>
          <w:tcPr/>
          <w:p>
            <w:pPr>
              <w:pStyle w:val="Compact"/>
              <w:jc w:val="right"/>
            </w:pPr>
            <w:r>
              <w:t xml:space="preserve">1</w:t>
            </w:r>
          </w:p>
        </w:tc>
        <w:tc>
          <w:tcPr/>
          <w:p>
            <w:pPr>
              <w:pStyle w:val="Compact"/>
              <w:jc w:val="right"/>
            </w:pPr>
            <w:r>
              <w:t xml:space="preserve">0.5041</w:t>
            </w:r>
          </w:p>
        </w:tc>
      </w:tr>
      <w:tr>
        <w:tc>
          <w:tcPr/>
          <w:p>
            <w:pPr>
              <w:pStyle w:val="Compact"/>
              <w:jc w:val="right"/>
            </w:pPr>
            <w:r>
              <w:t xml:space="preserve">27_49_2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1.2338</w:t>
            </w:r>
          </w:p>
        </w:tc>
        <w:tc>
          <w:tcPr/>
          <w:p>
            <w:pPr>
              <w:pStyle w:val="Compact"/>
              <w:jc w:val="right"/>
            </w:pPr>
            <w:r>
              <w:t xml:space="preserve">1.1710</w:t>
            </w:r>
          </w:p>
        </w:tc>
        <w:tc>
          <w:tcPr/>
          <w:p>
            <w:pPr>
              <w:pStyle w:val="Compact"/>
              <w:jc w:val="right"/>
            </w:pPr>
            <w:r>
              <w:t xml:space="preserve">1.1712</w:t>
            </w:r>
          </w:p>
        </w:tc>
        <w:tc>
          <w:tcPr/>
          <w:p>
            <w:pPr>
              <w:pStyle w:val="Compact"/>
              <w:jc w:val="right"/>
            </w:pPr>
            <w:r>
              <w:t xml:space="preserve">1.1670</w:t>
            </w:r>
          </w:p>
        </w:tc>
        <w:tc>
          <w:tcPr/>
          <w:p>
            <w:pPr>
              <w:pStyle w:val="Compact"/>
              <w:jc w:val="right"/>
            </w:pPr>
            <w:r>
              <w:t xml:space="preserve">1.1965</w:t>
            </w:r>
          </w:p>
        </w:tc>
        <w:tc>
          <w:tcPr/>
          <w:p>
            <w:pPr>
              <w:pStyle w:val="Compact"/>
              <w:jc w:val="right"/>
            </w:pPr>
            <w:r>
              <w:t xml:space="preserve">1.2338</w:t>
            </w:r>
          </w:p>
        </w:tc>
        <w:tc>
          <w:tcPr/>
          <w:p>
            <w:pPr>
              <w:pStyle w:val="Compact"/>
              <w:jc w:val="right"/>
            </w:pPr>
            <w:r>
              <w:t xml:space="preserve">0.0628</w:t>
            </w:r>
          </w:p>
        </w:tc>
        <w:tc>
          <w:tcPr/>
          <w:p>
            <w:pPr>
              <w:pStyle w:val="Compact"/>
              <w:jc w:val="right"/>
            </w:pPr>
            <w:r>
              <w:t xml:space="preserve">1</w:t>
            </w:r>
          </w:p>
        </w:tc>
        <w:tc>
          <w:tcPr/>
          <w:p>
            <w:pPr>
              <w:pStyle w:val="Compact"/>
              <w:jc w:val="right"/>
            </w:pPr>
            <w:r>
              <w:t xml:space="preserve">0.5041</w:t>
            </w:r>
          </w:p>
        </w:tc>
      </w:tr>
      <w:tr>
        <w:tc>
          <w:tcPr/>
          <w:p>
            <w:pPr>
              <w:pStyle w:val="Compact"/>
              <w:jc w:val="right"/>
            </w:pPr>
            <w:r>
              <w:t xml:space="preserve">29_21_3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0.7068</w:t>
            </w:r>
          </w:p>
        </w:tc>
        <w:tc>
          <w:tcPr/>
          <w:p>
            <w:pPr>
              <w:pStyle w:val="Compact"/>
              <w:jc w:val="right"/>
            </w:pPr>
            <w:r>
              <w:t xml:space="preserve">1.5935</w:t>
            </w:r>
          </w:p>
        </w:tc>
        <w:tc>
          <w:tcPr/>
          <w:p>
            <w:pPr>
              <w:pStyle w:val="Compact"/>
              <w:jc w:val="right"/>
            </w:pPr>
            <w:r>
              <w:t xml:space="preserve">1.5687</w:t>
            </w:r>
          </w:p>
        </w:tc>
        <w:tc>
          <w:tcPr/>
          <w:p>
            <w:pPr>
              <w:pStyle w:val="Compact"/>
              <w:jc w:val="right"/>
            </w:pPr>
            <w:r>
              <w:t xml:space="preserve">1.1670</w:t>
            </w:r>
          </w:p>
        </w:tc>
        <w:tc>
          <w:tcPr/>
          <w:p>
            <w:pPr>
              <w:pStyle w:val="Compact"/>
              <w:jc w:val="right"/>
            </w:pPr>
            <w:r>
              <w:t xml:space="preserve">0.8714</w:t>
            </w:r>
          </w:p>
        </w:tc>
        <w:tc>
          <w:tcPr/>
          <w:p>
            <w:pPr>
              <w:pStyle w:val="Compact"/>
              <w:jc w:val="right"/>
            </w:pPr>
            <w:r>
              <w:t xml:space="preserve">1.5935</w:t>
            </w:r>
          </w:p>
        </w:tc>
        <w:tc>
          <w:tcPr/>
          <w:p>
            <w:pPr>
              <w:pStyle w:val="Compact"/>
              <w:jc w:val="right"/>
            </w:pPr>
            <w:r>
              <w:t xml:space="preserve">0.8867</w:t>
            </w:r>
          </w:p>
        </w:tc>
        <w:tc>
          <w:tcPr/>
          <w:p>
            <w:pPr>
              <w:pStyle w:val="Compact"/>
              <w:jc w:val="right"/>
            </w:pPr>
            <w:r>
              <w:t xml:space="preserve">0</w:t>
            </w:r>
          </w:p>
        </w:tc>
        <w:tc>
          <w:tcPr/>
          <w:p>
            <w:pPr>
              <w:pStyle w:val="Compact"/>
              <w:jc w:val="right"/>
            </w:pPr>
            <w:r>
              <w:t xml:space="preserve">0.7256</w:t>
            </w:r>
          </w:p>
        </w:tc>
      </w:tr>
      <w:tr>
        <w:tc>
          <w:tcPr/>
          <w:p>
            <w:pPr>
              <w:pStyle w:val="Compact"/>
              <w:jc w:val="right"/>
            </w:pPr>
            <w:r>
              <w:t xml:space="preserve">29_21_3</w:t>
            </w:r>
          </w:p>
        </w:tc>
        <w:tc>
          <w:tcPr/>
          <w:p>
            <w:pPr>
              <w:pStyle w:val="Compact"/>
              <w:jc w:val="right"/>
            </w:pPr>
            <w:r>
              <w:t xml:space="preserve">1</w:t>
            </w:r>
          </w:p>
        </w:tc>
        <w:tc>
          <w:tcPr/>
          <w:p>
            <w:pPr>
              <w:pStyle w:val="Compact"/>
              <w:jc w:val="right"/>
            </w:pPr>
            <w:r>
              <w:t xml:space="preserve">1</w:t>
            </w:r>
          </w:p>
        </w:tc>
        <w:tc>
          <w:tcPr/>
          <w:p>
            <w:pPr>
              <w:pStyle w:val="Compact"/>
              <w:jc w:val="right"/>
            </w:pPr>
            <w:r>
              <w:t xml:space="preserve">0.1918</w:t>
            </w:r>
          </w:p>
        </w:tc>
        <w:tc>
          <w:tcPr/>
          <w:p>
            <w:pPr>
              <w:pStyle w:val="Compact"/>
              <w:jc w:val="right"/>
            </w:pPr>
            <w:r>
              <w:t xml:space="preserve">1.1707</w:t>
            </w:r>
          </w:p>
        </w:tc>
        <w:tc>
          <w:tcPr/>
          <w:p>
            <w:pPr>
              <w:pStyle w:val="Compact"/>
              <w:jc w:val="right"/>
            </w:pPr>
            <w:r>
              <w:t xml:space="preserve">1.1661</w:t>
            </w:r>
          </w:p>
        </w:tc>
        <w:tc>
          <w:tcPr/>
          <w:p>
            <w:pPr>
              <w:pStyle w:val="Compact"/>
              <w:jc w:val="right"/>
            </w:pPr>
            <w:r>
              <w:t xml:space="preserve">1.1670</w:t>
            </w:r>
          </w:p>
        </w:tc>
        <w:tc>
          <w:tcPr/>
          <w:p>
            <w:pPr>
              <w:pStyle w:val="Compact"/>
              <w:jc w:val="right"/>
            </w:pPr>
            <w:r>
              <w:t xml:space="preserve">0.0682</w:t>
            </w:r>
          </w:p>
        </w:tc>
        <w:tc>
          <w:tcPr/>
          <w:p>
            <w:pPr>
              <w:pStyle w:val="Compact"/>
              <w:jc w:val="right"/>
            </w:pPr>
            <w:r>
              <w:t xml:space="preserve">1.1707</w:t>
            </w:r>
          </w:p>
        </w:tc>
        <w:tc>
          <w:tcPr/>
          <w:p>
            <w:pPr>
              <w:pStyle w:val="Compact"/>
              <w:jc w:val="right"/>
            </w:pPr>
            <w:r>
              <w:t xml:space="preserve">0.9788</w:t>
            </w:r>
          </w:p>
        </w:tc>
        <w:tc>
          <w:tcPr/>
          <w:p>
            <w:pPr>
              <w:pStyle w:val="Compact"/>
              <w:jc w:val="right"/>
            </w:pPr>
            <w:r>
              <w:t xml:space="preserve">0</w:t>
            </w:r>
          </w:p>
        </w:tc>
        <w:tc>
          <w:tcPr/>
          <w:p>
            <w:pPr>
              <w:pStyle w:val="Compact"/>
              <w:jc w:val="right"/>
            </w:pPr>
            <w:r>
              <w:t xml:space="preserve">0.7256</w:t>
            </w:r>
          </w:p>
        </w:tc>
      </w:tr>
      <w:tr>
        <w:tc>
          <w:tcPr/>
          <w:p>
            <w:pPr>
              <w:pStyle w:val="Compact"/>
              <w:jc w:val="right"/>
            </w:pPr>
            <w:r>
              <w:t xml:space="preserve">30_36_2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0.9819</w:t>
            </w:r>
          </w:p>
        </w:tc>
        <w:tc>
          <w:tcPr/>
          <w:p>
            <w:pPr>
              <w:pStyle w:val="Compact"/>
              <w:jc w:val="right"/>
            </w:pPr>
            <w:r>
              <w:t xml:space="preserve">1.5856</w:t>
            </w:r>
          </w:p>
        </w:tc>
        <w:tc>
          <w:tcPr/>
          <w:p>
            <w:pPr>
              <w:pStyle w:val="Compact"/>
              <w:jc w:val="right"/>
            </w:pPr>
            <w:r>
              <w:t xml:space="preserve">1.5931</w:t>
            </w:r>
          </w:p>
        </w:tc>
        <w:tc>
          <w:tcPr/>
          <w:p>
            <w:pPr>
              <w:pStyle w:val="Compact"/>
              <w:jc w:val="right"/>
            </w:pPr>
            <w:r>
              <w:t xml:space="preserve">1.1670</w:t>
            </w:r>
          </w:p>
        </w:tc>
        <w:tc>
          <w:tcPr/>
          <w:p>
            <w:pPr>
              <w:pStyle w:val="Compact"/>
              <w:jc w:val="right"/>
            </w:pPr>
            <w:r>
              <w:t xml:space="preserve">1.6042</w:t>
            </w:r>
          </w:p>
        </w:tc>
        <w:tc>
          <w:tcPr/>
          <w:p>
            <w:pPr>
              <w:pStyle w:val="Compact"/>
              <w:jc w:val="right"/>
            </w:pPr>
            <w:r>
              <w:t xml:space="preserve">1.6042</w:t>
            </w:r>
          </w:p>
        </w:tc>
        <w:tc>
          <w:tcPr/>
          <w:p>
            <w:pPr>
              <w:pStyle w:val="Compact"/>
              <w:jc w:val="right"/>
            </w:pPr>
            <w:r>
              <w:t xml:space="preserve">0.0186</w:t>
            </w:r>
          </w:p>
        </w:tc>
        <w:tc>
          <w:tcPr/>
          <w:p>
            <w:pPr>
              <w:pStyle w:val="Compact"/>
              <w:jc w:val="right"/>
            </w:pPr>
            <w:r>
              <w:t xml:space="preserve">1</w:t>
            </w:r>
          </w:p>
        </w:tc>
        <w:tc>
          <w:tcPr/>
          <w:p>
            <w:pPr>
              <w:pStyle w:val="Compact"/>
              <w:jc w:val="right"/>
            </w:pPr>
            <w:r>
              <w:t xml:space="preserve">0.9751</w:t>
            </w:r>
          </w:p>
        </w:tc>
      </w:tr>
      <w:tr>
        <w:tc>
          <w:tcPr/>
          <w:p>
            <w:pPr>
              <w:pStyle w:val="Compact"/>
              <w:jc w:val="right"/>
            </w:pPr>
            <w:r>
              <w:t xml:space="preserve">30_36_2</w:t>
            </w:r>
          </w:p>
        </w:tc>
        <w:tc>
          <w:tcPr/>
          <w:p>
            <w:pPr>
              <w:pStyle w:val="Compact"/>
              <w:jc w:val="right"/>
            </w:pPr>
            <w:r>
              <w:t xml:space="preserve">1</w:t>
            </w:r>
          </w:p>
        </w:tc>
        <w:tc>
          <w:tcPr/>
          <w:p>
            <w:pPr>
              <w:pStyle w:val="Compact"/>
              <w:jc w:val="right"/>
            </w:pPr>
            <w:r>
              <w:t xml:space="preserve">4</w:t>
            </w:r>
          </w:p>
        </w:tc>
        <w:tc>
          <w:tcPr/>
          <w:p>
            <w:pPr>
              <w:pStyle w:val="Compact"/>
              <w:jc w:val="right"/>
            </w:pPr>
            <w:r>
              <w:t xml:space="preserve">0.7195</w:t>
            </w:r>
          </w:p>
        </w:tc>
        <w:tc>
          <w:tcPr/>
          <w:p>
            <w:pPr>
              <w:pStyle w:val="Compact"/>
              <w:jc w:val="right"/>
            </w:pPr>
            <w:r>
              <w:t xml:space="preserve">1.1672</w:t>
            </w:r>
          </w:p>
        </w:tc>
        <w:tc>
          <w:tcPr/>
          <w:p>
            <w:pPr>
              <w:pStyle w:val="Compact"/>
              <w:jc w:val="right"/>
            </w:pPr>
            <w:r>
              <w:t xml:space="preserve">1.1623</w:t>
            </w:r>
          </w:p>
        </w:tc>
        <w:tc>
          <w:tcPr/>
          <w:p>
            <w:pPr>
              <w:pStyle w:val="Compact"/>
              <w:jc w:val="right"/>
            </w:pPr>
            <w:r>
              <w:t xml:space="preserve">1.1670</w:t>
            </w:r>
          </w:p>
        </w:tc>
        <w:tc>
          <w:tcPr/>
          <w:p>
            <w:pPr>
              <w:pStyle w:val="Compact"/>
              <w:jc w:val="right"/>
            </w:pPr>
            <w:r>
              <w:t xml:space="preserve">1.1824</w:t>
            </w:r>
          </w:p>
        </w:tc>
        <w:tc>
          <w:tcPr/>
          <w:p>
            <w:pPr>
              <w:pStyle w:val="Compact"/>
              <w:jc w:val="right"/>
            </w:pPr>
            <w:r>
              <w:t xml:space="preserve">1.1824</w:t>
            </w:r>
          </w:p>
        </w:tc>
        <w:tc>
          <w:tcPr/>
          <w:p>
            <w:pPr>
              <w:pStyle w:val="Compact"/>
              <w:jc w:val="right"/>
            </w:pPr>
            <w:r>
              <w:t xml:space="preserve">0.0152</w:t>
            </w:r>
          </w:p>
        </w:tc>
        <w:tc>
          <w:tcPr/>
          <w:p>
            <w:pPr>
              <w:pStyle w:val="Compact"/>
              <w:jc w:val="right"/>
            </w:pPr>
            <w:r>
              <w:t xml:space="preserve">1</w:t>
            </w:r>
          </w:p>
        </w:tc>
        <w:tc>
          <w:tcPr/>
          <w:p>
            <w:pPr>
              <w:pStyle w:val="Compact"/>
              <w:jc w:val="right"/>
            </w:pPr>
            <w:r>
              <w:t xml:space="preserve">0.9751</w:t>
            </w:r>
          </w:p>
        </w:tc>
      </w:tr>
      <w:tr>
        <w:tc>
          <w:tcPr/>
          <w:p>
            <w:pPr>
              <w:pStyle w:val="Compact"/>
              <w:jc w:val="right"/>
            </w:pPr>
            <w:r>
              <w:t xml:space="preserve">33_57_2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0.6788</w:t>
            </w:r>
          </w:p>
        </w:tc>
        <w:tc>
          <w:tcPr/>
          <w:p>
            <w:pPr>
              <w:pStyle w:val="Compact"/>
              <w:jc w:val="right"/>
            </w:pPr>
            <w:r>
              <w:t xml:space="preserve">1.5971</w:t>
            </w:r>
          </w:p>
        </w:tc>
        <w:tc>
          <w:tcPr/>
          <w:p>
            <w:pPr>
              <w:pStyle w:val="Compact"/>
              <w:jc w:val="right"/>
            </w:pPr>
            <w:r>
              <w:t xml:space="preserve">1.5887</w:t>
            </w:r>
          </w:p>
        </w:tc>
        <w:tc>
          <w:tcPr/>
          <w:p>
            <w:pPr>
              <w:pStyle w:val="Compact"/>
              <w:jc w:val="right"/>
            </w:pPr>
            <w:r>
              <w:t xml:space="preserve">1.1670</w:t>
            </w:r>
          </w:p>
        </w:tc>
        <w:tc>
          <w:tcPr/>
          <w:p>
            <w:pPr>
              <w:pStyle w:val="Compact"/>
              <w:jc w:val="right"/>
            </w:pPr>
            <w:r>
              <w:t xml:space="preserve">1.3005</w:t>
            </w:r>
          </w:p>
        </w:tc>
        <w:tc>
          <w:tcPr/>
          <w:p>
            <w:pPr>
              <w:pStyle w:val="Compact"/>
              <w:jc w:val="right"/>
            </w:pPr>
            <w:r>
              <w:t xml:space="preserve">1.5971</w:t>
            </w:r>
          </w:p>
        </w:tc>
        <w:tc>
          <w:tcPr/>
          <w:p>
            <w:pPr>
              <w:pStyle w:val="Compact"/>
              <w:jc w:val="right"/>
            </w:pPr>
            <w:r>
              <w:t xml:space="preserve">0.9183</w:t>
            </w:r>
          </w:p>
        </w:tc>
        <w:tc>
          <w:tcPr/>
          <w:p>
            <w:pPr>
              <w:pStyle w:val="Compact"/>
              <w:jc w:val="right"/>
            </w:pPr>
            <w:r>
              <w:t xml:space="preserve">0</w:t>
            </w:r>
          </w:p>
        </w:tc>
        <w:tc>
          <w:tcPr/>
          <w:p>
            <w:pPr>
              <w:pStyle w:val="Compact"/>
              <w:jc w:val="right"/>
            </w:pPr>
            <w:r>
              <w:t xml:space="preserve">1.0617</w:t>
            </w:r>
          </w:p>
        </w:tc>
      </w:tr>
      <w:tr>
        <w:tc>
          <w:tcPr/>
          <w:p>
            <w:pPr>
              <w:pStyle w:val="Compact"/>
              <w:jc w:val="right"/>
            </w:pPr>
            <w:r>
              <w:t xml:space="preserve">34_27_2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1.6452</w:t>
            </w:r>
          </w:p>
        </w:tc>
        <w:tc>
          <w:tcPr/>
          <w:p>
            <w:pPr>
              <w:pStyle w:val="Compact"/>
              <w:jc w:val="right"/>
            </w:pPr>
            <w:r>
              <w:t xml:space="preserve">1.5951</w:t>
            </w:r>
          </w:p>
        </w:tc>
        <w:tc>
          <w:tcPr/>
          <w:p>
            <w:pPr>
              <w:pStyle w:val="Compact"/>
              <w:jc w:val="right"/>
            </w:pPr>
            <w:r>
              <w:t xml:space="preserve">1.5871</w:t>
            </w:r>
          </w:p>
        </w:tc>
        <w:tc>
          <w:tcPr/>
          <w:p>
            <w:pPr>
              <w:pStyle w:val="Compact"/>
              <w:jc w:val="right"/>
            </w:pPr>
            <w:r>
              <w:t xml:space="preserve">1.1670</w:t>
            </w:r>
          </w:p>
        </w:tc>
        <w:tc>
          <w:tcPr/>
          <w:p>
            <w:pPr>
              <w:pStyle w:val="Compact"/>
              <w:jc w:val="right"/>
            </w:pPr>
            <w:r>
              <w:t xml:space="preserve">1.6118</w:t>
            </w:r>
          </w:p>
        </w:tc>
        <w:tc>
          <w:tcPr/>
          <w:p>
            <w:pPr>
              <w:pStyle w:val="Compact"/>
              <w:jc w:val="right"/>
            </w:pPr>
            <w:r>
              <w:t xml:space="preserve">1.6452</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0.5126</w:t>
            </w:r>
          </w:p>
        </w:tc>
      </w:tr>
      <w:tr>
        <w:tc>
          <w:tcPr/>
          <w:p>
            <w:pPr>
              <w:pStyle w:val="Compact"/>
              <w:jc w:val="right"/>
            </w:pPr>
            <w:r>
              <w:t xml:space="preserve">34_27_2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0.9943</w:t>
            </w:r>
          </w:p>
        </w:tc>
        <w:tc>
          <w:tcPr/>
          <w:p>
            <w:pPr>
              <w:pStyle w:val="Compact"/>
              <w:jc w:val="right"/>
            </w:pPr>
            <w:r>
              <w:t xml:space="preserve">1.1750</w:t>
            </w:r>
          </w:p>
        </w:tc>
        <w:tc>
          <w:tcPr/>
          <w:p>
            <w:pPr>
              <w:pStyle w:val="Compact"/>
              <w:jc w:val="right"/>
            </w:pPr>
            <w:r>
              <w:t xml:space="preserve">1.1668</w:t>
            </w:r>
          </w:p>
        </w:tc>
        <w:tc>
          <w:tcPr/>
          <w:p>
            <w:pPr>
              <w:pStyle w:val="Compact"/>
              <w:jc w:val="right"/>
            </w:pPr>
            <w:r>
              <w:t xml:space="preserve">1.1670</w:t>
            </w:r>
          </w:p>
        </w:tc>
        <w:tc>
          <w:tcPr/>
          <w:p>
            <w:pPr>
              <w:pStyle w:val="Compact"/>
              <w:jc w:val="right"/>
            </w:pPr>
            <w:r>
              <w:t xml:space="preserve">0.8814</w:t>
            </w:r>
          </w:p>
        </w:tc>
        <w:tc>
          <w:tcPr/>
          <w:p>
            <w:pPr>
              <w:pStyle w:val="Compact"/>
              <w:jc w:val="right"/>
            </w:pPr>
            <w:r>
              <w:t xml:space="preserve">1.1750</w:t>
            </w:r>
          </w:p>
        </w:tc>
        <w:tc>
          <w:tcPr/>
          <w:p>
            <w:pPr>
              <w:pStyle w:val="Compact"/>
              <w:jc w:val="right"/>
            </w:pPr>
            <w:r>
              <w:t xml:space="preserve">0.0000</w:t>
            </w:r>
          </w:p>
        </w:tc>
        <w:tc>
          <w:tcPr/>
          <w:p>
            <w:pPr>
              <w:pStyle w:val="Compact"/>
              <w:jc w:val="right"/>
            </w:pPr>
            <w:r>
              <w:t xml:space="preserve">1</w:t>
            </w:r>
          </w:p>
        </w:tc>
        <w:tc>
          <w:tcPr/>
          <w:p>
            <w:pPr>
              <w:pStyle w:val="Compact"/>
              <w:jc w:val="right"/>
            </w:pPr>
            <w:r>
              <w:t xml:space="preserve">0.5126</w:t>
            </w:r>
          </w:p>
        </w:tc>
      </w:tr>
      <w:tr>
        <w:tc>
          <w:tcPr/>
          <w:p>
            <w:pPr>
              <w:pStyle w:val="Compact"/>
              <w:jc w:val="right"/>
            </w:pPr>
            <w:r>
              <w:t xml:space="preserve">34_31_2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1.5236</w:t>
            </w:r>
          </w:p>
        </w:tc>
        <w:tc>
          <w:tcPr/>
          <w:p>
            <w:pPr>
              <w:pStyle w:val="Compact"/>
              <w:jc w:val="right"/>
            </w:pPr>
            <w:r>
              <w:t xml:space="preserve">1.5987</w:t>
            </w:r>
          </w:p>
        </w:tc>
        <w:tc>
          <w:tcPr/>
          <w:p>
            <w:pPr>
              <w:pStyle w:val="Compact"/>
              <w:jc w:val="right"/>
            </w:pPr>
            <w:r>
              <w:t xml:space="preserve">1.5713</w:t>
            </w:r>
          </w:p>
        </w:tc>
        <w:tc>
          <w:tcPr/>
          <w:p>
            <w:pPr>
              <w:pStyle w:val="Compact"/>
              <w:jc w:val="right"/>
            </w:pPr>
            <w:r>
              <w:t xml:space="preserve">1.1670</w:t>
            </w:r>
          </w:p>
        </w:tc>
        <w:tc>
          <w:tcPr/>
          <w:p>
            <w:pPr>
              <w:pStyle w:val="Compact"/>
              <w:jc w:val="right"/>
            </w:pPr>
            <w:r>
              <w:t xml:space="preserve">1.4997</w:t>
            </w:r>
          </w:p>
        </w:tc>
        <w:tc>
          <w:tcPr/>
          <w:p>
            <w:pPr>
              <w:pStyle w:val="Compact"/>
              <w:jc w:val="right"/>
            </w:pPr>
            <w:r>
              <w:t xml:space="preserve">1.5987</w:t>
            </w:r>
          </w:p>
        </w:tc>
        <w:tc>
          <w:tcPr/>
          <w:p>
            <w:pPr>
              <w:pStyle w:val="Compact"/>
              <w:jc w:val="right"/>
            </w:pPr>
            <w:r>
              <w:t xml:space="preserve">0.0750</w:t>
            </w:r>
          </w:p>
        </w:tc>
        <w:tc>
          <w:tcPr/>
          <w:p>
            <w:pPr>
              <w:pStyle w:val="Compact"/>
              <w:jc w:val="right"/>
            </w:pPr>
            <w:r>
              <w:t xml:space="preserve">0</w:t>
            </w:r>
          </w:p>
        </w:tc>
        <w:tc>
          <w:tcPr/>
          <w:p>
            <w:pPr>
              <w:pStyle w:val="Compact"/>
              <w:jc w:val="right"/>
            </w:pPr>
            <w:r>
              <w:t xml:space="preserve">0.5126</w:t>
            </w:r>
          </w:p>
        </w:tc>
      </w:tr>
      <w:tr>
        <w:tc>
          <w:tcPr/>
          <w:p>
            <w:pPr>
              <w:pStyle w:val="Compact"/>
              <w:jc w:val="right"/>
            </w:pPr>
            <w:r>
              <w:t xml:space="preserve">34_31_2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1.0530</w:t>
            </w:r>
          </w:p>
        </w:tc>
        <w:tc>
          <w:tcPr/>
          <w:p>
            <w:pPr>
              <w:pStyle w:val="Compact"/>
              <w:jc w:val="right"/>
            </w:pPr>
            <w:r>
              <w:t xml:space="preserve">1.1677</w:t>
            </w:r>
          </w:p>
        </w:tc>
        <w:tc>
          <w:tcPr/>
          <w:p>
            <w:pPr>
              <w:pStyle w:val="Compact"/>
              <w:jc w:val="right"/>
            </w:pPr>
            <w:r>
              <w:t xml:space="preserve">1.1654</w:t>
            </w:r>
          </w:p>
        </w:tc>
        <w:tc>
          <w:tcPr/>
          <w:p>
            <w:pPr>
              <w:pStyle w:val="Compact"/>
              <w:jc w:val="right"/>
            </w:pPr>
            <w:r>
              <w:t xml:space="preserve">1.1670</w:t>
            </w:r>
          </w:p>
        </w:tc>
        <w:tc>
          <w:tcPr/>
          <w:p>
            <w:pPr>
              <w:pStyle w:val="Compact"/>
              <w:jc w:val="right"/>
            </w:pPr>
            <w:r>
              <w:t xml:space="preserve">1.1328</w:t>
            </w:r>
          </w:p>
        </w:tc>
        <w:tc>
          <w:tcPr/>
          <w:p>
            <w:pPr>
              <w:pStyle w:val="Compact"/>
              <w:jc w:val="right"/>
            </w:pPr>
            <w:r>
              <w:t xml:space="preserve">1.1677</w:t>
            </w:r>
          </w:p>
        </w:tc>
        <w:tc>
          <w:tcPr/>
          <w:p>
            <w:pPr>
              <w:pStyle w:val="Compact"/>
              <w:jc w:val="right"/>
            </w:pPr>
            <w:r>
              <w:t xml:space="preserve">0.1148</w:t>
            </w:r>
          </w:p>
        </w:tc>
        <w:tc>
          <w:tcPr/>
          <w:p>
            <w:pPr>
              <w:pStyle w:val="Compact"/>
              <w:jc w:val="right"/>
            </w:pPr>
            <w:r>
              <w:t xml:space="preserve">0</w:t>
            </w:r>
          </w:p>
        </w:tc>
        <w:tc>
          <w:tcPr/>
          <w:p>
            <w:pPr>
              <w:pStyle w:val="Compact"/>
              <w:jc w:val="right"/>
            </w:pPr>
            <w:r>
              <w:t xml:space="preserve">0.5126</w:t>
            </w:r>
          </w:p>
        </w:tc>
      </w:tr>
      <w:tr>
        <w:tc>
          <w:tcPr/>
          <w:p>
            <w:pPr>
              <w:pStyle w:val="Compact"/>
              <w:jc w:val="right"/>
            </w:pPr>
            <w:r>
              <w:t xml:space="preserve">34_42_2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1.3624</w:t>
            </w:r>
          </w:p>
        </w:tc>
        <w:tc>
          <w:tcPr/>
          <w:p>
            <w:pPr>
              <w:pStyle w:val="Compact"/>
              <w:jc w:val="right"/>
            </w:pPr>
            <w:r>
              <w:t xml:space="preserve">1.5863</w:t>
            </w:r>
          </w:p>
        </w:tc>
        <w:tc>
          <w:tcPr/>
          <w:p>
            <w:pPr>
              <w:pStyle w:val="Compact"/>
              <w:jc w:val="right"/>
            </w:pPr>
            <w:r>
              <w:t xml:space="preserve">1.5756</w:t>
            </w:r>
          </w:p>
        </w:tc>
        <w:tc>
          <w:tcPr/>
          <w:p>
            <w:pPr>
              <w:pStyle w:val="Compact"/>
              <w:jc w:val="right"/>
            </w:pPr>
            <w:r>
              <w:t xml:space="preserve">1.1670</w:t>
            </w:r>
          </w:p>
        </w:tc>
        <w:tc>
          <w:tcPr/>
          <w:p>
            <w:pPr>
              <w:pStyle w:val="Compact"/>
              <w:jc w:val="right"/>
            </w:pPr>
            <w:r>
              <w:t xml:space="preserve">1.3495</w:t>
            </w:r>
          </w:p>
        </w:tc>
        <w:tc>
          <w:tcPr/>
          <w:p>
            <w:pPr>
              <w:pStyle w:val="Compact"/>
              <w:jc w:val="right"/>
            </w:pPr>
            <w:r>
              <w:t xml:space="preserve">1.5863</w:t>
            </w:r>
          </w:p>
        </w:tc>
        <w:tc>
          <w:tcPr/>
          <w:p>
            <w:pPr>
              <w:pStyle w:val="Compact"/>
              <w:jc w:val="right"/>
            </w:pPr>
            <w:r>
              <w:t xml:space="preserve">0.0000</w:t>
            </w:r>
          </w:p>
        </w:tc>
        <w:tc>
          <w:tcPr/>
          <w:p>
            <w:pPr>
              <w:pStyle w:val="Compact"/>
              <w:jc w:val="right"/>
            </w:pPr>
            <w:r>
              <w:t xml:space="preserve">1</w:t>
            </w:r>
          </w:p>
        </w:tc>
        <w:tc>
          <w:tcPr/>
          <w:p>
            <w:pPr>
              <w:pStyle w:val="Compact"/>
              <w:jc w:val="right"/>
            </w:pPr>
            <w:r>
              <w:t xml:space="preserve">0.5126</w:t>
            </w:r>
          </w:p>
        </w:tc>
      </w:tr>
      <w:tr>
        <w:tc>
          <w:tcPr/>
          <w:p>
            <w:pPr>
              <w:pStyle w:val="Compact"/>
              <w:jc w:val="right"/>
            </w:pPr>
            <w:r>
              <w:t xml:space="preserve">34_42_2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1.0189</w:t>
            </w:r>
          </w:p>
        </w:tc>
        <w:tc>
          <w:tcPr/>
          <w:p>
            <w:pPr>
              <w:pStyle w:val="Compact"/>
              <w:jc w:val="right"/>
            </w:pPr>
            <w:r>
              <w:t xml:space="preserve">1.1663</w:t>
            </w:r>
          </w:p>
        </w:tc>
        <w:tc>
          <w:tcPr/>
          <w:p>
            <w:pPr>
              <w:pStyle w:val="Compact"/>
              <w:jc w:val="right"/>
            </w:pPr>
            <w:r>
              <w:t xml:space="preserve">1.1651</w:t>
            </w:r>
          </w:p>
        </w:tc>
        <w:tc>
          <w:tcPr/>
          <w:p>
            <w:pPr>
              <w:pStyle w:val="Compact"/>
              <w:jc w:val="right"/>
            </w:pPr>
            <w:r>
              <w:t xml:space="preserve">1.1670</w:t>
            </w:r>
          </w:p>
        </w:tc>
        <w:tc>
          <w:tcPr/>
          <w:p>
            <w:pPr>
              <w:pStyle w:val="Compact"/>
              <w:jc w:val="right"/>
            </w:pPr>
            <w:r>
              <w:t xml:space="preserve">1.0827</w:t>
            </w:r>
          </w:p>
        </w:tc>
        <w:tc>
          <w:tcPr/>
          <w:p>
            <w:pPr>
              <w:pStyle w:val="Compact"/>
              <w:jc w:val="right"/>
            </w:pPr>
            <w:r>
              <w:t xml:space="preserve">1.1670</w:t>
            </w:r>
          </w:p>
        </w:tc>
        <w:tc>
          <w:tcPr/>
          <w:p>
            <w:pPr>
              <w:pStyle w:val="Compact"/>
              <w:jc w:val="right"/>
            </w:pPr>
            <w:r>
              <w:t xml:space="preserve">0.1481</w:t>
            </w:r>
          </w:p>
        </w:tc>
        <w:tc>
          <w:tcPr/>
          <w:p>
            <w:pPr>
              <w:pStyle w:val="Compact"/>
              <w:jc w:val="right"/>
            </w:pPr>
            <w:r>
              <w:t xml:space="preserve">0</w:t>
            </w:r>
          </w:p>
        </w:tc>
        <w:tc>
          <w:tcPr/>
          <w:p>
            <w:pPr>
              <w:pStyle w:val="Compact"/>
              <w:jc w:val="right"/>
            </w:pPr>
            <w:r>
              <w:t xml:space="preserve">0.5126</w:t>
            </w:r>
          </w:p>
        </w:tc>
      </w:tr>
      <w:tr>
        <w:tc>
          <w:tcPr/>
          <w:p>
            <w:pPr>
              <w:pStyle w:val="Compact"/>
              <w:jc w:val="right"/>
            </w:pPr>
            <w:r>
              <w:t xml:space="preserve">34_45_2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1.5030</w:t>
            </w:r>
          </w:p>
        </w:tc>
        <w:tc>
          <w:tcPr/>
          <w:p>
            <w:pPr>
              <w:pStyle w:val="Compact"/>
              <w:jc w:val="right"/>
            </w:pPr>
            <w:r>
              <w:t xml:space="preserve">1.5863</w:t>
            </w:r>
          </w:p>
        </w:tc>
        <w:tc>
          <w:tcPr/>
          <w:p>
            <w:pPr>
              <w:pStyle w:val="Compact"/>
              <w:jc w:val="right"/>
            </w:pPr>
            <w:r>
              <w:t xml:space="preserve">1.5843</w:t>
            </w:r>
          </w:p>
        </w:tc>
        <w:tc>
          <w:tcPr/>
          <w:p>
            <w:pPr>
              <w:pStyle w:val="Compact"/>
              <w:jc w:val="right"/>
            </w:pPr>
            <w:r>
              <w:t xml:space="preserve">1.1670</w:t>
            </w:r>
          </w:p>
        </w:tc>
        <w:tc>
          <w:tcPr/>
          <w:p>
            <w:pPr>
              <w:pStyle w:val="Compact"/>
              <w:jc w:val="right"/>
            </w:pPr>
            <w:r>
              <w:t xml:space="preserve">1.5985</w:t>
            </w:r>
          </w:p>
        </w:tc>
        <w:tc>
          <w:tcPr/>
          <w:p>
            <w:pPr>
              <w:pStyle w:val="Compact"/>
              <w:jc w:val="right"/>
            </w:pPr>
            <w:r>
              <w:t xml:space="preserve">1.5985</w:t>
            </w:r>
          </w:p>
        </w:tc>
        <w:tc>
          <w:tcPr/>
          <w:p>
            <w:pPr>
              <w:pStyle w:val="Compact"/>
              <w:jc w:val="right"/>
            </w:pPr>
            <w:r>
              <w:t xml:space="preserve">0.0122</w:t>
            </w:r>
          </w:p>
        </w:tc>
        <w:tc>
          <w:tcPr/>
          <w:p>
            <w:pPr>
              <w:pStyle w:val="Compact"/>
              <w:jc w:val="right"/>
            </w:pPr>
            <w:r>
              <w:t xml:space="preserve">1</w:t>
            </w:r>
          </w:p>
        </w:tc>
        <w:tc>
          <w:tcPr/>
          <w:p>
            <w:pPr>
              <w:pStyle w:val="Compact"/>
              <w:jc w:val="right"/>
            </w:pPr>
            <w:r>
              <w:t xml:space="preserve">0.5126</w:t>
            </w:r>
          </w:p>
        </w:tc>
      </w:tr>
      <w:tr>
        <w:tc>
          <w:tcPr/>
          <w:p>
            <w:pPr>
              <w:pStyle w:val="Compact"/>
              <w:jc w:val="right"/>
            </w:pPr>
            <w:r>
              <w:t xml:space="preserve">34_45_2</w:t>
            </w:r>
          </w:p>
        </w:tc>
        <w:tc>
          <w:tcPr/>
          <w:p>
            <w:pPr>
              <w:pStyle w:val="Compact"/>
              <w:jc w:val="right"/>
            </w:pPr>
            <w:r>
              <w:t xml:space="preserve">1</w:t>
            </w:r>
          </w:p>
        </w:tc>
        <w:tc>
          <w:tcPr/>
          <w:p>
            <w:pPr>
              <w:pStyle w:val="Compact"/>
              <w:jc w:val="right"/>
            </w:pPr>
            <w:r>
              <w:t xml:space="preserve">4</w:t>
            </w:r>
          </w:p>
        </w:tc>
        <w:tc>
          <w:tcPr/>
          <w:p>
            <w:pPr>
              <w:pStyle w:val="Compact"/>
              <w:jc w:val="right"/>
            </w:pPr>
            <w:r>
              <w:t xml:space="preserve">1.0237</w:t>
            </w:r>
          </w:p>
        </w:tc>
        <w:tc>
          <w:tcPr/>
          <w:p>
            <w:pPr>
              <w:pStyle w:val="Compact"/>
              <w:jc w:val="right"/>
            </w:pPr>
            <w:r>
              <w:t xml:space="preserve">1.1670</w:t>
            </w:r>
          </w:p>
        </w:tc>
        <w:tc>
          <w:tcPr/>
          <w:p>
            <w:pPr>
              <w:pStyle w:val="Compact"/>
              <w:jc w:val="right"/>
            </w:pPr>
            <w:r>
              <w:t xml:space="preserve">1.1655</w:t>
            </w:r>
          </w:p>
        </w:tc>
        <w:tc>
          <w:tcPr/>
          <w:p>
            <w:pPr>
              <w:pStyle w:val="Compact"/>
              <w:jc w:val="right"/>
            </w:pPr>
            <w:r>
              <w:t xml:space="preserve">1.1670</w:t>
            </w:r>
          </w:p>
        </w:tc>
        <w:tc>
          <w:tcPr/>
          <w:p>
            <w:pPr>
              <w:pStyle w:val="Compact"/>
              <w:jc w:val="right"/>
            </w:pPr>
            <w:r>
              <w:t xml:space="preserve">1.1731</w:t>
            </w:r>
          </w:p>
        </w:tc>
        <w:tc>
          <w:tcPr/>
          <w:p>
            <w:pPr>
              <w:pStyle w:val="Compact"/>
              <w:jc w:val="right"/>
            </w:pPr>
            <w:r>
              <w:t xml:space="preserve">1.1731</w:t>
            </w:r>
          </w:p>
        </w:tc>
        <w:tc>
          <w:tcPr/>
          <w:p>
            <w:pPr>
              <w:pStyle w:val="Compact"/>
              <w:jc w:val="right"/>
            </w:pPr>
            <w:r>
              <w:t xml:space="preserve">0.1494</w:t>
            </w:r>
          </w:p>
        </w:tc>
        <w:tc>
          <w:tcPr/>
          <w:p>
            <w:pPr>
              <w:pStyle w:val="Compact"/>
              <w:jc w:val="right"/>
            </w:pPr>
            <w:r>
              <w:t xml:space="preserve">0</w:t>
            </w:r>
          </w:p>
        </w:tc>
        <w:tc>
          <w:tcPr/>
          <w:p>
            <w:pPr>
              <w:pStyle w:val="Compact"/>
              <w:jc w:val="right"/>
            </w:pPr>
            <w:r>
              <w:t xml:space="preserve">0.5126</w:t>
            </w:r>
          </w:p>
        </w:tc>
      </w:tr>
      <w:tr>
        <w:tc>
          <w:tcPr/>
          <w:p>
            <w:pPr>
              <w:pStyle w:val="Compact"/>
              <w:jc w:val="right"/>
            </w:pPr>
            <w:r>
              <w:t xml:space="preserve">34_52_2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1.3910</w:t>
            </w:r>
          </w:p>
        </w:tc>
        <w:tc>
          <w:tcPr/>
          <w:p>
            <w:pPr>
              <w:pStyle w:val="Compact"/>
              <w:jc w:val="right"/>
            </w:pPr>
            <w:r>
              <w:t xml:space="preserve">1.5954</w:t>
            </w:r>
          </w:p>
        </w:tc>
        <w:tc>
          <w:tcPr/>
          <w:p>
            <w:pPr>
              <w:pStyle w:val="Compact"/>
              <w:jc w:val="right"/>
            </w:pPr>
            <w:r>
              <w:t xml:space="preserve">1.5716</w:t>
            </w:r>
          </w:p>
        </w:tc>
        <w:tc>
          <w:tcPr/>
          <w:p>
            <w:pPr>
              <w:pStyle w:val="Compact"/>
              <w:jc w:val="right"/>
            </w:pPr>
            <w:r>
              <w:t xml:space="preserve">1.1670</w:t>
            </w:r>
          </w:p>
        </w:tc>
        <w:tc>
          <w:tcPr/>
          <w:p>
            <w:pPr>
              <w:pStyle w:val="Compact"/>
              <w:jc w:val="right"/>
            </w:pPr>
            <w:r>
              <w:t xml:space="preserve">1.4387</w:t>
            </w:r>
          </w:p>
        </w:tc>
        <w:tc>
          <w:tcPr/>
          <w:p>
            <w:pPr>
              <w:pStyle w:val="Compact"/>
              <w:jc w:val="right"/>
            </w:pPr>
            <w:r>
              <w:t xml:space="preserve">1.5954</w:t>
            </w:r>
          </w:p>
        </w:tc>
        <w:tc>
          <w:tcPr/>
          <w:p>
            <w:pPr>
              <w:pStyle w:val="Compact"/>
              <w:jc w:val="right"/>
            </w:pPr>
            <w:r>
              <w:t xml:space="preserve">0.0000</w:t>
            </w:r>
          </w:p>
        </w:tc>
        <w:tc>
          <w:tcPr/>
          <w:p>
            <w:pPr>
              <w:pStyle w:val="Compact"/>
              <w:jc w:val="right"/>
            </w:pPr>
            <w:r>
              <w:t xml:space="preserve">1</w:t>
            </w:r>
          </w:p>
        </w:tc>
        <w:tc>
          <w:tcPr/>
          <w:p>
            <w:pPr>
              <w:pStyle w:val="Compact"/>
              <w:jc w:val="right"/>
            </w:pPr>
            <w:r>
              <w:t xml:space="preserve">0.5126</w:t>
            </w:r>
          </w:p>
        </w:tc>
      </w:tr>
    </w:tbl>
    <w:p>
      <w:pPr>
        <w:pStyle w:val="BodyText"/>
      </w:pPr>
      <w:r>
        <w:rPr>
          <w:i/>
          <w:iCs/>
        </w:rPr>
        <w:t xml:space="preserve">Full policy lookup available in the supplementary dataset at https://github.com/olatechie/dropout.</w:t>
      </w:r>
    </w:p>
    <w:p>
      <w:pPr>
        <w:pStyle w:val="BodyText"/>
      </w:pPr>
      <w:r>
        <w:t xml:space="preserve">Column definitions:</w:t>
      </w:r>
      <w:r>
        <w:t xml:space="preserve"> </w:t>
      </w:r>
      <w:r>
        <w:rPr>
          <w:rStyle w:val="VerbatimChar"/>
        </w:rPr>
        <w:t xml:space="preserve">child_id</w:t>
      </w:r>
      <w:r>
        <w:t xml:space="preserve"> </w:t>
      </w:r>
      <w:r>
        <w:t xml:space="preserve">= anonymised cluster–household–child identifier;</w:t>
      </w:r>
      <w:r>
        <w:t xml:space="preserve"> </w:t>
      </w:r>
      <w:r>
        <w:rPr>
          <w:rStyle w:val="VerbatimChar"/>
        </w:rPr>
        <w:t xml:space="preserve">dose_step</w:t>
      </w:r>
      <w:r>
        <w:t xml:space="preserve"> </w:t>
      </w:r>
      <w:r>
        <w:t xml:space="preserve">= 0 (T1: DTP1→DTP2), 1 (T2: DTP2→DTP3);</w:t>
      </w:r>
      <w:r>
        <w:t xml:space="preserve"> </w:t>
      </w:r>
      <w:r>
        <w:rPr>
          <w:rStyle w:val="VerbatimChar"/>
        </w:rPr>
        <w:t xml:space="preserve">optimal_action</w:t>
      </w:r>
      <w:r>
        <w:t xml:space="preserve"> </w:t>
      </w:r>
      <w:r>
        <w:t xml:space="preserve">= CQL-recommended action (0=none, 1=SMS, 2=CHW, 3=facility recall, 4=conditional incentive);</w:t>
      </w:r>
      <w:r>
        <w:t xml:space="preserve"> </w:t>
      </w:r>
      <w:r>
        <w:rPr>
          <w:rStyle w:val="VerbatimChar"/>
        </w:rPr>
        <w:t xml:space="preserve">q_a0</w:t>
      </w:r>
      <w:r>
        <w:t xml:space="preserve">–</w:t>
      </w:r>
      <w:r>
        <w:rPr>
          <w:rStyle w:val="VerbatimChar"/>
        </w:rPr>
        <w:t xml:space="preserve">q_a4</w:t>
      </w:r>
      <w:r>
        <w:t xml:space="preserve"> </w:t>
      </w:r>
      <w:r>
        <w:t xml:space="preserve">= Q-values for each action;</w:t>
      </w:r>
      <w:r>
        <w:t xml:space="preserve"> </w:t>
      </w:r>
      <w:r>
        <w:rPr>
          <w:rStyle w:val="VerbatimChar"/>
        </w:rPr>
        <w:t xml:space="preserve">q_max</w:t>
      </w:r>
      <w:r>
        <w:t xml:space="preserve"> </w:t>
      </w:r>
      <w:r>
        <w:t xml:space="preserve">= maximum Q-value;</w:t>
      </w:r>
      <w:r>
        <w:t xml:space="preserve"> </w:t>
      </w:r>
      <w:r>
        <w:rPr>
          <w:rStyle w:val="VerbatimChar"/>
        </w:rPr>
        <w:t xml:space="preserve">q_advantage</w:t>
      </w:r>
      <w:r>
        <w:t xml:space="preserve"> </w:t>
      </w:r>
      <w:r>
        <w:t xml:space="preserve">= q_max − min(q_a0,…,q_a4);</w:t>
      </w:r>
      <w:r>
        <w:t xml:space="preserve"> </w:t>
      </w:r>
      <w:r>
        <w:rPr>
          <w:rStyle w:val="VerbatimChar"/>
        </w:rPr>
        <w:t xml:space="preserve">behaviour_action</w:t>
      </w:r>
      <w:r>
        <w:t xml:space="preserve"> </w:t>
      </w:r>
      <w:r>
        <w:t xml:space="preserve">= inferred behaviour-policy action per §S1.4;</w:t>
      </w:r>
      <w:r>
        <w:t xml:space="preserve"> </w:t>
      </w:r>
      <w:r>
        <w:rPr>
          <w:rStyle w:val="VerbatimChar"/>
        </w:rPr>
        <w:t xml:space="preserve">weight</w:t>
      </w:r>
      <w:r>
        <w:t xml:space="preserve"> </w:t>
      </w:r>
      <w:r>
        <w:t xml:space="preserve">= survey sample weight (v005/1,000,000).</w:t>
      </w:r>
    </w:p>
    <w:p>
      <w:r>
        <w:pict>
          <v:rect style="width:0;height:1.5pt" o:hralign="center" o:hrstd="t" o:hr="t"/>
        </w:pict>
      </w:r>
    </w:p>
    <w:bookmarkEnd w:id="29"/>
    <w:bookmarkEnd w:id="30"/>
    <w:bookmarkStart w:id="89" w:name="s3.2-supplementary-figures"/>
    <w:p>
      <w:pPr>
        <w:pStyle w:val="Heading2"/>
      </w:pPr>
      <w:r>
        <w:t xml:space="preserve">S3.2 Supplementary Figures</w:t>
      </w:r>
    </w:p>
    <w:bookmarkStart w:id="34" w:name="fig:s1"/>
    <w:p>
      <w:pPr>
        <w:pStyle w:val="CaptionedFigure"/>
      </w:pPr>
      <w:r>
        <w:drawing>
          <wp:inline>
            <wp:extent cx="5943600" cy="5946109"/>
            <wp:effectExtent b="0" l="0" r="0" t="0"/>
            <wp:docPr descr="Figure S1. Calibration curve for model T1 (pre-recalibration). Isotonic regression applied to out-of-fold predictions from 5-fold cluster-robust cross-validation. The diagonal dashed line represents perfect calibration. Calibration slope = 0.874 pre-recalibration." title="" id="32" name="Picture"/>
            <a:graphic>
              <a:graphicData uri="http://schemas.openxmlformats.org/drawingml/2006/picture">
                <pic:pic>
                  <pic:nvPicPr>
                    <pic:cNvPr descr="figures/supplement/sfig_calibration_t1_pre.png" id="33" name="Picture"/>
                    <pic:cNvPicPr>
                      <a:picLocks noChangeArrowheads="1" noChangeAspect="1"/>
                    </pic:cNvPicPr>
                  </pic:nvPicPr>
                  <pic:blipFill>
                    <a:blip r:embed="rId31"/>
                    <a:stretch>
                      <a:fillRect/>
                    </a:stretch>
                  </pic:blipFill>
                  <pic:spPr bwMode="auto">
                    <a:xfrm>
                      <a:off x="0" y="0"/>
                      <a:ext cx="5943600" cy="5946109"/>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Calibration curve for model T1 (pre-recalibration). Isotonic regression applied to out-of-fold predictions from 5-fold cluster-robust cross-validation. The diagonal dashed line represents perfect calibration. Calibration slope = 0.874 pre-recalibration.</w:t>
      </w:r>
    </w:p>
    <w:bookmarkEnd w:id="34"/>
    <w:bookmarkStart w:id="38" w:name="fig:s2"/>
    <w:p>
      <w:pPr>
        <w:pStyle w:val="CaptionedFigure"/>
      </w:pPr>
      <w:r>
        <w:drawing>
          <wp:inline>
            <wp:extent cx="5943600" cy="4338828"/>
            <wp:effectExtent b="0" l="0" r="0" t="0"/>
            <wp:docPr descr="Figure S2. Calibration curve for model T1 after isotonic recalibration. Calibration slope improved from 0.874 to 0.959; Brier score reduced from 0.036 to 0.032. Recalibrator artefact saved to outputs/stage1/isotonic_calibrator_t1.pkl." title="" id="36" name="Picture"/>
            <a:graphic>
              <a:graphicData uri="http://schemas.openxmlformats.org/drawingml/2006/picture">
                <pic:pic>
                  <pic:nvPicPr>
                    <pic:cNvPr descr="figures/supplement/sfig_calibration_t1_post.png" id="37" name="Picture"/>
                    <pic:cNvPicPr>
                      <a:picLocks noChangeArrowheads="1" noChangeAspect="1"/>
                    </pic:cNvPicPr>
                  </pic:nvPicPr>
                  <pic:blipFill>
                    <a:blip r:embed="rId35"/>
                    <a:stretch>
                      <a:fillRect/>
                    </a:stretch>
                  </pic:blipFill>
                  <pic:spPr bwMode="auto">
                    <a:xfrm>
                      <a:off x="0" y="0"/>
                      <a:ext cx="5943600" cy="4338828"/>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Calibration curve for model T1 after isotonic recalibration. Calibration slope improved from 0.874 to 0.959; Brier score reduced from 0.036 to 0.032. Recalibrator artefact saved to outputs/stage1/isotonic_calibrator_t1.pkl.</w:t>
      </w:r>
    </w:p>
    <w:bookmarkEnd w:id="38"/>
    <w:bookmarkStart w:id="42" w:name="fig:s3"/>
    <w:p>
      <w:pPr>
        <w:pStyle w:val="CaptionedFigure"/>
      </w:pPr>
      <w:r>
        <w:drawing>
          <wp:inline>
            <wp:extent cx="5943600" cy="5946109"/>
            <wp:effectExtent b="0" l="0" r="0" t="0"/>
            <wp:docPr descr="Figure S3. Calibration curve for model T2 (pre-recalibration). Calibration slope = 1.596 pre-recalibration, indicating systematic over-confidence in high-risk predictions." title="" id="40" name="Picture"/>
            <a:graphic>
              <a:graphicData uri="http://schemas.openxmlformats.org/drawingml/2006/picture">
                <pic:pic>
                  <pic:nvPicPr>
                    <pic:cNvPr descr="figures/supplement/sfig_calibration_t2_pre.png" id="41" name="Picture"/>
                    <pic:cNvPicPr>
                      <a:picLocks noChangeArrowheads="1" noChangeAspect="1"/>
                    </pic:cNvPicPr>
                  </pic:nvPicPr>
                  <pic:blipFill>
                    <a:blip r:embed="rId39"/>
                    <a:stretch>
                      <a:fillRect/>
                    </a:stretch>
                  </pic:blipFill>
                  <pic:spPr bwMode="auto">
                    <a:xfrm>
                      <a:off x="0" y="0"/>
                      <a:ext cx="5943600" cy="5946109"/>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Calibration curve for model T2 (pre-recalibration). Calibration slope = 1.596 pre-recalibration, indicating systematic over-confidence in high-risk predictions.</w:t>
      </w:r>
    </w:p>
    <w:bookmarkEnd w:id="42"/>
    <w:bookmarkStart w:id="46" w:name="fig:s4"/>
    <w:p>
      <w:pPr>
        <w:pStyle w:val="CaptionedFigure"/>
      </w:pPr>
      <w:r>
        <w:drawing>
          <wp:inline>
            <wp:extent cx="5943600" cy="4338828"/>
            <wp:effectExtent b="0" l="0" r="0" t="0"/>
            <wp:docPr descr="Figure S4. Calibration curve for model T2 after isotonic recalibration. Calibration slope improved from 1.596 to 0.969; Brier score reduced from 0.027 to 0.026. Recalibrated risk scores from T1 and T2 models were passed as state features to the offline RL stage." title="" id="44" name="Picture"/>
            <a:graphic>
              <a:graphicData uri="http://schemas.openxmlformats.org/drawingml/2006/picture">
                <pic:pic>
                  <pic:nvPicPr>
                    <pic:cNvPr descr="figures/supplement/sfig_calibration_t2_post.png" id="45" name="Picture"/>
                    <pic:cNvPicPr>
                      <a:picLocks noChangeArrowheads="1" noChangeAspect="1"/>
                    </pic:cNvPicPr>
                  </pic:nvPicPr>
                  <pic:blipFill>
                    <a:blip r:embed="rId43"/>
                    <a:stretch>
                      <a:fillRect/>
                    </a:stretch>
                  </pic:blipFill>
                  <pic:spPr bwMode="auto">
                    <a:xfrm>
                      <a:off x="0" y="0"/>
                      <a:ext cx="5943600" cy="4338828"/>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Calibration curve for model T2 after isotonic recalibration. Calibration slope improved from 1.596 to 0.969; Brier score reduced from 0.027 to 0.026. Recalibrated risk scores from T1 and T2 models were passed as state features to the offline RL stage.</w:t>
      </w:r>
    </w:p>
    <w:bookmarkEnd w:id="46"/>
    <w:bookmarkStart w:id="50" w:name="fig:s5"/>
    <w:p>
      <w:pPr>
        <w:pStyle w:val="CaptionedFigure"/>
      </w:pPr>
      <w:r>
        <w:drawing>
          <wp:inline>
            <wp:extent cx="5943600" cy="7114156"/>
            <wp:effectExtent b="0" l="0" r="0" t="0"/>
            <wp:docPr descr="Figure S5. SHAP beeswarm plot for model T1 (DTP1→DTP2 dropout). Each point represents one child; horizontal position shows SHAP value (impact on dropout probability); colour encodes feature value (red=high, blue=low). Features ordered by mean absolute SHAP contribution." title="" id="48" name="Picture"/>
            <a:graphic>
              <a:graphicData uri="http://schemas.openxmlformats.org/drawingml/2006/picture">
                <pic:pic>
                  <pic:nvPicPr>
                    <pic:cNvPr descr="figures/supplement/sfig_shap_beeswarm_t1.png" id="49" name="Picture"/>
                    <pic:cNvPicPr>
                      <a:picLocks noChangeArrowheads="1" noChangeAspect="1"/>
                    </pic:cNvPicPr>
                  </pic:nvPicPr>
                  <pic:blipFill>
                    <a:blip r:embed="rId47"/>
                    <a:stretch>
                      <a:fillRect/>
                    </a:stretch>
                  </pic:blipFill>
                  <pic:spPr bwMode="auto">
                    <a:xfrm>
                      <a:off x="0" y="0"/>
                      <a:ext cx="5943600" cy="7114156"/>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SHAP beeswarm plot for model T1 (DTP1→DTP2 dropout). Each point represents one child; horizontal position shows SHAP value (impact on dropout probability); colour encodes feature value (red=high, blue=low). Features ordered by mean absolute SHAP contribution.</w:t>
      </w:r>
    </w:p>
    <w:bookmarkEnd w:id="50"/>
    <w:bookmarkStart w:id="54" w:name="fig:s6"/>
    <w:p>
      <w:pPr>
        <w:pStyle w:val="CaptionedFigure"/>
      </w:pPr>
      <w:r>
        <w:drawing>
          <wp:inline>
            <wp:extent cx="5943600" cy="7114156"/>
            <wp:effectExtent b="0" l="0" r="0" t="0"/>
            <wp:docPr descr="Figure S6. SHAP beeswarm plot for model T2 (DTP2→DTP3 dropout). Features ordered by mean absolute SHAP contribution. Enabling factors (wealth, travel time) show the largest contributions at the T2 transition." title="" id="52" name="Picture"/>
            <a:graphic>
              <a:graphicData uri="http://schemas.openxmlformats.org/drawingml/2006/picture">
                <pic:pic>
                  <pic:nvPicPr>
                    <pic:cNvPr descr="figures/supplement/sfig_shap_beeswarm_t2.png" id="53" name="Picture"/>
                    <pic:cNvPicPr>
                      <a:picLocks noChangeArrowheads="1" noChangeAspect="1"/>
                    </pic:cNvPicPr>
                  </pic:nvPicPr>
                  <pic:blipFill>
                    <a:blip r:embed="rId51"/>
                    <a:stretch>
                      <a:fillRect/>
                    </a:stretch>
                  </pic:blipFill>
                  <pic:spPr bwMode="auto">
                    <a:xfrm>
                      <a:off x="0" y="0"/>
                      <a:ext cx="5943600" cy="7114156"/>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SHAP beeswarm plot for model T2 (DTP2→DTP3 dropout). Features ordered by mean absolute SHAP contribution. Enabling factors (wealth, travel time) show the largest contributions at the T2 transition.</w:t>
      </w:r>
    </w:p>
    <w:bookmarkEnd w:id="54"/>
    <w:bookmarkStart w:id="58" w:name="fig:s7"/>
    <w:p>
      <w:pPr>
        <w:pStyle w:val="CaptionedFigure"/>
      </w:pPr>
      <w:r>
        <w:drawing>
          <wp:inline>
            <wp:extent cx="5943600" cy="3714749"/>
            <wp:effectExtent b="0" l="0" r="0" t="0"/>
            <wp:docPr descr="Figure S7. FQI convergence: policy value (WIS-estimated) versus iteration number. Convergence criterion ΔQ &lt; 0.01 was met at iteration 100 (of 200 maximum). Shaded band shows ±1 SD across 5 evaluation seeds." title="" id="56" name="Picture"/>
            <a:graphic>
              <a:graphicData uri="http://schemas.openxmlformats.org/drawingml/2006/picture">
                <pic:pic>
                  <pic:nvPicPr>
                    <pic:cNvPr descr="figures/supplement/sfig_fqi_convergence.png" id="57" name="Picture"/>
                    <pic:cNvPicPr>
                      <a:picLocks noChangeArrowheads="1" noChangeAspect="1"/>
                    </pic:cNvPicPr>
                  </pic:nvPicPr>
                  <pic:blipFill>
                    <a:blip r:embed="rId55"/>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FQI convergence: policy value (WIS-estimated) versus iteration number. Convergence criterion ΔQ &lt; 0.01 was met at iteration 100 (of 200 maximum). Shaded band shows ±1 SD across 5 evaluation seeds.</w:t>
      </w:r>
    </w:p>
    <w:bookmarkEnd w:id="58"/>
    <w:bookmarkStart w:id="62" w:name="fig:s8"/>
    <w:p>
      <w:pPr>
        <w:pStyle w:val="CaptionedFigure"/>
      </w:pPr>
      <w:r>
        <w:drawing>
          <wp:inline>
            <wp:extent cx="5943600" cy="1651000"/>
            <wp:effectExtent b="0" l="0" r="0" t="0"/>
            <wp:docPr descr="Figure S8. CQL α sensitivity analysis: WIS-estimated policy value (left axis) and action diversity (Shannon entropy over recommended actions, right axis) across α values {0.1, 0.5, 1.0, 2.0, 5.0}. Base case α = 1.0 selected as the point where policy value plateaus and action diversity remains non-degenerate." title="" id="60" name="Picture"/>
            <a:graphic>
              <a:graphicData uri="http://schemas.openxmlformats.org/drawingml/2006/picture">
                <pic:pic>
                  <pic:nvPicPr>
                    <pic:cNvPr descr="figures/supplement/sfig_cql_alpha_sensitivity.png" id="61" name="Picture"/>
                    <pic:cNvPicPr>
                      <a:picLocks noChangeArrowheads="1" noChangeAspect="1"/>
                    </pic:cNvPicPr>
                  </pic:nvPicPr>
                  <pic:blipFill>
                    <a:blip r:embed="rId59"/>
                    <a:stretch>
                      <a:fillRect/>
                    </a:stretch>
                  </pic:blipFill>
                  <pic:spPr bwMode="auto">
                    <a:xfrm>
                      <a:off x="0" y="0"/>
                      <a:ext cx="5943600" cy="1651000"/>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CQL α sensitivity analysis: WIS-estimated policy value (left axis) and action diversity (Shannon entropy over recommended actions, right axis) across α values {0.1, 0.5, 1.0, 2.0, 5.0}. Base case α = 1.0 selected as the point where policy value plateaus and action diversity remains non-degenerate.</w:t>
      </w:r>
    </w:p>
    <w:bookmarkEnd w:id="62"/>
    <w:bookmarkStart w:id="66" w:name="fig:s9"/>
    <w:p>
      <w:pPr>
        <w:pStyle w:val="CaptionedFigure"/>
      </w:pPr>
      <w:r>
        <w:drawing>
          <wp:inline>
            <wp:extent cx="5943600" cy="2122714"/>
            <wp:effectExtent b="0" l="0" r="0" t="0"/>
            <wp:docPr descr="Figure S9. Off-policy evaluation comparison across IS, WIS, and DR estimators on 1,569 held-out episodes. Agreement across estimators provides evidence for OPE reliability. Error bars show 95% bootstrap confidence intervals." title="" id="64" name="Picture"/>
            <a:graphic>
              <a:graphicData uri="http://schemas.openxmlformats.org/drawingml/2006/picture">
                <pic:pic>
                  <pic:nvPicPr>
                    <pic:cNvPr descr="figures/supplement/sfig_ope_comparison.png" id="65" name="Picture"/>
                    <pic:cNvPicPr>
                      <a:picLocks noChangeArrowheads="1" noChangeAspect="1"/>
                    </pic:cNvPicPr>
                  </pic:nvPicPr>
                  <pic:blipFill>
                    <a:blip r:embed="rId63"/>
                    <a:stretch>
                      <a:fillRect/>
                    </a:stretch>
                  </pic:blipFill>
                  <pic:spPr bwMode="auto">
                    <a:xfrm>
                      <a:off x="0" y="0"/>
                      <a:ext cx="5943600" cy="2122714"/>
                    </a:xfrm>
                    <a:prstGeom prst="rect">
                      <a:avLst/>
                    </a:prstGeom>
                    <a:noFill/>
                    <a:ln w="9525">
                      <a:noFill/>
                      <a:headEnd/>
                      <a:tailEnd/>
                    </a:ln>
                  </pic:spPr>
                </pic:pic>
              </a:graphicData>
            </a:graphic>
          </wp:inline>
        </w:drawing>
      </w:r>
    </w:p>
    <w:p>
      <w:pPr>
        <w:pStyle w:val="ImageCaption"/>
      </w:pPr>
      <w:r>
        <w:rPr>
          <w:b/>
          <w:bCs/>
        </w:rPr>
        <w:t xml:space="preserve">Figure S9.</w:t>
      </w:r>
      <w:r>
        <w:t xml:space="preserve"> </w:t>
      </w:r>
      <w:r>
        <w:t xml:space="preserve">Off-policy evaluation comparison across IS, WIS, and DR estimators on 1,569 held-out episodes. Agreement across estimators provides evidence for OPE reliability. Error bars show 95% bootstrap confidence intervals.</w:t>
      </w:r>
    </w:p>
    <w:bookmarkEnd w:id="66"/>
    <w:bookmarkStart w:id="70" w:name="fig:s10"/>
    <w:p>
      <w:pPr>
        <w:pStyle w:val="CaptionedFigure"/>
      </w:pPr>
      <w:r>
        <w:drawing>
          <wp:inline>
            <wp:extent cx="5943600" cy="4956329"/>
            <wp:effectExtent b="0" l="0" r="0" t="0"/>
            <wp:docPr descr="Figure S10. Local Moran’s I cluster map of DTP1→DTP3 dropout across Nigerian LGAs. High-High clusters (red) indicate spatial concentrations of elevated dropout risk; Low-Low clusters (blue) indicate low-risk spatial clusters. Statistical significance at p &lt; 0.05 after 999-permutation conditional randomisation." title="" id="68" name="Picture"/>
            <a:graphic>
              <a:graphicData uri="http://schemas.openxmlformats.org/drawingml/2006/picture">
                <pic:pic>
                  <pic:nvPicPr>
                    <pic:cNvPr descr="figures/supplement/sfig_local_moran.png" id="69" name="Picture"/>
                    <pic:cNvPicPr>
                      <a:picLocks noChangeArrowheads="1" noChangeAspect="1"/>
                    </pic:cNvPicPr>
                  </pic:nvPicPr>
                  <pic:blipFill>
                    <a:blip r:embed="rId67"/>
                    <a:stretch>
                      <a:fillRect/>
                    </a:stretch>
                  </pic:blipFill>
                  <pic:spPr bwMode="auto">
                    <a:xfrm>
                      <a:off x="0" y="0"/>
                      <a:ext cx="5943600" cy="4956329"/>
                    </a:xfrm>
                    <a:prstGeom prst="rect">
                      <a:avLst/>
                    </a:prstGeom>
                    <a:noFill/>
                    <a:ln w="9525">
                      <a:noFill/>
                      <a:headEnd/>
                      <a:tailEnd/>
                    </a:ln>
                  </pic:spPr>
                </pic:pic>
              </a:graphicData>
            </a:graphic>
          </wp:inline>
        </w:drawing>
      </w:r>
    </w:p>
    <w:p>
      <w:pPr>
        <w:pStyle w:val="ImageCaption"/>
      </w:pPr>
      <w:r>
        <w:rPr>
          <w:b/>
          <w:bCs/>
        </w:rPr>
        <w:t xml:space="preserve">Figure S10.</w:t>
      </w:r>
      <w:r>
        <w:t xml:space="preserve"> </w:t>
      </w:r>
      <w:r>
        <w:t xml:space="preserve">Local Moran’s I cluster map of DTP1→DTP3 dropout across Nigerian LGAs. High-High clusters (red) indicate spatial concentrations of elevated dropout risk; Low-Low clusters (blue) indicate low-risk spatial clusters. Statistical significance at p &lt; 0.05 after 999-permutation conditional randomisation.</w:t>
      </w:r>
    </w:p>
    <w:bookmarkEnd w:id="70"/>
    <w:bookmarkStart w:id="74" w:name="fig:s11"/>
    <w:p>
      <w:pPr>
        <w:pStyle w:val="CaptionedFigure"/>
      </w:pPr>
      <w:r>
        <w:drawing>
          <wp:inline>
            <wp:extent cx="5943600" cy="8353870"/>
            <wp:effectExtent b="0" l="0" r="0" t="0"/>
            <wp:docPr descr="Figure S11. State-level DTP1→DTP3 dropout prevalence, NDHS 2024. Choropleth map using sstate variable; survey-weighted proportions. States with dropout prevalence &gt; 30% are labelled. Color scale is continuous from 0% (dark green) to &gt;50% (dark red)." title="" id="72" name="Picture"/>
            <a:graphic>
              <a:graphicData uri="http://schemas.openxmlformats.org/drawingml/2006/picture">
                <pic:pic>
                  <pic:nvPicPr>
                    <pic:cNvPr descr="figures/supplement/sfig_prevalence_by_state.png" id="73" name="Picture"/>
                    <pic:cNvPicPr>
                      <a:picLocks noChangeArrowheads="1" noChangeAspect="1"/>
                    </pic:cNvPicPr>
                  </pic:nvPicPr>
                  <pic:blipFill>
                    <a:blip r:embed="rId71"/>
                    <a:stretch>
                      <a:fillRect/>
                    </a:stretch>
                  </pic:blipFill>
                  <pic:spPr bwMode="auto">
                    <a:xfrm>
                      <a:off x="0" y="0"/>
                      <a:ext cx="5943600" cy="8353870"/>
                    </a:xfrm>
                    <a:prstGeom prst="rect">
                      <a:avLst/>
                    </a:prstGeom>
                    <a:noFill/>
                    <a:ln w="9525">
                      <a:noFill/>
                      <a:headEnd/>
                      <a:tailEnd/>
                    </a:ln>
                  </pic:spPr>
                </pic:pic>
              </a:graphicData>
            </a:graphic>
          </wp:inline>
        </w:drawing>
      </w:r>
    </w:p>
    <w:p>
      <w:pPr>
        <w:pStyle w:val="ImageCaption"/>
      </w:pPr>
      <w:r>
        <w:rPr>
          <w:b/>
          <w:bCs/>
        </w:rPr>
        <w:t xml:space="preserve">Figure S11.</w:t>
      </w:r>
      <w:r>
        <w:t xml:space="preserve"> </w:t>
      </w:r>
      <w:r>
        <w:t xml:space="preserve">State-level DTP1→DTP3 dropout prevalence, NDHS 2024. Choropleth map using sstate variable; survey-weighted proportions. States with dropout prevalence &gt; 30% are labelled. Color scale is continuous from 0% (dark green) to &gt;50% (dark red).</w:t>
      </w:r>
    </w:p>
    <w:bookmarkEnd w:id="74"/>
    <w:bookmarkStart w:id="78" w:name="fig:s12"/>
    <w:p>
      <w:pPr>
        <w:pStyle w:val="CaptionedFigure"/>
      </w:pPr>
      <w:r>
        <w:drawing>
          <wp:inline>
            <wp:extent cx="5943600" cy="2046538"/>
            <wp:effectExtent b="0" l="0" r="0" t="0"/>
            <wp:docPr descr="Figure S12. Andersen-domain decomposition of SHAP feature importance for T1 (left) and T2 (right) models. Bar height represents summed absolute SHAP contribution for all features within each Andersen domain (Predisposing, Enabling, Need, Dynamic). Enables policy-relevant attribution of dropout risk to modifiable versus fixed factor domains." title="" id="76" name="Picture"/>
            <a:graphic>
              <a:graphicData uri="http://schemas.openxmlformats.org/drawingml/2006/picture">
                <pic:pic>
                  <pic:nvPicPr>
                    <pic:cNvPr descr="figures/supplement/sfig_andersen_decomposition.png" id="77" name="Picture"/>
                    <pic:cNvPicPr>
                      <a:picLocks noChangeArrowheads="1" noChangeAspect="1"/>
                    </pic:cNvPicPr>
                  </pic:nvPicPr>
                  <pic:blipFill>
                    <a:blip r:embed="rId75"/>
                    <a:stretch>
                      <a:fillRect/>
                    </a:stretch>
                  </pic:blipFill>
                  <pic:spPr bwMode="auto">
                    <a:xfrm>
                      <a:off x="0" y="0"/>
                      <a:ext cx="5943600" cy="2046538"/>
                    </a:xfrm>
                    <a:prstGeom prst="rect">
                      <a:avLst/>
                    </a:prstGeom>
                    <a:noFill/>
                    <a:ln w="9525">
                      <a:noFill/>
                      <a:headEnd/>
                      <a:tailEnd/>
                    </a:ln>
                  </pic:spPr>
                </pic:pic>
              </a:graphicData>
            </a:graphic>
          </wp:inline>
        </w:drawing>
      </w:r>
    </w:p>
    <w:p>
      <w:pPr>
        <w:pStyle w:val="ImageCaption"/>
      </w:pPr>
      <w:r>
        <w:rPr>
          <w:b/>
          <w:bCs/>
        </w:rPr>
        <w:t xml:space="preserve">Figure S12.</w:t>
      </w:r>
      <w:r>
        <w:t xml:space="preserve"> </w:t>
      </w:r>
      <w:r>
        <w:t xml:space="preserve">Andersen-domain decomposition of SHAP feature importance for T1 (left) and T2 (right) models. Bar height represents summed absolute SHAP contribution for all features within each Andersen domain (Predisposing, Enabling, Need, Dynamic). Enables policy-relevant attribution of dropout risk to modifiable versus fixed factor domains.</w:t>
      </w:r>
    </w:p>
    <w:bookmarkEnd w:id="78"/>
    <w:bookmarkStart w:id="88" w:name="refs"/>
    <w:bookmarkStart w:id="80" w:name="ref-ref17_collins2024tripod"/>
    <w:p>
      <w:pPr>
        <w:pStyle w:val="Bibliography"/>
      </w:pPr>
      <w:r>
        <w:t xml:space="preserve">1.</w:t>
      </w:r>
      <w:r>
        <w:t xml:space="preserve"> </w:t>
      </w:r>
      <w:r>
        <w:t xml:space="preserve">	</w:t>
      </w:r>
      <w:r>
        <w:t xml:space="preserve">Collins, G.S.; Moons, K.G.M.; Dhiman, P.; Riley, R.D.; Beam, A.L.; Van Calster, B.; Ghassemi, M.; Liu, X.; Reitsma, J.B.; Smeden, M. van; 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rPr>
          <w:b/>
          <w:bCs/>
        </w:rPr>
        <w:t xml:space="preserve">2024</w:t>
      </w:r>
      <w:r>
        <w:t xml:space="preserve">,</w:t>
      </w:r>
      <w:r>
        <w:t xml:space="preserve"> </w:t>
      </w:r>
      <w:r>
        <w:rPr>
          <w:i/>
          <w:iCs/>
        </w:rPr>
        <w:t xml:space="preserve">385</w:t>
      </w:r>
      <w:r>
        <w:t xml:space="preserve">, e078378, doi:</w:t>
      </w:r>
      <w:hyperlink r:id="rId79">
        <w:r>
          <w:rPr>
            <w:rStyle w:val="Hyperlink"/>
          </w:rPr>
          <w:t xml:space="preserve">10.1136/bmj-2023-078378</w:t>
        </w:r>
      </w:hyperlink>
      <w:r>
        <w:t xml:space="preserve">.</w:t>
      </w:r>
    </w:p>
    <w:bookmarkEnd w:id="80"/>
    <w:bookmarkStart w:id="82" w:name="ref-ref36_husereau2022consolidated"/>
    <w:p>
      <w:pPr>
        <w:pStyle w:val="Bibliography"/>
      </w:pPr>
      <w:r>
        <w:t xml:space="preserve">2.</w:t>
      </w:r>
      <w:r>
        <w:t xml:space="preserve"> </w:t>
      </w:r>
      <w:r>
        <w:t xml:space="preserve">	</w:t>
      </w:r>
      <w:r>
        <w:t xml:space="preserve">Husereau, D.; Drummond, M.; Augustovski, F.; Bekker-Grob, E. de; Briggs, A.H.; Carswell, C.; Caulley, L.; Chaiyakunapruk, N.; Greenberg, D.; Loder, E.; et al.</w:t>
      </w:r>
      <w:r>
        <w:t xml:space="preserve"> </w:t>
      </w:r>
      <w:r>
        <w:t xml:space="preserve">Consolidated Health Economic Evaluation Reporting Standards 2022 (</w:t>
      </w:r>
      <w:r>
        <w:t xml:space="preserve">CHEERS</w:t>
      </w:r>
      <w:r>
        <w:t xml:space="preserve"> </w:t>
      </w:r>
      <w:r>
        <w:t xml:space="preserve">2022) Statement: Updated Reporting Guidance for Health Economic Evaluations.</w:t>
      </w:r>
      <w:r>
        <w:t xml:space="preserve"> </w:t>
      </w:r>
      <w:r>
        <w:rPr>
          <w:i/>
          <w:iCs/>
        </w:rPr>
        <w:t xml:space="preserve">BMC Medicine</w:t>
      </w:r>
      <w:r>
        <w:t xml:space="preserve"> </w:t>
      </w:r>
      <w:r>
        <w:rPr>
          <w:b/>
          <w:bCs/>
        </w:rPr>
        <w:t xml:space="preserve">2022</w:t>
      </w:r>
      <w:r>
        <w:t xml:space="preserve">,</w:t>
      </w:r>
      <w:r>
        <w:t xml:space="preserve"> </w:t>
      </w:r>
      <w:r>
        <w:rPr>
          <w:i/>
          <w:iCs/>
        </w:rPr>
        <w:t xml:space="preserve">20</w:t>
      </w:r>
      <w:r>
        <w:t xml:space="preserve">, 23, doi:</w:t>
      </w:r>
      <w:hyperlink r:id="rId81">
        <w:r>
          <w:rPr>
            <w:rStyle w:val="Hyperlink"/>
          </w:rPr>
          <w:t xml:space="preserve">10.1186/s12916-021-02204-0</w:t>
        </w:r>
      </w:hyperlink>
      <w:r>
        <w:t xml:space="preserve">.</w:t>
      </w:r>
    </w:p>
    <w:bookmarkEnd w:id="82"/>
    <w:bookmarkStart w:id="84" w:name="ref-ref30_gottesman2019guidelines"/>
    <w:p>
      <w:pPr>
        <w:pStyle w:val="Bibliography"/>
      </w:pPr>
      <w:r>
        <w:t xml:space="preserve">3.</w:t>
      </w:r>
      <w:r>
        <w:t xml:space="preserve"> </w:t>
      </w:r>
      <w:r>
        <w:t xml:space="preserve">	</w:t>
      </w:r>
      <w:r>
        <w:t xml:space="preserve">Gottesman, O.; Johansson, F.; Komorowski, M.; Faisal, A.; Sontag, D.; Doshi-Velez, F.; Celi, L.A. Guidelines for Reinforcement Learning in Healthcare.</w:t>
      </w:r>
      <w:r>
        <w:t xml:space="preserve"> </w:t>
      </w:r>
      <w:r>
        <w:rPr>
          <w:i/>
          <w:iCs/>
        </w:rPr>
        <w:t xml:space="preserve">Nature Medicine</w:t>
      </w:r>
      <w:r>
        <w:t xml:space="preserve"> </w:t>
      </w:r>
      <w:r>
        <w:rPr>
          <w:b/>
          <w:bCs/>
        </w:rPr>
        <w:t xml:space="preserve">2019</w:t>
      </w:r>
      <w:r>
        <w:t xml:space="preserve">,</w:t>
      </w:r>
      <w:r>
        <w:t xml:space="preserve"> </w:t>
      </w:r>
      <w:r>
        <w:rPr>
          <w:i/>
          <w:iCs/>
        </w:rPr>
        <w:t xml:space="preserve">25</w:t>
      </w:r>
      <w:r>
        <w:t xml:space="preserve">, 16–18, doi:</w:t>
      </w:r>
      <w:hyperlink r:id="rId83">
        <w:r>
          <w:rPr>
            <w:rStyle w:val="Hyperlink"/>
          </w:rPr>
          <w:t xml:space="preserve">10.1038/s41591-018-0310-5</w:t>
        </w:r>
      </w:hyperlink>
      <w:r>
        <w:t xml:space="preserve">.</w:t>
      </w:r>
    </w:p>
    <w:bookmarkEnd w:id="84"/>
    <w:bookmarkStart w:id="85" w:name="ref-ref12_ernst2005treebased"/>
    <w:p>
      <w:pPr>
        <w:pStyle w:val="Bibliography"/>
      </w:pPr>
      <w:r>
        <w:t xml:space="preserve">4.</w:t>
      </w:r>
      <w:r>
        <w:t xml:space="preserve"> </w:t>
      </w:r>
      <w:r>
        <w:t xml:space="preserve">	</w:t>
      </w:r>
      <w:r>
        <w:t xml:space="preserve">Ernst, D.; Geurts, P.; Wehenkel, L. Tree-Based Batch Mode Reinforcement Learning.</w:t>
      </w:r>
      <w:r>
        <w:t xml:space="preserve"> </w:t>
      </w:r>
      <w:r>
        <w:rPr>
          <w:i/>
          <w:iCs/>
        </w:rPr>
        <w:t xml:space="preserve">Journal of Machine Learning Research</w:t>
      </w:r>
      <w:r>
        <w:t xml:space="preserve"> </w:t>
      </w:r>
      <w:r>
        <w:rPr>
          <w:b/>
          <w:bCs/>
        </w:rPr>
        <w:t xml:space="preserve">2005</w:t>
      </w:r>
      <w:r>
        <w:t xml:space="preserve">,</w:t>
      </w:r>
      <w:r>
        <w:t xml:space="preserve"> </w:t>
      </w:r>
      <w:r>
        <w:rPr>
          <w:i/>
          <w:iCs/>
        </w:rPr>
        <w:t xml:space="preserve">6</w:t>
      </w:r>
      <w:r>
        <w:t xml:space="preserve">, 503–556.</w:t>
      </w:r>
    </w:p>
    <w:bookmarkEnd w:id="85"/>
    <w:bookmarkStart w:id="86" w:name="ref-ref13_kumar2020conservative"/>
    <w:p>
      <w:pPr>
        <w:pStyle w:val="Bibliography"/>
      </w:pPr>
      <w:r>
        <w:t xml:space="preserve">5.</w:t>
      </w:r>
      <w:r>
        <w:t xml:space="preserve"> </w:t>
      </w:r>
      <w:r>
        <w:t xml:space="preserve">	</w:t>
      </w:r>
      <w:r>
        <w:t xml:space="preserve">Kumar, A.; Zhou, A.; Tucker, G.; Levine, S. Conservative</w:t>
      </w:r>
      <w:r>
        <w:t xml:space="preserve"> </w:t>
      </w:r>
      <w:r>
        <w:t xml:space="preserve">Q</w:t>
      </w:r>
      <w:r>
        <w:t xml:space="preserve">-Learning for Offline Reinforcement Learning. In Proceedings of the Advances in neural information processing systems (NeurIPS); 2020; Vol. 33, pp. 1179–1191.</w:t>
      </w:r>
    </w:p>
    <w:bookmarkEnd w:id="86"/>
    <w:bookmarkStart w:id="87" w:name="ref-ref32_jiang2016doubly"/>
    <w:p>
      <w:pPr>
        <w:pStyle w:val="Bibliography"/>
      </w:pPr>
      <w:r>
        <w:t xml:space="preserve">6.</w:t>
      </w:r>
      <w:r>
        <w:t xml:space="preserve"> </w:t>
      </w:r>
      <w:r>
        <w:t xml:space="preserve">	</w:t>
      </w:r>
      <w:r>
        <w:t xml:space="preserve">Jiang, N.; Li, L. Doubly Robust Off-Policy Value Evaluation for Reinforcement Learning. In Proceedings of the International conference on machine learning (ICML); 2016; pp. 652–661.</w:t>
      </w:r>
    </w:p>
    <w:bookmarkEnd w:id="87"/>
    <w:bookmarkEnd w:id="88"/>
    <w:bookmarkEnd w:id="89"/>
    <w:bookmarkEnd w:id="9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Palatino Linotype" w:hAnsi="Palatino Linotype"/>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Palatino Linotype" w:asciiTheme="majorHAnsi" w:cstheme="majorBidi" w:eastAsiaTheme="majorEastAsia" w:hAnsi="Palatino Linotype"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Palatino Linotype" w:asciiTheme="majorHAnsi" w:cstheme="majorBidi" w:eastAsiaTheme="majorEastAsia" w:hAnsi="Palatino Linotype" w:hAnsiTheme="majorHAnsi"/>
      <w:b/>
      <w:bCs/>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Palatino Linotype" w:asciiTheme="majorHAnsi" w:cstheme="majorBidi" w:eastAsiaTheme="majorEastAsia" w:hAnsi="Palatino Linotype" w:hAnsiTheme="majorHAnsi"/>
      <w:b/>
      <w:bCs/>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hyperlink" Id="rId83" Target="https://doi.org/10.1038/s41591-018-0310-5" TargetMode="External" /><Relationship Type="http://schemas.openxmlformats.org/officeDocument/2006/relationships/hyperlink" Id="rId79" Target="https://doi.org/10.1136/bmj-2023-078378" TargetMode="External" /><Relationship Type="http://schemas.openxmlformats.org/officeDocument/2006/relationships/hyperlink" Id="rId81" Target="https://doi.org/10.1186/s12916-021-02204-0"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38/s41591-018-0310-5" TargetMode="External" /><Relationship Type="http://schemas.openxmlformats.org/officeDocument/2006/relationships/hyperlink" Id="rId79" Target="https://doi.org/10.1136/bmj-2023-078378" TargetMode="External" /><Relationship Type="http://schemas.openxmlformats.org/officeDocument/2006/relationships/hyperlink" Id="rId81" Target="https://doi.org/10.1186/s12916-021-0220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2026-04-19T06:33:48Z</dcterms:created>
  <dcterms:modified xsi:type="dcterms:W3CDTF">2026-04-19T06:33:48Z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/Users/uthlekan/Library/CloudStorage/Dropbox/00Todo/00_ToReview/vacSeries/03_dropout/manuscript/references.bib</vt:lpwstr>
  </property>
  <property fmtid="{D5CDD505-2E9C-101B-9397-08002B2CF9AE}" pid="3" name="csl">
    <vt:lpwstr>/Users/uthlekan/Library/CloudStorage/Dropbox/00Todo/00_ToReview/vacSeries/03_dropout/assets/vaccines.csl</vt:lpwstr>
  </property>
</Properties>
</file>