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1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2.png" ContentType="image/png"/>
  <Override PartName="/word/media/rId45.png" ContentType="image/png"/>
  <Override PartName="/word/media/rId50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9" w:name="X8758386651c3100ff063bacc8fd7cc4b6b4874e"/>
    <w:p>
      <w:pPr>
        <w:pStyle w:val="Heading1"/>
      </w:pPr>
      <w:r>
        <w:t xml:space="preserve">Shell Health Horizon — Dashboard Walkthrough</w:t>
      </w:r>
    </w:p>
    <w:p>
      <w:pPr>
        <w:pStyle w:val="FirstParagraph"/>
      </w:pPr>
      <w:r>
        <w:rPr>
          <w:b/>
          <w:bCs/>
        </w:rPr>
        <w:t xml:space="preserve">Live URL:</w:t>
      </w:r>
      <w:r>
        <w:t xml:space="preserve"> </w:t>
      </w:r>
      <w:hyperlink r:id="rId9">
        <w:r>
          <w:rPr>
            <w:rStyle w:val="Hyperlink"/>
          </w:rPr>
          <w:t xml:space="preserve">olatechie.github.io/health-horizon-dashboard-mockup</w:t>
        </w:r>
      </w:hyperlink>
      <w:r>
        <w:t xml:space="preserve"> </w:t>
      </w:r>
      <w:r>
        <w:rPr>
          <w:b/>
          <w:bCs/>
        </w:rPr>
        <w:t xml:space="preserve">Repository:</w:t>
      </w:r>
      <w:r>
        <w:t xml:space="preserve"> </w:t>
      </w:r>
      <w:hyperlink r:id="rId10">
        <w:r>
          <w:rPr>
            <w:rStyle w:val="Hyperlink"/>
          </w:rPr>
          <w:t xml:space="preserve">github.com/olaTechie/health-horizon-dashboard-mockup</w:t>
        </w:r>
      </w:hyperlink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Illustrative prototype for Shell Health Horizon Scanning RFI (Deliverable C). Real-event-grounded mock data; not vendor-validated; Shell Pecten not displayed (per RFI clause 3.d).</w:t>
      </w:r>
    </w:p>
    <w:p>
      <w:r>
        <w:pict>
          <v:rect style="width:0;height:1.5pt" o:hralign="center" o:hrstd="t" o:hr="t"/>
        </w:pict>
      </w:r>
    </w:p>
    <w:bookmarkStart w:id="11" w:name="what-this-dashboard-is"/>
    <w:p>
      <w:pPr>
        <w:pStyle w:val="Heading2"/>
      </w:pPr>
      <w:r>
        <w:t xml:space="preserve">1. What this dashboard is</w:t>
      </w:r>
    </w:p>
    <w:p>
      <w:pPr>
        <w:pStyle w:val="FirstParagraph"/>
      </w:pPr>
      <w:r>
        <w:t xml:space="preserve">A static, browser-only prototype of the</w:t>
      </w:r>
      <w:r>
        <w:t xml:space="preserve"> </w:t>
      </w:r>
      <w:r>
        <w:rPr>
          <w:b/>
          <w:bCs/>
        </w:rPr>
        <w:t xml:space="preserve">Executive Intelligence Dashboard</w:t>
      </w:r>
      <w:r>
        <w:t xml:space="preserve"> </w:t>
      </w:r>
      <w:r>
        <w:t xml:space="preserve">described as Deliverable C in the RFI:</w:t>
      </w:r>
    </w:p>
    <w:p>
      <w:pPr>
        <w:pStyle w:val="BlockText"/>
      </w:pPr>
      <w:r>
        <w:t xml:space="preserve">Live, continuously updated signal tracker; filterable by PPA pillar, geography, business segment, alert tier; geographic overlay mapped to Shell operational footprint; accessible to Shell Health, HSSE policy, and regional health leads.</w:t>
      </w:r>
    </w:p>
    <w:p>
      <w:pPr>
        <w:pStyle w:val="FirstParagraph"/>
      </w:pPr>
      <w:r>
        <w:t xml:space="preserve">It is the visible surface of the AI-Augmented Living Intelligence Architecture proposed in our methodology — five thematic agents (Infectious Disease, Occupational Exposure, Regulatory &amp; Standards, Climate–Health, Psychosocial Risk) continuously scanning peer-reviewed literature, WHO/ECDC alerts, regulatory dockets and industry bodies, with multi-source triangulation enforced before any tier escalation.</w:t>
      </w:r>
    </w:p>
    <w:p>
      <w:pPr>
        <w:pStyle w:val="BodyText"/>
      </w:pPr>
      <w:r>
        <w:t xml:space="preserve">Every signal in the prototype is grounded in genuinely active 2025–2026 global health storylines (Mpox clade Ib, NIOSH heat-stress NPRM, AMR carbapenem resistance, WBGT exposure thresholds, etc.) so evaluators can judge the</w:t>
      </w:r>
      <w:r>
        <w:t xml:space="preserve"> </w:t>
      </w:r>
      <w:r>
        <w:rPr>
          <w:i/>
          <w:iCs/>
        </w:rPr>
        <w:t xml:space="preserve">plausibility</w:t>
      </w:r>
      <w:r>
        <w:t xml:space="preserve"> </w:t>
      </w:r>
      <w:r>
        <w:t xml:space="preserve">of the agent layer’s output rather than its glossiness.</w:t>
      </w:r>
    </w:p>
    <w:bookmarkEnd w:id="11"/>
    <w:bookmarkStart w:id="12" w:name="architecture-at-a-glance"/>
    <w:p>
      <w:pPr>
        <w:pStyle w:val="Heading2"/>
      </w:pPr>
      <w:r>
        <w:t xml:space="preserve">2. Architecture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Routes</w:t>
            </w:r>
          </w:p>
        </w:tc>
        <w:tc>
          <w:tcPr/>
          <w:p>
            <w:pPr>
              <w:pStyle w:val="Compact"/>
            </w:pPr>
            <w:r>
              <w:t xml:space="preserve">5 statically-generated pages (Dashboard, Signal Explorer, Signal Detail, Geographic, Briefs)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Next.js 15 (App Router,</w:t>
            </w:r>
            <w:r>
              <w:t xml:space="preserve"> </w:t>
            </w:r>
            <w:r>
              <w:rPr>
                <w:rStyle w:val="VerbatimChar"/>
              </w:rPr>
              <w:t xml:space="preserve">output: 'export'</w:t>
            </w:r>
            <w:r>
              <w:t xml:space="preserve">) · TypeScript strict · Tailwind v4 · MapLibre GL · Recharts · Framer Motion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Static JSON in</w:t>
            </w:r>
            <w:r>
              <w:t xml:space="preserve"> </w:t>
            </w:r>
            <w:r>
              <w:rPr>
                <w:rStyle w:val="VerbatimChar"/>
              </w:rPr>
              <w:t xml:space="preserve">/public/data/*.json</w:t>
            </w:r>
            <w:r>
              <w:t xml:space="preserve"> </w:t>
            </w:r>
            <w:r>
              <w:t xml:space="preserve">— mirrors the shape the production agent layer would emit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Themes</w:t>
            </w:r>
          </w:p>
        </w:tc>
        <w:tc>
          <w:tcPr/>
          <w:p>
            <w:pPr>
              <w:pStyle w:val="Compact"/>
            </w:pPr>
            <w:r>
              <w:t xml:space="preserve">Editorial light (default) + Ops dark — both first-class, toggled via</w:t>
            </w:r>
            <w:r>
              <w:t xml:space="preserve"> </w:t>
            </w:r>
            <w:r>
              <w:rPr>
                <w:rStyle w:val="VerbatimChar"/>
              </w:rPr>
              <w:t xml:space="preserve">data-theme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GitHub Pages (</w:t>
            </w:r>
            <w:r>
              <w:rPr>
                <w:rStyle w:val="VerbatimChar"/>
              </w:rPr>
              <w:t xml:space="preserve">output: 'export'</w:t>
            </w:r>
            <w:r>
              <w:t xml:space="preserve"> </w:t>
            </w:r>
            <w:r>
              <w:t xml:space="preserve">+ GH Action), basePath-aware throughout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data</w:t>
            </w:r>
          </w:p>
        </w:tc>
        <w:tc>
          <w:tcPr/>
          <w:p>
            <w:pPr>
              <w:pStyle w:val="Compact"/>
            </w:pPr>
            <w:r>
              <w:t xml:space="preserve">40 signals × 5 agents · 4 quarterly briefs · 22 Shell-operated assets · ~120 source citations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40" w:name="pages-one-by-one"/>
    <w:p>
      <w:pPr>
        <w:pStyle w:val="Heading2"/>
      </w:pPr>
      <w:r>
        <w:t xml:space="preserve">3. Pages, one by one</w:t>
      </w:r>
    </w:p>
    <w:bookmarkStart w:id="16" w:name="dashboard"/>
    <w:p>
      <w:pPr>
        <w:pStyle w:val="Heading3"/>
      </w:pPr>
      <w:r>
        <w:t xml:space="preserve">3.1 Dashboard —</w:t>
      </w:r>
      <w:r>
        <w:t xml:space="preserve"> </w:t>
      </w:r>
      <w:r>
        <w:rPr>
          <w:rStyle w:val="VerbatimChar"/>
        </w:rPr>
        <w:t xml:space="preserve">/</w:t>
      </w:r>
    </w:p>
    <w:p>
      <w:pPr>
        <w:pStyle w:val="FirstParagraph"/>
      </w:pPr>
      <w:r>
        <w:t xml:space="preserve">The executive read. Single scroll, no tabs. Five horizontal bands answer the three first-second questions an executive opening the page must resolve:</w:t>
      </w:r>
      <w:r>
        <w:t xml:space="preserve"> </w:t>
      </w:r>
      <w:r>
        <w:rPr>
          <w:i/>
          <w:iCs/>
        </w:rPr>
        <w:t xml:space="preserve">Is anything Action-tier today? Is the methodology defensible? Where on Shell’s footprint does this matter?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ashboard — editorial theme" title="" id="14" name="Picture"/>
            <a:graphic>
              <a:graphicData uri="http://schemas.openxmlformats.org/drawingml/2006/picture">
                <pic:pic>
                  <pic:nvPicPr>
                    <pic:cNvPr descr="screenshots/01-dashboard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— editorial theme</w:t>
      </w:r>
    </w:p>
    <w:p>
      <w:pPr>
        <w:pStyle w:val="BodyText"/>
      </w:pPr>
      <w:r>
        <w:rPr>
          <w:b/>
          <w:bCs/>
        </w:rPr>
        <w:t xml:space="preserve">Bands, top to bottom: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Hero ticker</w:t>
      </w:r>
      <w:r>
        <w:t xml:space="preserve"> </w:t>
      </w:r>
      <w:r>
        <w:t xml:space="preserve">— auto-rotates every 7 seconds through the live Action and Attention signals; pause-on-hover. Headline</w:t>
      </w:r>
      <w:r>
        <w:t xml:space="preserve"> </w:t>
      </w:r>
      <w:r>
        <w:rPr>
          <w:rStyle w:val="VerbatimChar"/>
        </w:rPr>
        <w:t xml:space="preserve">Global Health Horizon — Q2 2026</w:t>
      </w:r>
      <w:r>
        <w:t xml:space="preserve"> </w:t>
      </w:r>
      <w:r>
        <w:t xml:space="preserve">set in Fraunces serif. The small blue dot beside</w:t>
      </w:r>
      <w:r>
        <w:t xml:space="preserve"> </w:t>
      </w:r>
      <w:r>
        <w:rPr>
          <w:i/>
          <w:iCs/>
        </w:rPr>
        <w:t xml:space="preserve">“Last refreshed”</w:t>
      </w:r>
      <w:r>
        <w:t xml:space="preserve"> </w:t>
      </w:r>
      <w:r>
        <w:t xml:space="preserve">pulses every 2.4 seconds — a deliberate craft moment that telegraphs the agent layer is actively watching, not retrospective.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KPI strip</w:t>
      </w:r>
      <w:r>
        <w:t xml:space="preserve"> </w:t>
      </w:r>
      <w:r>
        <w:t xml:space="preserve">— 5 tiles in</w:t>
      </w:r>
      <w:r>
        <w:t xml:space="preserve"> </w:t>
      </w:r>
      <w:r>
        <w:rPr>
          <w:rStyle w:val="VerbatimChar"/>
        </w:rPr>
        <w:t xml:space="preserve">font-mono</w:t>
      </w:r>
      <w:r>
        <w:t xml:space="preserve"> </w:t>
      </w:r>
      <w:r>
        <w:t xml:space="preserve">numerals: Active signals, Action-tier count, Elevated-risk regions, Mean confidence, Coverage uptime. Each carries a 30-day sparkline coloured by tier or PPA palette.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PPA balance + Agent activity (split row)</w:t>
      </w:r>
      <w:r>
        <w:t xml:space="preserve"> </w:t>
      </w:r>
      <w:r>
        <w:t xml:space="preserve">— left, a horizontal stacked bar showing signal volume by PPA pillar with tier breakdown; right, the five-agent grid with last-run timestamps and a subtle activity pulse on each card. Both rows are clickable filters into</w:t>
      </w:r>
      <w:r>
        <w:t xml:space="preserve"> </w:t>
      </w:r>
      <w:r>
        <w:rPr>
          <w:rStyle w:val="VerbatimChar"/>
        </w:rPr>
        <w:t xml:space="preserve">/signals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Geographic snapshot</w:t>
      </w:r>
      <w:r>
        <w:t xml:space="preserve"> </w:t>
      </w:r>
      <w:r>
        <w:t xml:space="preserve">— a 2/3-width simplified world map with Shell asset dots and tier-coded signal pins, alongside a regional risk leaderboard. Links into the full</w:t>
      </w:r>
      <w:r>
        <w:t xml:space="preserve"> </w:t>
      </w:r>
      <w:r>
        <w:rPr>
          <w:rStyle w:val="VerbatimChar"/>
        </w:rPr>
        <w:t xml:space="preserve">/map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Recent signal feed</w:t>
      </w:r>
      <w:r>
        <w:t xml:space="preserve"> </w:t>
      </w:r>
      <w:r>
        <w:t xml:space="preserve">— vertical list of the eight most recently updated signals; each row is a deep link to</w:t>
      </w:r>
      <w:r>
        <w:t xml:space="preserve"> </w:t>
      </w:r>
      <w:r>
        <w:rPr>
          <w:rStyle w:val="VerbatimChar"/>
        </w:rPr>
        <w:t xml:space="preserve">/signals/[id]</w:t>
      </w:r>
      <w:r>
        <w:t xml:space="preserve">.</w:t>
      </w:r>
    </w:p>
    <w:bookmarkEnd w:id="16"/>
    <w:bookmarkStart w:id="20" w:name="signal-explorer-signals"/>
    <w:p>
      <w:pPr>
        <w:pStyle w:val="Heading3"/>
      </w:pPr>
      <w:r>
        <w:t xml:space="preserve">3.2 Signal Explorer —</w:t>
      </w:r>
      <w:r>
        <w:t xml:space="preserve"> </w:t>
      </w:r>
      <w:r>
        <w:rPr>
          <w:rStyle w:val="VerbatimChar"/>
        </w:rPr>
        <w:t xml:space="preserve">/signals/</w:t>
      </w:r>
    </w:p>
    <w:p>
      <w:pPr>
        <w:pStyle w:val="FirstParagraph"/>
      </w:pPr>
      <w:r>
        <w:t xml:space="preserve">The analyst’s view: dense, filterable, sortable. Used for</w:t>
      </w:r>
      <w:r>
        <w:t xml:space="preserve"> </w:t>
      </w:r>
      <w:r>
        <w:t xml:space="preserve">“show me everything in Protect tier across APAC, sorted by triangulation count”</w:t>
      </w:r>
      <w:r>
        <w:t xml:space="preserve"> </w:t>
      </w:r>
      <w:r>
        <w:t xml:space="preserve">— the sort of question a regional health lead asks before a steering meeting.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ignal Explorer — table view" title="" id="18" name="Picture"/>
            <a:graphic>
              <a:graphicData uri="http://schemas.openxmlformats.org/drawingml/2006/picture">
                <pic:pic>
                  <pic:nvPicPr>
                    <pic:cNvPr descr="screenshots/02-signals-explorer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Signal Explorer — table view</w:t>
      </w:r>
    </w:p>
    <w:p>
      <w:pPr>
        <w:pStyle w:val="BodyText"/>
      </w:pPr>
      <w:r>
        <w:rPr>
          <w:b/>
          <w:bCs/>
        </w:rPr>
        <w:t xml:space="preserve">Components: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Facet rail (240 px, left)</w:t>
      </w:r>
      <w:r>
        <w:t xml:space="preserve"> </w:t>
      </w:r>
      <w:r>
        <w:t xml:space="preserve">— Tier · PPA · Agent · Region · Segment · Horizon · Confidence · Date range. Each facet shows result counts beside its options so the analyst sees the size of the slice before committing. Active filters appear as removable chips above the rail.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Toolbar</w:t>
      </w:r>
      <w:r>
        <w:t xml:space="preserve"> </w:t>
      </w:r>
      <w:r>
        <w:t xml:space="preserve">— Cmd-K command palette (search by ID or title), text search, view-mode toggle (Table / Card / Timeline), CSV export of the current filtered view.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Main pane</w:t>
      </w:r>
      <w:r>
        <w:t xml:space="preserve"> </w:t>
      </w:r>
      <w:r>
        <w:t xml:space="preserve">— three views over the same filtered set: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Table</w:t>
      </w:r>
      <w:r>
        <w:t xml:space="preserve"> </w:t>
      </w:r>
      <w:r>
        <w:t xml:space="preserve">(default) — sticky sortable headers, alternating row tint, ten columns including triangulation count and last-updated.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Card</w:t>
      </w:r>
      <w:r>
        <w:t xml:space="preserve"> </w:t>
      </w:r>
      <w:r>
        <w:t xml:space="preserve">— three-column grid for visual scanning.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Timeline</w:t>
      </w:r>
      <w:r>
        <w:t xml:space="preserve"> </w:t>
      </w:r>
      <w:r>
        <w:t xml:space="preserve">— five swim lanes (one per agent) plotting signals along a time axis from first detection to last update.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QuickPeek panel</w:t>
      </w:r>
      <w:r>
        <w:t xml:space="preserve"> </w:t>
      </w:r>
      <w:r>
        <w:t xml:space="preserve">— appears on row hover (desktop) showing summary, recommended action and source count without leaving the page.</w:t>
      </w:r>
    </w:p>
    <w:p>
      <w:pPr>
        <w:pStyle w:val="FirstParagraph"/>
      </w:pPr>
      <w:r>
        <w:t xml:space="preserve">All filters and the active view are persisted in the URL, so analysts can deep-link</w:t>
      </w:r>
      <w:r>
        <w:t xml:space="preserve"> </w:t>
      </w:r>
      <w:r>
        <w:rPr>
          <w:rStyle w:val="VerbatimChar"/>
        </w:rPr>
        <w:t xml:space="preserve">/signals?tier=action&amp;ppa=protect&amp;region=EMEA</w:t>
      </w:r>
      <w:r>
        <w:t xml:space="preserve"> </w:t>
      </w:r>
      <w:r>
        <w:t xml:space="preserve">to colleagues.</w:t>
      </w:r>
    </w:p>
    <w:bookmarkEnd w:id="20"/>
    <w:bookmarkStart w:id="27" w:name="signal-detail-signalsid"/>
    <w:p>
      <w:pPr>
        <w:pStyle w:val="Heading3"/>
      </w:pPr>
      <w:r>
        <w:t xml:space="preserve">3.3 Signal Detail —</w:t>
      </w:r>
      <w:r>
        <w:t xml:space="preserve"> </w:t>
      </w:r>
      <w:r>
        <w:rPr>
          <w:rStyle w:val="VerbatimChar"/>
        </w:rPr>
        <w:t xml:space="preserve">/signals/[id]/</w:t>
      </w:r>
    </w:p>
    <w:p>
      <w:pPr>
        <w:pStyle w:val="FirstParagraph"/>
      </w:pPr>
      <w:r>
        <w:t xml:space="preserve">The methodology rigor view. This is where an evaluator decides whether the platform is defensible to an HSSE board. Each of the 40 signals has its own statically-generated page.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ignal Detail — Mpox clade Ib (Action tier)" title="" id="22" name="Picture"/>
            <a:graphic>
              <a:graphicData uri="http://schemas.openxmlformats.org/drawingml/2006/picture">
                <pic:pic>
                  <pic:nvPicPr>
                    <pic:cNvPr descr="screenshots/03-signal-detail-mpox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Signal Detail — Mpox clade Ib (Action tier)</w:t>
      </w:r>
    </w:p>
    <w:p>
      <w:pPr>
        <w:pStyle w:val="BodyText"/>
      </w:pPr>
      <w:r>
        <w:rPr>
          <w:b/>
          <w:bCs/>
        </w:rPr>
        <w:t xml:space="preserve">Layout: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Sticky header</w:t>
      </w:r>
      <w:r>
        <w:t xml:space="preserve"> </w:t>
      </w:r>
      <w:r>
        <w:t xml:space="preserve">— back link, mono signal ID, large display title, tier badge, PPA chips,</w:t>
      </w:r>
      <w:r>
        <w:t xml:space="preserve"> </w:t>
      </w:r>
      <w:r>
        <w:rPr>
          <w:i/>
          <w:iCs/>
        </w:rPr>
        <w:t xml:space="preserve">“Action by”</w:t>
      </w:r>
      <w:r>
        <w:t xml:space="preserve"> </w:t>
      </w:r>
      <w:r>
        <w:t xml:space="preserve">date for Action-tier (computed as</w:t>
      </w:r>
      <w:r>
        <w:t xml:space="preserve"> </w:t>
      </w:r>
      <w:r>
        <w:rPr>
          <w:rStyle w:val="VerbatimChar"/>
        </w:rPr>
        <w:t xml:space="preserve">firstDetected + 3 days</w:t>
      </w:r>
      <w:r>
        <w:t xml:space="preserve">), Share + Export-PDF buttons.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Main column (2/3)</w:t>
      </w:r>
      <w:r>
        <w:t xml:space="preserve"> </w:t>
      </w:r>
      <w:r>
        <w:t xml:space="preserve">— italic pull-quote of the</w:t>
      </w:r>
      <w:r>
        <w:t xml:space="preserve"> </w:t>
      </w:r>
      <w:r>
        <w:rPr>
          <w:i/>
          <w:iCs/>
        </w:rPr>
        <w:t xml:space="preserve">“so what for Shell”</w:t>
      </w:r>
      <w:r>
        <w:t xml:space="preserve"> </w:t>
      </w:r>
      <w:r>
        <w:t xml:space="preserve">summary;</w:t>
      </w:r>
      <w:r>
        <w:t xml:space="preserve"> </w:t>
      </w:r>
      <w:r>
        <w:rPr>
          <w:b/>
          <w:bCs/>
        </w:rPr>
        <w:t xml:space="preserve">Recommended action</w:t>
      </w:r>
      <w:r>
        <w:t xml:space="preserve"> </w:t>
      </w:r>
      <w:r>
        <w:t xml:space="preserve">call-out with explicit SEAM-standard mapping;</w:t>
      </w:r>
      <w:r>
        <w:t xml:space="preserve"> </w:t>
      </w:r>
      <w:r>
        <w:rPr>
          <w:b/>
          <w:bCs/>
        </w:rPr>
        <w:t xml:space="preserve">Evidence trail</w:t>
      </w:r>
      <w:r>
        <w:t xml:space="preserve"> </w:t>
      </w:r>
      <w:r>
        <w:t xml:space="preserve">as a vertical timeline (NLP detection → expert validation → triangulation → tier escalation);</w:t>
      </w:r>
      <w:r>
        <w:t xml:space="preserve"> </w:t>
      </w:r>
      <w:r>
        <w:rPr>
          <w:b/>
          <w:bCs/>
        </w:rPr>
        <w:t xml:space="preserve">Source citations</w:t>
      </w:r>
      <w:r>
        <w:t xml:space="preserve"> </w:t>
      </w:r>
      <w:r>
        <w:t xml:space="preserve">grouped by type with publisher, identifier, date and external link;</w:t>
      </w:r>
      <w:r>
        <w:t xml:space="preserve"> </w:t>
      </w:r>
      <w:r>
        <w:rPr>
          <w:b/>
          <w:bCs/>
        </w:rPr>
        <w:t xml:space="preserve">Triangulation diagram</w:t>
      </w:r>
      <w:r>
        <w:t xml:space="preserve"> </w:t>
      </w:r>
      <w:r>
        <w:t xml:space="preserve">— a small inline SVG that</w:t>
      </w:r>
      <w:r>
        <w:t xml:space="preserve"> </w:t>
      </w:r>
      <w:r>
        <w:rPr>
          <w:i/>
          <w:iCs/>
        </w:rPr>
        <w:t xml:space="preserve">narrates</w:t>
      </w:r>
      <w:r>
        <w:t xml:space="preserve"> </w:t>
      </w:r>
      <w:r>
        <w:t xml:space="preserve">corroboration on first paint (active source-type satellites and their connection lines reveal sequentially over ~1.2 s);</w:t>
      </w:r>
      <w:r>
        <w:t xml:space="preserve"> </w:t>
      </w:r>
      <w:r>
        <w:rPr>
          <w:b/>
          <w:bCs/>
        </w:rPr>
        <w:t xml:space="preserve">Affected assets</w:t>
      </w:r>
      <w:r>
        <w:t xml:space="preserve"> </w:t>
      </w:r>
      <w:r>
        <w:t xml:space="preserve">— a regional inline map and asset cards.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Side column (1/3)</w:t>
      </w:r>
      <w:r>
        <w:t xml:space="preserve"> </w:t>
      </w:r>
      <w:r>
        <w:t xml:space="preserve">— Confidence rating with rationale; Agent provenance (which of the five agents owns this signal, when it last ran, what it monitors); SEAM mapping; PPA implications; three related-signal links.</w:t>
      </w:r>
    </w:p>
    <w:p>
      <w:pPr>
        <w:pStyle w:val="FirstParagraph"/>
      </w:pPr>
      <w:r>
        <w:t xml:space="preserve">The same structure applies to every detail page — here is the NIOSH heat-stress NPRM (the second concurrent Action-tier signal in Q2 2026):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ignal Detail — NIOSH heat-stress NPRM (Action tier)" title="" id="25" name="Picture"/>
            <a:graphic>
              <a:graphicData uri="http://schemas.openxmlformats.org/drawingml/2006/picture">
                <pic:pic>
                  <pic:nvPicPr>
                    <pic:cNvPr descr="screenshots/04-signal-detail-niosh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Signal Detail — NIOSH heat-stress NPRM (Action tier)</w:t>
      </w:r>
    </w:p>
    <w:bookmarkEnd w:id="27"/>
    <w:bookmarkStart w:id="31" w:name="geographic-view-map"/>
    <w:p>
      <w:pPr>
        <w:pStyle w:val="Heading3"/>
      </w:pPr>
      <w:r>
        <w:t xml:space="preserve">3.4 Geographic View —</w:t>
      </w:r>
      <w:r>
        <w:t xml:space="preserve"> </w:t>
      </w:r>
      <w:r>
        <w:rPr>
          <w:rStyle w:val="VerbatimChar"/>
        </w:rPr>
        <w:t xml:space="preserve">/map/</w:t>
      </w:r>
    </w:p>
    <w:p>
      <w:pPr>
        <w:pStyle w:val="FirstParagraph"/>
      </w:pPr>
      <w:r>
        <w:t xml:space="preserve">Full-bleed MapLibre GL canvas. The</w:t>
      </w:r>
      <w:r>
        <w:t xml:space="preserve"> </w:t>
      </w:r>
      <w:r>
        <w:t xml:space="preserve">“situation room”</w:t>
      </w:r>
      <w:r>
        <w:t xml:space="preserve"> </w:t>
      </w:r>
      <w:r>
        <w:t xml:space="preserve">register: this is where the</w:t>
      </w:r>
      <w:r>
        <w:t xml:space="preserve"> </w:t>
      </w:r>
      <w:r>
        <w:rPr>
          <w:i/>
          <w:iCs/>
        </w:rPr>
        <w:t xml:space="preserve">Live · Operational · Forensic</w:t>
      </w:r>
      <w:r>
        <w:t xml:space="preserve"> </w:t>
      </w:r>
      <w:r>
        <w:t xml:space="preserve">posture of the platform is most visible.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Geographic view — editorial theme" title="" id="29" name="Picture"/>
            <a:graphic>
              <a:graphicData uri="http://schemas.openxmlformats.org/drawingml/2006/picture">
                <pic:pic>
                  <pic:nvPicPr>
                    <pic:cNvPr descr="screenshots/05-map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Geographic view — editorial theme</w:t>
      </w:r>
    </w:p>
    <w:p>
      <w:pPr>
        <w:pStyle w:val="BodyText"/>
      </w:pPr>
      <w:r>
        <w:rPr>
          <w:b/>
          <w:bCs/>
        </w:rPr>
        <w:t xml:space="preserve">Defaults and controls: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Asset dots are off by default</w:t>
      </w:r>
      <w:r>
        <w:t xml:space="preserve"> </w:t>
      </w:r>
      <w:r>
        <w:t xml:space="preserve">so the few signals that warrant executive attention read first. Toggle them on from the layer panel (top-right) when you want to see Shell’s operational footprint alongside the signal layer.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Signal pins</w:t>
      </w:r>
      <w:r>
        <w:t xml:space="preserve"> </w:t>
      </w:r>
      <w:r>
        <w:t xml:space="preserve">are sized 8 px (Watch / Attention) or 10 px (Action) and coloured by tier.</w:t>
      </w:r>
      <w:r>
        <w:t xml:space="preserve"> </w:t>
      </w:r>
      <w:r>
        <w:rPr>
          <w:b/>
          <w:bCs/>
        </w:rPr>
        <w:t xml:space="preserve">Action-tier pins</w:t>
      </w:r>
      <w:r>
        <w:t xml:space="preserve"> </w:t>
      </w:r>
      <w:r>
        <w:t xml:space="preserve">carry a pulsing ring at 22 ↔ 34 px on a 700 ms cycle — visual hierarchy by motion, not by saturation.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Layer toggles</w:t>
      </w:r>
      <w:r>
        <w:t xml:space="preserve"> </w:t>
      </w:r>
      <w:r>
        <w:t xml:space="preserve">(top-right) — Asset dots, Signal density heatmap, Climate zones, Regulatory jurisdictions.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Time scrubber</w:t>
      </w:r>
      <w:r>
        <w:t xml:space="preserve"> </w:t>
      </w:r>
      <w:r>
        <w:t xml:space="preserve">(bottom) — drag across a 90-day window to watch the signal landscape evolve; play at 4× / 8× / 16× speed.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Filter panel</w:t>
      </w:r>
      <w:r>
        <w:t xml:space="preserve"> </w:t>
      </w:r>
      <w:r>
        <w:t xml:space="preserve">(top-left) — six region presets (Gulf of Mexico, North Sea, Permian, Niger Delta, Asia-Pacific, Pernis cluster) call</w:t>
      </w:r>
      <w:r>
        <w:t xml:space="preserve"> </w:t>
      </w:r>
      <w:r>
        <w:rPr>
          <w:rStyle w:val="VerbatimChar"/>
        </w:rPr>
        <w:t xml:space="preserve">map.fitBounds</w:t>
      </w:r>
      <w:r>
        <w:t xml:space="preserve"> </w:t>
      </w:r>
      <w:r>
        <w:t xml:space="preserve">to fly to that region over ~900 ms; clicking the same preset twice re-flies (escape-from-zoom).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Click any signal pin</w:t>
      </w:r>
      <w:r>
        <w:t xml:space="preserve"> </w:t>
      </w:r>
      <w:r>
        <w:t xml:space="preserve">to open a 420 px right side-sheet with summary, recommended action and a deep link into the signal detail page.</w:t>
      </w:r>
    </w:p>
    <w:bookmarkEnd w:id="31"/>
    <w:bookmarkStart w:id="35" w:name="briefs-archive-briefs"/>
    <w:p>
      <w:pPr>
        <w:pStyle w:val="Heading3"/>
      </w:pPr>
      <w:r>
        <w:t xml:space="preserve">3.5 Briefs Archive —</w:t>
      </w:r>
      <w:r>
        <w:t xml:space="preserve"> </w:t>
      </w:r>
      <w:r>
        <w:rPr>
          <w:rStyle w:val="VerbatimChar"/>
        </w:rPr>
        <w:t xml:space="preserve">/briefs/</w:t>
      </w:r>
    </w:p>
    <w:p>
      <w:pPr>
        <w:pStyle w:val="FirstParagraph"/>
      </w:pPr>
      <w:r>
        <w:t xml:space="preserve">Long-form intelligence briefs as readable artifacts. This is where the platform demonstrates that Shell receives a real, publishable quarterly product — not just dashboards.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Briefs Archive — Q2 2026" title="" id="33" name="Picture"/>
            <a:graphic>
              <a:graphicData uri="http://schemas.openxmlformats.org/drawingml/2006/picture">
                <pic:pic>
                  <pic:nvPicPr>
                    <pic:cNvPr descr="screenshots/06-brief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Briefs Archive — Q2 2026</w:t>
      </w:r>
    </w:p>
    <w:p>
      <w:pPr>
        <w:pStyle w:val="BodyText"/>
      </w:pPr>
      <w:r>
        <w:rPr>
          <w:b/>
          <w:bCs/>
        </w:rPr>
        <w:t xml:space="preserve">Components: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Quarter carousel</w:t>
      </w:r>
      <w:r>
        <w:t xml:space="preserve"> </w:t>
      </w:r>
      <w:r>
        <w:t xml:space="preserve">(top) — four cards spanning Q3 2025 → Q2 2026, each with a key-stat strip (signals scanned, Action-tier issued, sources triangulated), publish date, and signed-off-by initials. The current quarter is scaled and ringed.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Long-form reader</w:t>
      </w:r>
      <w:r>
        <w:t xml:space="preserve"> </w:t>
      </w:r>
      <w:r>
        <w:t xml:space="preserve">— Executive Summary, Methodology Transparency Note, Thematic Deep Dives (each linking out to its cited signals), 12-Month Watchlist table, IOGP/IPIECA Benchmarking, Expert Sign-off. Set in a 720 px max-width column for readability; Fraunces serif headings over Inter body at 17 px / 1.7 line-height.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Floating mini-TOC</w:t>
      </w:r>
      <w:r>
        <w:t xml:space="preserve"> </w:t>
      </w:r>
      <w:r>
        <w:t xml:space="preserve">(right rail on wide screens) — anchor links to each section with active-state via</w:t>
      </w:r>
      <w:r>
        <w:t xml:space="preserve"> </w:t>
      </w:r>
      <w:r>
        <w:rPr>
          <w:rStyle w:val="VerbatimChar"/>
        </w:rPr>
        <w:t xml:space="preserve">IntersectionObserver</w:t>
      </w:r>
      <w:r>
        <w:t xml:space="preserve">.</w:t>
      </w:r>
    </w:p>
    <w:bookmarkEnd w:id="35"/>
    <w:bookmarkStart w:id="39" w:name="pdf-viewer-modal-in-product"/>
    <w:p>
      <w:pPr>
        <w:pStyle w:val="Heading3"/>
      </w:pPr>
      <w:r>
        <w:t xml:space="preserve">3.6 PDF viewer — modal, in-product</w:t>
      </w:r>
    </w:p>
    <w:p>
      <w:pPr>
        <w:pStyle w:val="FirstParagraph"/>
      </w:pPr>
      <w:r>
        <w:t xml:space="preserve">The brief’s</w:t>
      </w:r>
      <w:r>
        <w:t xml:space="preserve"> </w:t>
      </w:r>
      <w:r>
        <w:rPr>
          <w:i/>
          <w:iCs/>
        </w:rPr>
        <w:t xml:space="preserve">“View print-ready PDF”</w:t>
      </w:r>
      <w:r>
        <w:t xml:space="preserve"> </w:t>
      </w:r>
      <w:r>
        <w:t xml:space="preserve">CTA opens the artifact in an in-product modal viewer rather than triggering a download. This is the experience an RFI evaluator wants: read the brief inline, decide whether to keep a copy.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PDF viewer modal over the Briefs page" title="" id="37" name="Picture"/>
            <a:graphic>
              <a:graphicData uri="http://schemas.openxmlformats.org/drawingml/2006/picture">
                <pic:pic>
                  <pic:nvPicPr>
                    <pic:cNvPr descr="screenshots/07-briefs-pdf-viewe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PDF viewer modal over the Briefs page</w:t>
      </w:r>
    </w:p>
    <w:p>
      <w:pPr>
        <w:pStyle w:val="BodyText"/>
      </w:pPr>
      <w:r>
        <w:rPr>
          <w:b/>
          <w:bCs/>
        </w:rPr>
        <w:t xml:space="preserve">Affordances: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NEW TAB</w:t>
      </w:r>
      <w:r>
        <w:t xml:space="preserve"> </w:t>
      </w:r>
      <w:r>
        <w:t xml:space="preserve">— opens the PDF in a fresh browser tab (used as a fallback in mobile Safari, which delegates to Quick Look).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DOWNLOAD</w:t>
      </w:r>
      <w:r>
        <w:t xml:space="preserve"> </w:t>
      </w:r>
      <w:r>
        <w:t xml:space="preserve">— preserves the original file-copy capability for users who want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X / Escape / backdrop click</w:t>
      </w:r>
      <w:r>
        <w:t xml:space="preserve"> </w:t>
      </w:r>
      <w:r>
        <w:t xml:space="preserve">— close.</w:t>
      </w:r>
    </w:p>
    <w:p>
      <w:pPr>
        <w:pStyle w:val="FirstParagraph"/>
      </w:pPr>
      <w:r>
        <w:t xml:space="preserve">The PDFs themselves are programmatically typeset by</w:t>
      </w:r>
      <w:r>
        <w:t xml:space="preserve"> </w:t>
      </w:r>
      <w:r>
        <w:rPr>
          <w:rStyle w:val="VerbatimChar"/>
        </w:rPr>
        <w:t xml:space="preserve">npm run generate:briefs</w:t>
      </w:r>
      <w:r>
        <w:t xml:space="preserve"> </w:t>
      </w:r>
      <w:r>
        <w:t xml:space="preserve">from the same seed file the in-product reader uses. They include cover, executive summary, key findings, methodology note, thematic deep dives, watchlist with tier-color coding, and named expert sign-off — with the illustrative-prototype disclaimer footer on every page.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9" w:name="theme-system"/>
    <w:p>
      <w:pPr>
        <w:pStyle w:val="Heading2"/>
      </w:pPr>
      <w:r>
        <w:t xml:space="preserve">4. Theme system</w:t>
      </w:r>
    </w:p>
    <w:p>
      <w:pPr>
        <w:pStyle w:val="FirstParagraph"/>
      </w:pPr>
      <w:r>
        <w:t xml:space="preserve">Two complete themes, both first-class, persisted via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:</w:t>
      </w:r>
    </w:p>
    <w:bookmarkStart w:id="41" w:name="editorial-light-default"/>
    <w:p>
      <w:pPr>
        <w:pStyle w:val="Heading3"/>
      </w:pPr>
      <w:r>
        <w:t xml:space="preserve">Editorial (light) — default</w:t>
      </w:r>
    </w:p>
    <w:p>
      <w:pPr>
        <w:pStyle w:val="FirstParagraph"/>
      </w:pPr>
      <w:r>
        <w:t xml:space="preserve">Warm off-white canvas, Fraunces serif display, generous whitespace. This is the default opening posture: cognitive ease on first paint, suited to reading the long-form briefs and reviewing methodology.</w:t>
      </w:r>
    </w:p>
    <w:bookmarkEnd w:id="41"/>
    <w:bookmarkStart w:id="48" w:name="ops-dark-situation-room-mode"/>
    <w:p>
      <w:pPr>
        <w:pStyle w:val="Heading3"/>
      </w:pPr>
      <w:r>
        <w:t xml:space="preserve">Ops (dark) — situation-room mode</w:t>
      </w:r>
    </w:p>
    <w:p>
      <w:pPr>
        <w:pStyle w:val="FirstParagraph"/>
      </w:pPr>
      <w:r>
        <w:t xml:space="preserve">Near-black blue canvas, Inter at the display optical-size axis (no second font file), tight grid, mono accents. Toggle from the top-right rail. This is the register the platform spends most of its time in for active surveillance.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ashboard — ops theme" title="" id="43" name="Picture"/>
            <a:graphic>
              <a:graphicData uri="http://schemas.openxmlformats.org/drawingml/2006/picture">
                <pic:pic>
                  <pic:nvPicPr>
                    <pic:cNvPr descr="screenshots/08-dashboard-op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— ops theme</w:t>
      </w:r>
    </w:p>
    <w:p>
      <w:pPr>
        <w:pStyle w:val="BodyText"/>
      </w:pPr>
      <w:r>
        <w:t xml:space="preserve">The map is particularly transformed by the theme switch — note the subtle amber graticule on the dark canvas (1 px, 4% opacity) that disappears in the editorial theme: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Geographic view — ops theme" title="" id="46" name="Picture"/>
            <a:graphic>
              <a:graphicData uri="http://schemas.openxmlformats.org/drawingml/2006/picture">
                <pic:pic>
                  <pic:nvPicPr>
                    <pic:cNvPr descr="screenshots/09-map-op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Geographic view — ops theme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responsive-behaviour"/>
    <w:p>
      <w:pPr>
        <w:pStyle w:val="Heading2"/>
      </w:pPr>
      <w:r>
        <w:t xml:space="preserve">5. Responsive behaviour</w:t>
      </w:r>
    </w:p>
    <w:p>
      <w:pPr>
        <w:pStyle w:val="FirstParagraph"/>
      </w:pPr>
      <w:r>
        <w:t xml:space="preserve">The product is desktop-first (RFI evaluators will open it on a Mac or larger), but every route degrades gracefully to mobile. Below the</w:t>
      </w:r>
      <w:r>
        <w:t xml:space="preserve"> </w:t>
      </w:r>
      <w:r>
        <w:rPr>
          <w:rStyle w:val="VerbatimChar"/>
        </w:rPr>
        <w:t xml:space="preserve">lg</w:t>
      </w:r>
      <w:r>
        <w:t xml:space="preserve"> </w:t>
      </w:r>
      <w:r>
        <w:t xml:space="preserve">breakpoint (1024 px) the 180 px side rail collapses into a slim 56 px top bar with a hamburger drawer; the KPI strip drops from 5 columns to 2; desktop split-rows stack vertically; the Signal Explorer’s facet rail moves to a tap-to-open drawer.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Mobile dashboard</w:t>
            </w:r>
          </w:p>
        </w:tc>
        <w:tc>
          <w:tcPr/>
          <w:p>
            <w:pPr>
              <w:pStyle w:val="Compact"/>
            </w:pPr>
            <w:r>
              <w:t xml:space="preserve">Mobile briefs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11543323"/>
                  <wp:effectExtent b="0" l="0" r="0" t="0"/>
                  <wp:docPr descr="Mobile dashboard" title="" id="51" name="Picture"/>
                  <a:graphic>
                    <a:graphicData uri="http://schemas.openxmlformats.org/drawingml/2006/picture">
                      <pic:pic>
                        <pic:nvPicPr>
                          <pic:cNvPr descr="screenshots/10-mobile-dashboard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543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11543323"/>
                  <wp:effectExtent b="0" l="0" r="0" t="0"/>
                  <wp:docPr descr="Mobile briefs" title="" id="54" name="Picture"/>
                  <a:graphic>
                    <a:graphicData uri="http://schemas.openxmlformats.org/drawingml/2006/picture">
                      <pic:pic>
                        <pic:nvPicPr>
                          <pic:cNvPr descr="screenshots/11-mobile-briefs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543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t xml:space="preserve">Every route reports zero horizontal overflow at 390 px width, verified via headless Chrome at 375–390 px and 1440 px desktop.</w:t>
      </w:r>
    </w:p>
    <w:p>
      <w:r>
        <w:pict>
          <v:rect style="width:0;height:1.5pt" o:hralign="center" o:hrstd="t" o:hr="t"/>
        </w:pict>
      </w:r>
    </w:p>
    <w:bookmarkEnd w:id="56"/>
    <w:bookmarkStart w:id="57" w:name="brand-methodology-guarantees"/>
    <w:p>
      <w:pPr>
        <w:pStyle w:val="Heading2"/>
      </w:pPr>
      <w:r>
        <w:t xml:space="preserve">6. Brand &amp; methodology guarantees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Shell Pecten</w:t>
      </w:r>
      <w:r>
        <w:t xml:space="preserve"> </w:t>
      </w:r>
      <w:r>
        <w:t xml:space="preserve">anywhere in the product (RFI clause 3.d).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Illustrative-prototype disclaimer</w:t>
      </w:r>
      <w:r>
        <w:t xml:space="preserve"> </w:t>
      </w:r>
      <w:r>
        <w:t xml:space="preserve">on a footer chip persistent across all pages:</w:t>
      </w:r>
      <w:r>
        <w:t xml:space="preserve"> </w:t>
      </w:r>
      <w:r>
        <w:rPr>
          <w:i/>
          <w:iCs/>
        </w:rPr>
        <w:t xml:space="preserve">“Signals are real-event-grounded but not vendor-validated. No Shell-specific operational data.”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Named expert sign-off</w:t>
      </w:r>
      <w:r>
        <w:t xml:space="preserve"> </w:t>
      </w:r>
      <w:r>
        <w:t xml:space="preserve">on every brief (Victor Adekanmbi, MD, PhD — Programme Lead, Health Horizon Scanning · Fangjian Guo, MD, PhD — Lead Methodologist, Evidence Synthesis).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Triangulation discipline</w:t>
      </w:r>
      <w:r>
        <w:t xml:space="preserve"> </w:t>
      </w:r>
      <w:r>
        <w:t xml:space="preserve">— no signal escalates on a single source. Each signal in the prototype carries 3–8 source citations across peer-reviewed literature, WHO/ECDC alerts, regulatory dockets, industry bodies (IOGP/IPIECA), environmental data, and social listening.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Confidence ratings</w:t>
      </w:r>
      <w:r>
        <w:t xml:space="preserve"> </w:t>
      </w:r>
      <w:r>
        <w:t xml:space="preserve">(low / moderate / high) reflect inclusion-criteria fit, study-design strength, and source corroboration — exposed everywhere a signal is referenced.</w:t>
      </w:r>
    </w:p>
    <w:p>
      <w:r>
        <w:pict>
          <v:rect style="width:0;height:1.5pt" o:hralign="center" o:hrstd="t" o:hr="t"/>
        </w:pict>
      </w:r>
    </w:p>
    <w:bookmarkEnd w:id="57"/>
    <w:bookmarkStart w:id="58" w:name="how-to-run-locally"/>
    <w:p>
      <w:pPr>
        <w:pStyle w:val="Heading2"/>
      </w:pPr>
      <w:r>
        <w:t xml:space="preserve">7. How to run locally</w:t>
      </w:r>
    </w:p>
    <w:p>
      <w:pPr>
        <w:pStyle w:val="SourceCode"/>
      </w:pPr>
      <w:r>
        <w:rPr>
          <w:rStyle w:val="VerbatimChar"/>
        </w:rPr>
        <w:t xml:space="preserve">git clone https://github.com/olaTechie/health-horizon-dashboard-mockup.git</w:t>
      </w:r>
      <w:r>
        <w:br/>
      </w:r>
      <w:r>
        <w:rPr>
          <w:rStyle w:val="VerbatimChar"/>
        </w:rPr>
        <w:t xml:space="preserve">cd health-horizon-dashboard-mockup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run generate:data       # rebuilds public/data/*.json from the seed</w:t>
      </w:r>
      <w:r>
        <w:br/>
      </w:r>
      <w:r>
        <w:rPr>
          <w:rStyle w:val="VerbatimChar"/>
        </w:rPr>
        <w:t xml:space="preserve">npm run generate:briefs     # regenerates the four PDF briefs from the seed</w:t>
      </w:r>
      <w:r>
        <w:br/>
      </w:r>
      <w:r>
        <w:rPr>
          <w:rStyle w:val="VerbatimChar"/>
        </w:rPr>
        <w:t xml:space="preserve">npm run dev                  # → http://localhost:3000</w:t>
      </w:r>
    </w:p>
    <w:p>
      <w:pPr>
        <w:pStyle w:val="FirstParagraph"/>
      </w:pPr>
      <w:r>
        <w:t xml:space="preserve">Quality gates:</w:t>
      </w:r>
    </w:p>
    <w:p>
      <w:pPr>
        <w:pStyle w:val="SourceCode"/>
      </w:pPr>
      <w:r>
        <w:rPr>
          <w:rStyle w:val="VerbatimChar"/>
        </w:rPr>
        <w:t xml:space="preserve">npm run typecheck   # tsc --noEmit</w:t>
      </w:r>
      <w:r>
        <w:br/>
      </w:r>
      <w:r>
        <w:rPr>
          <w:rStyle w:val="VerbatimChar"/>
        </w:rPr>
        <w:t xml:space="preserve">npm run lint        # ESLint</w:t>
      </w:r>
      <w:r>
        <w:br/>
      </w:r>
      <w:r>
        <w:rPr>
          <w:rStyle w:val="VerbatimChar"/>
        </w:rPr>
        <w:t xml:space="preserve">npm test            # Vitest (data layer + filter logic)</w:t>
      </w:r>
      <w:r>
        <w:br/>
      </w:r>
      <w:r>
        <w:rPr>
          <w:rStyle w:val="VerbatimChar"/>
        </w:rPr>
        <w:t xml:space="preserve">npm run build       # Next.js static export → out/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hyperlink" Id="rId10" Target="https://github.com/olaTechie/health-horizon-dashboard-mockup" TargetMode="External" /><Relationship Type="http://schemas.openxmlformats.org/officeDocument/2006/relationships/hyperlink" Id="rId9" Target="https://olatechie.github.io/health-horizon-dashboard-mocku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olaTechie/health-horizon-dashboard-mockup" TargetMode="External" /><Relationship Type="http://schemas.openxmlformats.org/officeDocument/2006/relationships/hyperlink" Id="rId9" Target="https://olatechie.github.io/health-horizon-dashboard-mocku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2026-05-01T16:21:59Z</dcterms:created>
  <dcterms:modified xsi:type="dcterms:W3CDTF">2026-05-01T16:21:59Z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