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56"/>
        </w:rPr>
        <w:t>BIZDATA</w:t>
      </w:r>
    </w:p>
    <w:p>
      <w:pPr>
        <w:jc w:val="center"/>
      </w:pPr>
      <w:r>
        <w:rPr>
          <w:color w:val="64748B"/>
          <w:sz w:val="30"/>
        </w:rPr>
        <w:t>Taxpayer Integration API</w:t>
      </w:r>
    </w:p>
    <w:p>
      <w:pPr>
        <w:jc w:val="center"/>
      </w:pPr>
      <w:r>
        <w:rPr>
          <w:b/>
          <w:color w:val="1E293B"/>
          <w:sz w:val="24"/>
        </w:rPr>
        <w:t>Reference for the partner-platform team</w:t>
      </w:r>
    </w:p>
    <w:p/>
    <w:p>
      <w:r>
        <w:rPr>
          <w:b/>
          <w:color w:val="0F766E"/>
          <w:sz w:val="32"/>
        </w:rPr>
        <w:t>Overview</w:t>
      </w:r>
    </w:p>
    <w:p>
      <w:r>
        <w:rPr>
          <w:i w:val="0"/>
        </w:rPr>
        <w:t>BIZDATA is the assessment engine. A taxpayer never logs into BIZDATA directly — they interact through their own existing platform (the tax authority’s portal or app), which calls this API on their behalf. BIZDATA sends the demand notice; your platform presents it, and relays the taxpayer’s objection, documents, and outcome checks.</w:t>
      </w:r>
    </w:p>
    <w:p>
      <w:r>
        <w:rPr>
          <w:b/>
          <w:color w:val="0F766E"/>
          <w:sz w:val="32"/>
        </w:rPr>
        <w:t>Authentication — two layers</w:t>
      </w:r>
    </w:p>
    <w:p>
      <w:r>
        <w:rPr>
          <w:i w:val="0"/>
        </w:rPr>
        <w:t>Every call carries two headers:</w:t>
      </w:r>
    </w:p>
    <w:p>
      <w:r>
        <w:rPr>
          <w:b/>
          <w:color w:val="1E293B"/>
          <w:sz w:val="26"/>
        </w:rPr>
        <w:t>1. Partner API key  ·  x-api-key</w:t>
      </w:r>
    </w:p>
    <w:p>
      <w:r>
        <w:rPr>
          <w:i w:val="0"/>
        </w:rPr>
        <w:t>Authenticates your platform (machine-to-machine). A BIZDATA administrator mints a key for you in Settings → Integration API keys; the raw key is shown once. Send it on every request.</w:t>
      </w:r>
    </w:p>
    <w:p>
      <w:r>
        <w:rPr>
          <w:b/>
          <w:color w:val="1E293B"/>
          <w:sz w:val="26"/>
        </w:rPr>
        <w:t>2. Case access token  ·  x-case-token</w:t>
      </w:r>
    </w:p>
    <w:p>
      <w:r>
        <w:rPr>
          <w:i w:val="0"/>
        </w:rPr>
        <w:t>Scopes a request to exactly one case. When BIZDATA issues a demand notice, it generates a token (prefix cat_) and includes it in the notice payload BIZDATA sends you. Store it against that taxpayer/case and present it on every taxpayer action. A token unlocks its own case only — you cannot enumerate others.</w:t>
      </w:r>
    </w:p>
    <w:p>
      <w:pPr>
        <w:shd w:val="clear" w:fill="F4F5F7"/>
        <w:spacing w:before="100" w:after="100"/>
        <w:ind w:left="144" w:right="144"/>
      </w:pPr>
      <w:r>
        <w:rPr>
          <w:rFonts w:ascii="Consolas" w:hAnsi="Consolas"/>
          <w:color w:val="1E293B"/>
          <w:sz w:val="18"/>
          <w:rFonts w:ascii="Consolas" w:hAnsi="Consolas"/>
        </w:rPr>
        <w:t>x-api-key: biz_xxxxxxxxxxxxxxxxxxxxxxxxxxxxxxxx</w:t>
        <w:br/>
      </w:r>
      <w:r>
        <w:rPr>
          <w:rFonts w:ascii="Consolas" w:hAnsi="Consolas"/>
          <w:color w:val="1E293B"/>
          <w:sz w:val="18"/>
          <w:rFonts w:ascii="Consolas" w:hAnsi="Consolas"/>
        </w:rPr>
        <w:t>x-case-token: cat_xxxxxxxxxxxxxxxxxxxxxxxxxxxxxxxx</w:t>
      </w:r>
    </w:p>
    <w:p>
      <w:r>
        <w:br w:type="page"/>
      </w:r>
    </w:p>
    <w:p>
      <w:r>
        <w:rPr>
          <w:b/>
          <w:color w:val="0F766E"/>
          <w:sz w:val="32"/>
        </w:rPr>
        <w:t>Endpoints</w:t>
      </w:r>
    </w:p>
    <w:p>
      <w:r>
        <w:rPr>
          <w:i/>
          <w:color w:val="64748B"/>
        </w:rPr>
        <w:t>Base path: /api/integration/taxpayer</w:t>
      </w:r>
    </w:p>
    <w:p>
      <w:r>
        <w:rPr>
          <w:b/>
          <w:color w:val="1E293B"/>
          <w:sz w:val="26"/>
        </w:rPr>
        <w:t>GET /notice — fetch the demand notice</w:t>
      </w:r>
    </w:p>
    <w:p>
      <w:pPr>
        <w:shd w:val="clear" w:fill="F4F5F7"/>
        <w:spacing w:before="100" w:after="100"/>
        <w:ind w:left="144" w:right="144"/>
      </w:pPr>
      <w:r>
        <w:rPr>
          <w:rFonts w:ascii="Consolas" w:hAnsi="Consolas"/>
          <w:color w:val="1E293B"/>
          <w:sz w:val="18"/>
          <w:rFonts w:ascii="Consolas" w:hAnsi="Consolas"/>
        </w:rPr>
        <w:t>GET /api/integration/taxpayer/notice</w:t>
        <w:br/>
      </w:r>
      <w:r>
        <w:rPr>
          <w:rFonts w:ascii="Consolas" w:hAnsi="Consolas"/>
          <w:color w:val="1E293B"/>
          <w:sz w:val="18"/>
          <w:rFonts w:ascii="Consolas" w:hAnsi="Consolas"/>
        </w:rPr>
        <w:t>Headers: x-api-key, x-case-token</w:t>
        <w:br/>
      </w:r>
      <w:r>
        <w:rPr>
          <w:rFonts w:ascii="Consolas" w:hAnsi="Consolas"/>
          <w:color w:val="1E293B"/>
          <w:sz w:val="18"/>
          <w:rFonts w:ascii="Consolas" w:hAnsi="Consolas"/>
        </w:rPr>
        <w:br/>
      </w:r>
      <w:r>
        <w:rPr>
          <w:rFonts w:ascii="Consolas" w:hAnsi="Consolas"/>
          <w:color w:val="1E293B"/>
          <w:sz w:val="18"/>
          <w:rFonts w:ascii="Consolas" w:hAnsi="Consolas"/>
        </w:rPr>
        <w:t>200 →</w:t>
        <w:br/>
      </w:r>
      <w:r>
        <w:rPr>
          <w:rFonts w:ascii="Consolas" w:hAnsi="Consolas"/>
          <w:color w:val="1E293B"/>
          <w:sz w:val="18"/>
          <w:rFonts w:ascii="Consolas" w:hAnsi="Consolas"/>
        </w:rPr>
        <w:t>{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"noticeRef": "DN-2026-9FAF08",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"taxpayer": "FARIN GILASHI ENTERPRISES",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"year": 2026,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"status": "NOTICE_ISSUED",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"observedIncome": "45359359782.98",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"declaredIncome": "0.00",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"discrepancy": "45359359782.98",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"assessedTax": "13607807934.89",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"penalty": "1360780793.49",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"demandTotal": "14968588728.38",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"issuedAt": "2026-07-05T...",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"objectionDueAt": "2026-08-04T...",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"canObject": true</w:t>
        <w:br/>
      </w:r>
      <w:r>
        <w:rPr>
          <w:rFonts w:ascii="Consolas" w:hAnsi="Consolas"/>
          <w:color w:val="1E293B"/>
          <w:sz w:val="18"/>
          <w:rFonts w:ascii="Consolas" w:hAnsi="Consolas"/>
        </w:rPr>
        <w:t>}</w:t>
      </w:r>
    </w:p>
    <w:p>
      <w:r>
        <w:rPr>
          <w:b/>
          <w:color w:val="1E293B"/>
          <w:sz w:val="26"/>
        </w:rPr>
        <w:t>POST /objection — file an objection</w:t>
      </w:r>
    </w:p>
    <w:p>
      <w:r>
        <w:rPr>
          <w:i w:val="0"/>
        </w:rPr>
        <w:t>Allowed only while status is NOTICE_ISSUED and the objection window is open. Moves the case to OBJECTION and starts the statutory authority-response clock (§41(6)).</w:t>
      </w:r>
    </w:p>
    <w:p>
      <w:pPr>
        <w:shd w:val="clear" w:fill="F4F5F7"/>
        <w:spacing w:before="100" w:after="100"/>
        <w:ind w:left="144" w:right="144"/>
      </w:pPr>
      <w:r>
        <w:rPr>
          <w:rFonts w:ascii="Consolas" w:hAnsi="Consolas"/>
          <w:color w:val="1E293B"/>
          <w:sz w:val="18"/>
          <w:rFonts w:ascii="Consolas" w:hAnsi="Consolas"/>
        </w:rPr>
        <w:t>POST /api/integration/taxpayer/objection</w:t>
        <w:br/>
      </w:r>
      <w:r>
        <w:rPr>
          <w:rFonts w:ascii="Consolas" w:hAnsi="Consolas"/>
          <w:color w:val="1E293B"/>
          <w:sz w:val="18"/>
          <w:rFonts w:ascii="Consolas" w:hAnsi="Consolas"/>
        </w:rPr>
        <w:t>Headers: x-api-key, x-case-token</w:t>
        <w:br/>
      </w:r>
      <w:r>
        <w:rPr>
          <w:rFonts w:ascii="Consolas" w:hAnsi="Consolas"/>
          <w:color w:val="1E293B"/>
          <w:sz w:val="18"/>
          <w:rFonts w:ascii="Consolas" w:hAnsi="Consolas"/>
        </w:rPr>
        <w:t>Body: { "grounds": "The observed inflow includes loan disbursements, not income." }</w:t>
        <w:br/>
      </w:r>
      <w:r>
        <w:rPr>
          <w:rFonts w:ascii="Consolas" w:hAnsi="Consolas"/>
          <w:color w:val="1E293B"/>
          <w:sz w:val="18"/>
          <w:rFonts w:ascii="Consolas" w:hAnsi="Consolas"/>
        </w:rPr>
        <w:br/>
      </w:r>
      <w:r>
        <w:rPr>
          <w:rFonts w:ascii="Consolas" w:hAnsi="Consolas"/>
          <w:color w:val="1E293B"/>
          <w:sz w:val="18"/>
          <w:rFonts w:ascii="Consolas" w:hAnsi="Consolas"/>
        </w:rPr>
        <w:t>200 →</w:t>
        <w:br/>
      </w:r>
      <w:r>
        <w:rPr>
          <w:rFonts w:ascii="Consolas" w:hAnsi="Consolas"/>
          <w:color w:val="1E293B"/>
          <w:sz w:val="18"/>
          <w:rFonts w:ascii="Consolas" w:hAnsi="Consolas"/>
        </w:rPr>
        <w:t>{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"status": "OBJECTION",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"authorityResponseDueAt": "2026-10-03T...",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"message": "Objection received. The authority will respond within the statutory window."</w:t>
        <w:br/>
      </w:r>
      <w:r>
        <w:rPr>
          <w:rFonts w:ascii="Consolas" w:hAnsi="Consolas"/>
          <w:color w:val="1E293B"/>
          <w:sz w:val="18"/>
          <w:rFonts w:ascii="Consolas" w:hAnsi="Consolas"/>
        </w:rPr>
        <w:t>}</w:t>
      </w:r>
    </w:p>
    <w:p>
      <w:r>
        <w:rPr>
          <w:b/>
          <w:color w:val="1E293B"/>
          <w:sz w:val="26"/>
        </w:rPr>
        <w:t>POST /document — upload supporting evidence</w:t>
      </w:r>
    </w:p>
    <w:p>
      <w:r>
        <w:rPr>
          <w:i w:val="0"/>
        </w:rPr>
        <w:t>Multipart file (text/CSV read directly) OR pasted OCR text for scans/PDFs. The document is run through BIZDATA’s Document Intelligence: it extracts the declared figures and reconciles them against observed inflow.</w:t>
      </w:r>
    </w:p>
    <w:p>
      <w:pPr>
        <w:shd w:val="clear" w:fill="F4F5F7"/>
        <w:spacing w:before="100" w:after="100"/>
        <w:ind w:left="144" w:right="144"/>
      </w:pPr>
      <w:r>
        <w:rPr>
          <w:rFonts w:ascii="Consolas" w:hAnsi="Consolas"/>
          <w:color w:val="1E293B"/>
          <w:sz w:val="18"/>
          <w:rFonts w:ascii="Consolas" w:hAnsi="Consolas"/>
        </w:rPr>
        <w:t>POST /api/integration/taxpayer/document</w:t>
        <w:br/>
      </w:r>
      <w:r>
        <w:rPr>
          <w:rFonts w:ascii="Consolas" w:hAnsi="Consolas"/>
          <w:color w:val="1E293B"/>
          <w:sz w:val="18"/>
          <w:rFonts w:ascii="Consolas" w:hAnsi="Consolas"/>
        </w:rPr>
        <w:t>Headers: x-api-key, x-case-token</w:t>
        <w:br/>
      </w:r>
      <w:r>
        <w:rPr>
          <w:rFonts w:ascii="Consolas" w:hAnsi="Consolas"/>
          <w:color w:val="1E293B"/>
          <w:sz w:val="18"/>
          <w:rFonts w:ascii="Consolas" w:hAnsi="Consolas"/>
        </w:rPr>
        <w:t>Content-Type: multipart/form-data</w:t>
        <w:br/>
      </w:r>
      <w:r>
        <w:rPr>
          <w:rFonts w:ascii="Consolas" w:hAnsi="Consolas"/>
          <w:color w:val="1E293B"/>
          <w:sz w:val="18"/>
          <w:rFonts w:ascii="Consolas" w:hAnsi="Consolas"/>
        </w:rPr>
        <w:t>Fields: file=&lt;the document&gt;   (or)   pastedText="Assessable Income: N3,000,000,000 ..."</w:t>
        <w:br/>
      </w:r>
      <w:r>
        <w:rPr>
          <w:rFonts w:ascii="Consolas" w:hAnsi="Consolas"/>
          <w:color w:val="1E293B"/>
          <w:sz w:val="18"/>
          <w:rFonts w:ascii="Consolas" w:hAnsi="Consolas"/>
        </w:rPr>
        <w:br/>
      </w:r>
      <w:r>
        <w:rPr>
          <w:rFonts w:ascii="Consolas" w:hAnsi="Consolas"/>
          <w:color w:val="1E293B"/>
          <w:sz w:val="18"/>
          <w:rFonts w:ascii="Consolas" w:hAnsi="Consolas"/>
        </w:rPr>
        <w:t>200 →</w:t>
        <w:br/>
      </w:r>
      <w:r>
        <w:rPr>
          <w:rFonts w:ascii="Consolas" w:hAnsi="Consolas"/>
          <w:color w:val="1E293B"/>
          <w:sz w:val="18"/>
          <w:rFonts w:ascii="Consolas" w:hAnsi="Consolas"/>
        </w:rPr>
        <w:t>{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"received": true,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"fileName": "statement.txt",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"reconciliation": { "consistent": false, "note": "Declared income ... 94.5% below bank-reported inflow ..." }</w:t>
        <w:br/>
      </w:r>
      <w:r>
        <w:rPr>
          <w:rFonts w:ascii="Consolas" w:hAnsi="Consolas"/>
          <w:color w:val="1E293B"/>
          <w:sz w:val="18"/>
          <w:rFonts w:ascii="Consolas" w:hAnsi="Consolas"/>
        </w:rPr>
        <w:t>}</w:t>
      </w:r>
    </w:p>
    <w:p>
      <w:r>
        <w:rPr>
          <w:b/>
          <w:color w:val="1E293B"/>
          <w:sz w:val="26"/>
        </w:rPr>
        <w:t>GET /outcome — check the case outcome</w:t>
      </w:r>
    </w:p>
    <w:p>
      <w:pPr>
        <w:shd w:val="clear" w:fill="F4F5F7"/>
        <w:spacing w:before="100" w:after="100"/>
        <w:ind w:left="144" w:right="144"/>
      </w:pPr>
      <w:r>
        <w:rPr>
          <w:rFonts w:ascii="Consolas" w:hAnsi="Consolas"/>
          <w:color w:val="1E293B"/>
          <w:sz w:val="18"/>
          <w:rFonts w:ascii="Consolas" w:hAnsi="Consolas"/>
        </w:rPr>
        <w:t>GET /api/integration/taxpayer/outcome</w:t>
        <w:br/>
      </w:r>
      <w:r>
        <w:rPr>
          <w:rFonts w:ascii="Consolas" w:hAnsi="Consolas"/>
          <w:color w:val="1E293B"/>
          <w:sz w:val="18"/>
          <w:rFonts w:ascii="Consolas" w:hAnsi="Consolas"/>
        </w:rPr>
        <w:t>Headers: x-api-key, x-case-token</w:t>
        <w:br/>
      </w:r>
      <w:r>
        <w:rPr>
          <w:rFonts w:ascii="Consolas" w:hAnsi="Consolas"/>
          <w:color w:val="1E293B"/>
          <w:sz w:val="18"/>
          <w:rFonts w:ascii="Consolas" w:hAnsi="Consolas"/>
        </w:rPr>
        <w:br/>
      </w:r>
      <w:r>
        <w:rPr>
          <w:rFonts w:ascii="Consolas" w:hAnsi="Consolas"/>
          <w:color w:val="1E293B"/>
          <w:sz w:val="18"/>
          <w:rFonts w:ascii="Consolas" w:hAnsi="Consolas"/>
        </w:rPr>
        <w:t>200 →</w:t>
        <w:br/>
      </w:r>
      <w:r>
        <w:rPr>
          <w:rFonts w:ascii="Consolas" w:hAnsi="Consolas"/>
          <w:color w:val="1E293B"/>
          <w:sz w:val="18"/>
          <w:rFonts w:ascii="Consolas" w:hAnsi="Consolas"/>
        </w:rPr>
        <w:t>{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"noticeRef": "DN-2026-9FAF08",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"status": "OBJECTION",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"outcome": "Under review by the authority.",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"objectionFiledAt": "2026-07-05T...",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"authorityResponseDueAt": "2026-10-03T...",</w:t>
        <w:br/>
      </w:r>
      <w:r>
        <w:rPr>
          <w:rFonts w:ascii="Consolas" w:hAnsi="Consolas"/>
          <w:color w:val="1E293B"/>
          <w:sz w:val="18"/>
          <w:rFonts w:ascii="Consolas" w:hAnsi="Consolas"/>
        </w:rPr>
        <w:t xml:space="preserve">  "resolvedAt": null</w:t>
        <w:br/>
      </w:r>
      <w:r>
        <w:rPr>
          <w:rFonts w:ascii="Consolas" w:hAnsi="Consolas"/>
          <w:color w:val="1E293B"/>
          <w:sz w:val="18"/>
          <w:rFonts w:ascii="Consolas" w:hAnsi="Consolas"/>
        </w:rPr>
        <w:t>}</w:t>
      </w:r>
    </w:p>
    <w:p>
      <w:r>
        <w:br w:type="page"/>
      </w:r>
    </w:p>
    <w:p>
      <w:r>
        <w:rPr>
          <w:b/>
          <w:color w:val="0F766E"/>
          <w:sz w:val="32"/>
        </w:rPr>
        <w:t>Errors</w:t>
      </w:r>
    </w:p>
    <w:p>
      <w:r>
        <w:rPr>
          <w:i w:val="0"/>
        </w:rPr>
        <w:t>Standard HTTP status codes with a JSON { message } body:</w:t>
      </w:r>
    </w:p>
    <w:p>
      <w:pPr>
        <w:pStyle w:val="ListBullet"/>
      </w:pPr>
      <w:r>
        <w:t>401 — missing/invalid x-api-key, or invalid/absent x-case-token.</w:t>
      </w:r>
    </w:p>
    <w:p>
      <w:pPr>
        <w:pStyle w:val="ListBullet"/>
      </w:pPr>
      <w:r>
        <w:t>403 — the case has no demand notice issued yet.</w:t>
      </w:r>
    </w:p>
    <w:p>
      <w:pPr>
        <w:pStyle w:val="ListBullet"/>
      </w:pPr>
      <w:r>
        <w:t>400 — objection window closed, wrong status, or missing grounds/document.</w:t>
      </w:r>
    </w:p>
    <w:p>
      <w:r>
        <w:rPr>
          <w:b/>
          <w:color w:val="0F766E"/>
          <w:sz w:val="32"/>
        </w:rPr>
        <w:t>Typical flow</w:t>
      </w:r>
    </w:p>
    <w:p>
      <w:pPr>
        <w:pStyle w:val="ListNumber"/>
      </w:pPr>
      <w:r>
        <w:t>BIZDATA issues a demand notice → sends you the notice payload including its case token.</w:t>
      </w:r>
    </w:p>
    <w:p>
      <w:pPr>
        <w:pStyle w:val="ListNumber"/>
      </w:pPr>
      <w:r>
        <w:t>Your platform stores the token and shows the taxpayer their demand (or calls GET /notice to refresh).</w:t>
      </w:r>
    </w:p>
    <w:p>
      <w:pPr>
        <w:pStyle w:val="ListNumber"/>
      </w:pPr>
      <w:r>
        <w:t>Taxpayer uploads evidence → POST /document (reconciled automatically).</w:t>
      </w:r>
    </w:p>
    <w:p>
      <w:pPr>
        <w:pStyle w:val="ListNumber"/>
      </w:pPr>
      <w:r>
        <w:t>Taxpayer objects → POST /objection (case moves to OBJECTION; §41(6) clock starts).</w:t>
      </w:r>
    </w:p>
    <w:p>
      <w:pPr>
        <w:pStyle w:val="ListNumber"/>
      </w:pPr>
      <w:r>
        <w:t>Your platform polls GET /outcome until the authority confirms or dismisses.</w:t>
      </w:r>
    </w:p>
    <w:p>
      <w:r>
        <w:rPr>
          <w:b/>
          <w:color w:val="0F766E"/>
          <w:sz w:val="32"/>
        </w:rPr>
        <w:t>Security notes</w:t>
      </w:r>
    </w:p>
    <w:p>
      <w:pPr>
        <w:pStyle w:val="ListBullet"/>
      </w:pPr>
      <w:r>
        <w:t>Keys are stored hashed (SHA-256); the raw key is shown once — store it securely on your side.</w:t>
      </w:r>
    </w:p>
    <w:p>
      <w:pPr>
        <w:pStyle w:val="ListBullet"/>
      </w:pPr>
      <w:r>
        <w:t>A case token scopes to one case; it cannot read or act on any other taxpayer.</w:t>
      </w:r>
    </w:p>
    <w:p>
      <w:pPr>
        <w:pStyle w:val="ListBullet"/>
      </w:pPr>
      <w:r>
        <w:t>Every partner action is written to BIZDATA’s tamper-evident audit log, attributed to your partner name.</w:t>
      </w:r>
    </w:p>
    <w:p>
      <w:pPr>
        <w:pStyle w:val="ListBullet"/>
      </w:pPr>
      <w:r>
        <w:t>Serve all traffic over TLS. Rotate keys via Settings; a revoked key stops working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