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6817" w14:textId="77A5DBF2" w:rsidR="00D21B22" w:rsidRDefault="00D21B22" w:rsidP="00D21B22">
      <w:pPr>
        <w:spacing w:after="120"/>
        <w:jc w:val="both"/>
        <w:rPr>
          <w:rFonts w:ascii="Century Gothic" w:hAnsi="Century Gothic"/>
        </w:rPr>
      </w:pPr>
      <w:r>
        <w:rPr>
          <w:noProof/>
        </w:rPr>
        <w:drawing>
          <wp:inline distT="0" distB="0" distL="0" distR="0" wp14:anchorId="30F3CE06" wp14:editId="2E8EC507">
            <wp:extent cx="5486400" cy="643890"/>
            <wp:effectExtent l="0" t="0" r="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643890"/>
                    </a:xfrm>
                    <a:prstGeom prst="rect">
                      <a:avLst/>
                    </a:prstGeom>
                  </pic:spPr>
                </pic:pic>
              </a:graphicData>
            </a:graphic>
          </wp:inline>
        </w:drawing>
      </w:r>
    </w:p>
    <w:p w14:paraId="029CF730" w14:textId="77777777" w:rsidR="00D21B22" w:rsidRDefault="00D21B22" w:rsidP="00D21B22">
      <w:pPr>
        <w:spacing w:after="120"/>
        <w:jc w:val="both"/>
        <w:rPr>
          <w:rFonts w:ascii="Century Gothic" w:hAnsi="Century Gothic"/>
        </w:rPr>
      </w:pPr>
    </w:p>
    <w:p w14:paraId="50FF1E7F" w14:textId="28C7588E" w:rsidR="00EA2242" w:rsidRPr="00D21B22" w:rsidRDefault="00000000" w:rsidP="00D21B22">
      <w:pPr>
        <w:spacing w:after="120"/>
        <w:jc w:val="both"/>
        <w:rPr>
          <w:rFonts w:ascii="Century Gothic" w:hAnsi="Century Gothic"/>
        </w:rPr>
      </w:pPr>
      <w:r w:rsidRPr="00D21B22">
        <w:rPr>
          <w:rFonts w:ascii="Century Gothic" w:hAnsi="Century Gothic"/>
        </w:rPr>
        <w:t>Ref: BIZPHERE/OGSIRS/BIZDATA/2026/001</w:t>
      </w:r>
    </w:p>
    <w:p w14:paraId="0C27866C" w14:textId="77777777" w:rsidR="00D21B22" w:rsidRDefault="00D21B22" w:rsidP="00D21B22">
      <w:pPr>
        <w:spacing w:after="120"/>
        <w:jc w:val="both"/>
        <w:rPr>
          <w:rFonts w:ascii="Century Gothic" w:hAnsi="Century Gothic"/>
        </w:rPr>
      </w:pPr>
    </w:p>
    <w:p w14:paraId="6641BC49" w14:textId="00DC7CF9" w:rsidR="00EA2242" w:rsidRPr="00D21B22" w:rsidRDefault="00000000" w:rsidP="00D21B22">
      <w:pPr>
        <w:spacing w:after="120"/>
        <w:jc w:val="both"/>
        <w:rPr>
          <w:rFonts w:ascii="Century Gothic" w:hAnsi="Century Gothic"/>
        </w:rPr>
      </w:pPr>
      <w:r w:rsidRPr="00D21B22">
        <w:rPr>
          <w:rFonts w:ascii="Century Gothic" w:hAnsi="Century Gothic"/>
        </w:rPr>
        <w:t xml:space="preserve">Date: 2 </w:t>
      </w:r>
      <w:r w:rsidR="002D6F36">
        <w:rPr>
          <w:rFonts w:ascii="Century Gothic" w:hAnsi="Century Gothic"/>
        </w:rPr>
        <w:t>July</w:t>
      </w:r>
      <w:r w:rsidRPr="00D21B22">
        <w:rPr>
          <w:rFonts w:ascii="Century Gothic" w:hAnsi="Century Gothic"/>
        </w:rPr>
        <w:t xml:space="preserve"> 2026</w:t>
      </w:r>
    </w:p>
    <w:p w14:paraId="02E127AC" w14:textId="77777777" w:rsidR="00EA2242" w:rsidRPr="00D21B22" w:rsidRDefault="00EA2242" w:rsidP="00D21B22">
      <w:pPr>
        <w:spacing w:after="120"/>
        <w:jc w:val="both"/>
        <w:rPr>
          <w:rFonts w:ascii="Century Gothic" w:hAnsi="Century Gothic"/>
        </w:rPr>
      </w:pPr>
    </w:p>
    <w:p w14:paraId="12BB9B39" w14:textId="77777777" w:rsidR="00EA2242" w:rsidRPr="00D21B22" w:rsidRDefault="00000000" w:rsidP="00D21B22">
      <w:pPr>
        <w:spacing w:after="120"/>
        <w:jc w:val="both"/>
        <w:rPr>
          <w:rFonts w:ascii="Century Gothic" w:hAnsi="Century Gothic"/>
        </w:rPr>
      </w:pPr>
      <w:r w:rsidRPr="00D21B22">
        <w:rPr>
          <w:rFonts w:ascii="Century Gothic" w:hAnsi="Century Gothic"/>
          <w:b/>
        </w:rPr>
        <w:t>The Executive Chairman,</w:t>
      </w:r>
    </w:p>
    <w:p w14:paraId="423E93DB" w14:textId="77777777" w:rsidR="00EA2242" w:rsidRPr="00D21B22" w:rsidRDefault="00000000" w:rsidP="00D21B22">
      <w:pPr>
        <w:spacing w:after="120"/>
        <w:jc w:val="both"/>
        <w:rPr>
          <w:rFonts w:ascii="Century Gothic" w:hAnsi="Century Gothic"/>
        </w:rPr>
      </w:pPr>
      <w:r w:rsidRPr="00D21B22">
        <w:rPr>
          <w:rFonts w:ascii="Century Gothic" w:hAnsi="Century Gothic"/>
        </w:rPr>
        <w:t>Ogun State Internal Revenue Service,</w:t>
      </w:r>
    </w:p>
    <w:p w14:paraId="4EF8747B" w14:textId="77777777" w:rsidR="00D21B22" w:rsidRPr="00D21B22" w:rsidRDefault="00D21B22" w:rsidP="00D21B22">
      <w:pPr>
        <w:spacing w:after="120"/>
        <w:jc w:val="both"/>
        <w:rPr>
          <w:rFonts w:ascii="Century Gothic" w:hAnsi="Century Gothic"/>
        </w:rPr>
      </w:pPr>
      <w:r w:rsidRPr="00D21B22">
        <w:rPr>
          <w:rFonts w:ascii="Century Gothic" w:hAnsi="Century Gothic"/>
        </w:rPr>
        <w:t xml:space="preserve">Headquaters Complex, Oke Mosan, </w:t>
      </w:r>
    </w:p>
    <w:p w14:paraId="222B6258" w14:textId="0C05A0DA" w:rsidR="00EA2242" w:rsidRPr="00D21B22" w:rsidRDefault="00D21B22" w:rsidP="00D21B22">
      <w:pPr>
        <w:spacing w:after="120"/>
        <w:jc w:val="both"/>
        <w:rPr>
          <w:rFonts w:ascii="Century Gothic" w:hAnsi="Century Gothic"/>
        </w:rPr>
      </w:pPr>
      <w:r w:rsidRPr="00D21B22">
        <w:rPr>
          <w:rFonts w:ascii="Century Gothic" w:hAnsi="Century Gothic"/>
        </w:rPr>
        <w:t>Abeokuta 110118, Ogun State</w:t>
      </w:r>
    </w:p>
    <w:p w14:paraId="75689412" w14:textId="036B4AC2" w:rsidR="00EA2242" w:rsidRPr="00D21B22" w:rsidRDefault="00000000" w:rsidP="00D21B22">
      <w:pPr>
        <w:spacing w:after="120"/>
        <w:jc w:val="both"/>
        <w:rPr>
          <w:rFonts w:ascii="Century Gothic" w:hAnsi="Century Gothic"/>
        </w:rPr>
      </w:pPr>
      <w:r w:rsidRPr="00D21B22">
        <w:rPr>
          <w:rFonts w:ascii="Century Gothic" w:hAnsi="Century Gothic"/>
        </w:rPr>
        <w:t>Dear Sir</w:t>
      </w:r>
      <w:r w:rsidR="00D21B22">
        <w:rPr>
          <w:rFonts w:ascii="Century Gothic" w:hAnsi="Century Gothic"/>
        </w:rPr>
        <w:t>/Madam</w:t>
      </w:r>
      <w:r w:rsidRPr="00D21B22">
        <w:rPr>
          <w:rFonts w:ascii="Century Gothic" w:hAnsi="Century Gothic"/>
        </w:rPr>
        <w:t>,</w:t>
      </w:r>
    </w:p>
    <w:p w14:paraId="48056908" w14:textId="77777777" w:rsidR="00EA2242" w:rsidRPr="00D21B22" w:rsidRDefault="00EA2242" w:rsidP="00D21B22">
      <w:pPr>
        <w:spacing w:after="120"/>
        <w:jc w:val="both"/>
        <w:rPr>
          <w:rFonts w:ascii="Century Gothic" w:hAnsi="Century Gothic"/>
        </w:rPr>
      </w:pPr>
    </w:p>
    <w:p w14:paraId="129B205D" w14:textId="6C9FADD6" w:rsidR="00EA2242" w:rsidRPr="00D21B22" w:rsidRDefault="00000000" w:rsidP="00D21B22">
      <w:pPr>
        <w:spacing w:after="120"/>
        <w:jc w:val="both"/>
        <w:rPr>
          <w:rFonts w:ascii="Century Gothic" w:hAnsi="Century Gothic"/>
        </w:rPr>
      </w:pPr>
      <w:r w:rsidRPr="00D21B22">
        <w:rPr>
          <w:rFonts w:ascii="Century Gothic" w:hAnsi="Century Gothic"/>
          <w:b/>
        </w:rPr>
        <w:t xml:space="preserve">PROPOSAL FOR DEPLOYMENT </w:t>
      </w:r>
      <w:r w:rsidR="00D21B22">
        <w:rPr>
          <w:rFonts w:ascii="Century Gothic" w:hAnsi="Century Gothic"/>
          <w:b/>
        </w:rPr>
        <w:t xml:space="preserve">AND IMPLEMENTATION </w:t>
      </w:r>
      <w:r w:rsidRPr="00D21B22">
        <w:rPr>
          <w:rFonts w:ascii="Century Gothic" w:hAnsi="Century Gothic"/>
          <w:b/>
        </w:rPr>
        <w:t>OF THE FINANCIAL AND NON-FINANCIAL INSTITUTION REPORTS INTELLIGENCE SYSTEM (BIZDATA) FOR OGUN STATE INTERNAL REVENUE SERVICE</w:t>
      </w:r>
    </w:p>
    <w:p w14:paraId="64355C0F" w14:textId="77777777" w:rsidR="00EA2242" w:rsidRPr="00D21B22" w:rsidRDefault="00EA2242" w:rsidP="00D21B22">
      <w:pPr>
        <w:spacing w:after="120"/>
        <w:jc w:val="both"/>
        <w:rPr>
          <w:rFonts w:ascii="Century Gothic" w:hAnsi="Century Gothic"/>
        </w:rPr>
      </w:pPr>
    </w:p>
    <w:p w14:paraId="6E19A834" w14:textId="77777777" w:rsidR="00EA2242" w:rsidRPr="00D21B22" w:rsidRDefault="00000000" w:rsidP="00D21B22">
      <w:pPr>
        <w:spacing w:after="120"/>
        <w:jc w:val="both"/>
        <w:rPr>
          <w:rFonts w:ascii="Century Gothic" w:hAnsi="Century Gothic"/>
        </w:rPr>
      </w:pPr>
      <w:r w:rsidRPr="00D21B22">
        <w:rPr>
          <w:rFonts w:ascii="Century Gothic" w:hAnsi="Century Gothic"/>
        </w:rPr>
        <w:t>We write in respect of the above subject.</w:t>
      </w:r>
    </w:p>
    <w:p w14:paraId="6956BD49" w14:textId="77777777" w:rsidR="00EA2242" w:rsidRPr="00D21B22" w:rsidRDefault="00000000" w:rsidP="00D21B22">
      <w:pPr>
        <w:spacing w:after="120"/>
        <w:jc w:val="both"/>
        <w:rPr>
          <w:rFonts w:ascii="Century Gothic" w:hAnsi="Century Gothic"/>
        </w:rPr>
      </w:pPr>
      <w:r w:rsidRPr="00D21B22">
        <w:rPr>
          <w:rFonts w:ascii="Century Gothic" w:hAnsi="Century Gothic"/>
        </w:rPr>
        <w:t>Pursuant to Section 29 of the Nigeria Tax Administration Act 2025 (NTAA 2025), which mandates banks, insurance companies, stock-broking firms and other financial institutions to file quarterly returns to the relevant tax authority on individual accounts with cumulative monthly transactions of N25 million or more and corporate accounts with cumulative monthly transactions of N100 million or more, Bizphere Solution Ltd respectfully presents THE FINANCIAL AND NON-FINANCIAL REPORTS INTELLIGENCE SYSTEM otherwise known as BIZDATA as the operational vehicle through which the Ogun State Internal Revenue Service (OGSIRS) can implement, enforce, and monetise this statutory obligation for the benefit of Ogun State and its residents.</w:t>
      </w:r>
    </w:p>
    <w:p w14:paraId="3FA89706" w14:textId="77777777" w:rsidR="00EA2242" w:rsidRPr="00D21B22" w:rsidRDefault="00000000" w:rsidP="00D21B22">
      <w:pPr>
        <w:spacing w:after="120"/>
        <w:jc w:val="both"/>
        <w:rPr>
          <w:rFonts w:ascii="Century Gothic" w:hAnsi="Century Gothic"/>
        </w:rPr>
      </w:pPr>
      <w:r w:rsidRPr="00D21B22">
        <w:rPr>
          <w:rFonts w:ascii="Century Gothic" w:hAnsi="Century Gothic"/>
        </w:rPr>
        <w:t xml:space="preserve">BIZDATA is an encrypted, token-protected and AI-powered platform. It ingests quarterly bank-inflow reports through secure SFTP and REST channels, applies six specialised Artificial Intelligence analytics agents (Pattern Detection, TIN-BVN Matching, Sector Classification, Behavioural Analytics, Predictive Compliance, and Document Intelligence), cross-checks the resulting risk-graded accounts against declared income via TIN and BVN matching, and triggers administrative reassessment under NTAA 2025 Section 35. The system enforces field-level AES-256-GCM encryption, multi-factor authentication, and time-bound just-in-time </w:t>
      </w:r>
      <w:r w:rsidRPr="00D21B22">
        <w:rPr>
          <w:rFonts w:ascii="Century Gothic" w:hAnsi="Century Gothic"/>
        </w:rPr>
        <w:lastRenderedPageBreak/>
        <w:t>access tokens to guarantee data confidentiality in strict compliance with NTAA 2025 Section 139 and the Nigeria Data Protection Act 2023.</w:t>
      </w:r>
    </w:p>
    <w:p w14:paraId="41B6A489" w14:textId="77777777" w:rsidR="00EA2242" w:rsidRPr="00D21B22" w:rsidRDefault="00000000" w:rsidP="00D21B22">
      <w:pPr>
        <w:spacing w:after="120"/>
        <w:jc w:val="both"/>
        <w:rPr>
          <w:rFonts w:ascii="Century Gothic" w:hAnsi="Century Gothic"/>
        </w:rPr>
      </w:pPr>
      <w:r w:rsidRPr="00D21B22">
        <w:rPr>
          <w:rFonts w:ascii="Century Gothic" w:hAnsi="Century Gothic"/>
        </w:rPr>
        <w:t>Attached to this letter is our detailed proposal that provides the full technical architecture, the legal and constitutional basis for your perusal and kind consideration.</w:t>
      </w:r>
    </w:p>
    <w:p w14:paraId="16D2F011" w14:textId="77777777" w:rsidR="00EA2242" w:rsidRPr="00D21B22" w:rsidRDefault="00EA2242" w:rsidP="00D21B22">
      <w:pPr>
        <w:spacing w:after="120"/>
        <w:jc w:val="both"/>
        <w:rPr>
          <w:rFonts w:ascii="Century Gothic" w:hAnsi="Century Gothic"/>
        </w:rPr>
      </w:pPr>
    </w:p>
    <w:p w14:paraId="35507CEA" w14:textId="77777777" w:rsidR="00EA2242" w:rsidRPr="00D21B22" w:rsidRDefault="00000000" w:rsidP="00D21B22">
      <w:pPr>
        <w:spacing w:after="120"/>
        <w:jc w:val="both"/>
        <w:rPr>
          <w:rFonts w:ascii="Century Gothic" w:hAnsi="Century Gothic"/>
        </w:rPr>
      </w:pPr>
      <w:r w:rsidRPr="00D21B22">
        <w:rPr>
          <w:rFonts w:ascii="Century Gothic" w:hAnsi="Century Gothic"/>
        </w:rPr>
        <w:t>Yours faithfully,</w:t>
      </w:r>
    </w:p>
    <w:p w14:paraId="6BD4F472" w14:textId="77777777" w:rsidR="00EA2242" w:rsidRPr="00D21B22" w:rsidRDefault="00000000" w:rsidP="00D21B22">
      <w:pPr>
        <w:spacing w:after="120"/>
        <w:jc w:val="both"/>
        <w:rPr>
          <w:rFonts w:ascii="Century Gothic" w:hAnsi="Century Gothic"/>
        </w:rPr>
      </w:pPr>
      <w:r w:rsidRPr="00D21B22">
        <w:rPr>
          <w:rFonts w:ascii="Century Gothic" w:hAnsi="Century Gothic"/>
          <w:b/>
        </w:rPr>
        <w:t>For: BizPhere Solutions Limited</w:t>
      </w:r>
    </w:p>
    <w:p w14:paraId="5A6255E6" w14:textId="7625413D" w:rsidR="00EA2242" w:rsidRPr="00D21B22" w:rsidRDefault="00D21B22" w:rsidP="00D21B22">
      <w:pPr>
        <w:spacing w:after="120"/>
        <w:jc w:val="both"/>
        <w:rPr>
          <w:rFonts w:ascii="Century Gothic" w:hAnsi="Century Gothic"/>
        </w:rPr>
      </w:pPr>
      <w:r>
        <w:rPr>
          <w:noProof/>
        </w:rPr>
        <w:drawing>
          <wp:inline distT="0" distB="0" distL="0" distR="0" wp14:anchorId="66F7F323" wp14:editId="51376C11">
            <wp:extent cx="927100" cy="335915"/>
            <wp:effectExtent l="0" t="0" r="635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7100" cy="335915"/>
                    </a:xfrm>
                    <a:prstGeom prst="rect">
                      <a:avLst/>
                    </a:prstGeom>
                    <a:noFill/>
                    <a:ln>
                      <a:noFill/>
                    </a:ln>
                  </pic:spPr>
                </pic:pic>
              </a:graphicData>
            </a:graphic>
          </wp:inline>
        </w:drawing>
      </w:r>
    </w:p>
    <w:p w14:paraId="09864F18" w14:textId="77777777" w:rsidR="00EA2242" w:rsidRPr="00D21B22" w:rsidRDefault="00000000" w:rsidP="00D21B22">
      <w:pPr>
        <w:jc w:val="both"/>
        <w:rPr>
          <w:rFonts w:ascii="Century Gothic" w:hAnsi="Century Gothic"/>
        </w:rPr>
      </w:pPr>
      <w:r w:rsidRPr="00D21B22">
        <w:rPr>
          <w:rFonts w:ascii="Century Gothic" w:hAnsi="Century Gothic"/>
          <w:b/>
        </w:rPr>
        <w:t>Olawale G. Akinbami</w:t>
      </w:r>
    </w:p>
    <w:p w14:paraId="00950CD6" w14:textId="77777777" w:rsidR="00EA2242" w:rsidRPr="00D21B22" w:rsidRDefault="00000000" w:rsidP="00D21B22">
      <w:pPr>
        <w:spacing w:after="120"/>
        <w:jc w:val="both"/>
        <w:rPr>
          <w:rFonts w:ascii="Century Gothic" w:hAnsi="Century Gothic"/>
        </w:rPr>
      </w:pPr>
      <w:r w:rsidRPr="00D21B22">
        <w:rPr>
          <w:rFonts w:ascii="Century Gothic" w:hAnsi="Century Gothic"/>
        </w:rPr>
        <w:t>Head, Development Operations</w:t>
      </w:r>
    </w:p>
    <w:p w14:paraId="711A1B4C" w14:textId="77777777" w:rsidR="00EA2242" w:rsidRPr="00D21B22" w:rsidRDefault="00000000" w:rsidP="00D21B22">
      <w:pPr>
        <w:spacing w:after="120"/>
        <w:jc w:val="both"/>
        <w:rPr>
          <w:rFonts w:ascii="Century Gothic" w:hAnsi="Century Gothic"/>
        </w:rPr>
      </w:pPr>
      <w:r w:rsidRPr="00D21B22">
        <w:rPr>
          <w:rFonts w:ascii="Century Gothic" w:hAnsi="Century Gothic"/>
        </w:rPr>
        <w:t>BizPhere Solutions Limited</w:t>
      </w:r>
    </w:p>
    <w:p w14:paraId="11961D3D"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46EC5818" w14:textId="77777777" w:rsidR="00EA2242" w:rsidRPr="00D21B22" w:rsidRDefault="00EA2242" w:rsidP="00D21B22">
      <w:pPr>
        <w:spacing w:after="120"/>
        <w:jc w:val="both"/>
        <w:rPr>
          <w:rFonts w:ascii="Century Gothic" w:hAnsi="Century Gothic"/>
        </w:rPr>
      </w:pPr>
    </w:p>
    <w:p w14:paraId="73FC6DA1" w14:textId="77777777" w:rsidR="00EA2242" w:rsidRPr="00D21B22" w:rsidRDefault="00EA2242" w:rsidP="00D21B22">
      <w:pPr>
        <w:spacing w:after="120"/>
        <w:jc w:val="both"/>
        <w:rPr>
          <w:rFonts w:ascii="Century Gothic" w:hAnsi="Century Gothic"/>
        </w:rPr>
      </w:pPr>
    </w:p>
    <w:p w14:paraId="36069C52" w14:textId="77777777" w:rsidR="00EA2242" w:rsidRPr="00D21B22" w:rsidRDefault="00000000" w:rsidP="00D21B22">
      <w:pPr>
        <w:spacing w:after="240"/>
        <w:jc w:val="center"/>
        <w:rPr>
          <w:rFonts w:ascii="Century Gothic" w:hAnsi="Century Gothic"/>
        </w:rPr>
      </w:pPr>
      <w:r w:rsidRPr="00D21B22">
        <w:rPr>
          <w:rFonts w:ascii="Century Gothic" w:hAnsi="Century Gothic"/>
          <w:b/>
          <w:sz w:val="32"/>
        </w:rPr>
        <w:t>PROPOSAL FOR DEPLOYMENT AND IMPLEMENTATION</w:t>
      </w:r>
      <w:r w:rsidRPr="00D21B22">
        <w:rPr>
          <w:rFonts w:ascii="Century Gothic" w:hAnsi="Century Gothic"/>
          <w:b/>
          <w:sz w:val="32"/>
        </w:rPr>
        <w:br/>
        <w:t>OF FINANCIAL AND NON-FINANCIAL INSTITUTION</w:t>
      </w:r>
      <w:r w:rsidRPr="00D21B22">
        <w:rPr>
          <w:rFonts w:ascii="Century Gothic" w:hAnsi="Century Gothic"/>
          <w:b/>
          <w:sz w:val="32"/>
        </w:rPr>
        <w:br/>
        <w:t>REPORTS INTELLIGENCE SYSTEM (BIZDATA)</w:t>
      </w:r>
    </w:p>
    <w:p w14:paraId="36A7BFBF" w14:textId="77777777" w:rsidR="00EA2242" w:rsidRPr="00D21B22" w:rsidRDefault="00000000" w:rsidP="00D21B22">
      <w:pPr>
        <w:spacing w:after="240"/>
        <w:jc w:val="center"/>
        <w:rPr>
          <w:rFonts w:ascii="Century Gothic" w:hAnsi="Century Gothic"/>
        </w:rPr>
      </w:pPr>
      <w:r w:rsidRPr="00D21B22">
        <w:rPr>
          <w:rFonts w:ascii="Century Gothic" w:hAnsi="Century Gothic"/>
          <w:sz w:val="24"/>
        </w:rPr>
        <w:t xml:space="preserve">Submitted to </w:t>
      </w:r>
      <w:r w:rsidRPr="00D21B22">
        <w:rPr>
          <w:rFonts w:ascii="Century Gothic" w:hAnsi="Century Gothic"/>
          <w:b/>
          <w:sz w:val="24"/>
        </w:rPr>
        <w:t>Ogun State Internal Revenue Service</w:t>
      </w:r>
    </w:p>
    <w:p w14:paraId="5C73C093" w14:textId="77777777" w:rsidR="00EA2242" w:rsidRPr="00D21B22" w:rsidRDefault="00EA2242" w:rsidP="00D21B22">
      <w:pPr>
        <w:spacing w:after="120"/>
        <w:jc w:val="center"/>
        <w:rPr>
          <w:rFonts w:ascii="Century Gothic" w:hAnsi="Century Gothic"/>
        </w:rPr>
      </w:pPr>
    </w:p>
    <w:p w14:paraId="58DCBC5B" w14:textId="77777777" w:rsidR="002D6F36" w:rsidRDefault="002D6F36" w:rsidP="00D21B22">
      <w:pPr>
        <w:jc w:val="center"/>
        <w:rPr>
          <w:rFonts w:ascii="Century Gothic" w:hAnsi="Century Gothic"/>
          <w:b/>
          <w:sz w:val="24"/>
        </w:rPr>
      </w:pPr>
    </w:p>
    <w:p w14:paraId="64D8B420" w14:textId="77777777" w:rsidR="002D6F36" w:rsidRDefault="002D6F36" w:rsidP="00D21B22">
      <w:pPr>
        <w:jc w:val="center"/>
        <w:rPr>
          <w:rFonts w:ascii="Century Gothic" w:hAnsi="Century Gothic"/>
          <w:b/>
          <w:sz w:val="24"/>
        </w:rPr>
      </w:pPr>
    </w:p>
    <w:p w14:paraId="0AC355B8" w14:textId="77777777" w:rsidR="002D6F36" w:rsidRDefault="002D6F36" w:rsidP="00D21B22">
      <w:pPr>
        <w:jc w:val="center"/>
        <w:rPr>
          <w:rFonts w:ascii="Century Gothic" w:hAnsi="Century Gothic"/>
          <w:b/>
          <w:sz w:val="24"/>
        </w:rPr>
      </w:pPr>
    </w:p>
    <w:p w14:paraId="071DA7E3" w14:textId="77777777" w:rsidR="002D6F36" w:rsidRDefault="002D6F36" w:rsidP="00D21B22">
      <w:pPr>
        <w:jc w:val="center"/>
        <w:rPr>
          <w:rFonts w:ascii="Century Gothic" w:hAnsi="Century Gothic"/>
          <w:b/>
          <w:sz w:val="24"/>
        </w:rPr>
      </w:pPr>
    </w:p>
    <w:p w14:paraId="7EE0B4F6" w14:textId="77777777" w:rsidR="002D6F36" w:rsidRDefault="002D6F36" w:rsidP="00D21B22">
      <w:pPr>
        <w:jc w:val="center"/>
        <w:rPr>
          <w:rFonts w:ascii="Century Gothic" w:hAnsi="Century Gothic"/>
          <w:b/>
          <w:sz w:val="24"/>
        </w:rPr>
      </w:pPr>
    </w:p>
    <w:p w14:paraId="326C3F2B" w14:textId="77777777" w:rsidR="002D6F36" w:rsidRDefault="002D6F36" w:rsidP="00D21B22">
      <w:pPr>
        <w:jc w:val="center"/>
        <w:rPr>
          <w:rFonts w:ascii="Century Gothic" w:hAnsi="Century Gothic"/>
          <w:b/>
          <w:sz w:val="24"/>
        </w:rPr>
      </w:pPr>
    </w:p>
    <w:p w14:paraId="5FAFBE76" w14:textId="0D8B41E9" w:rsidR="00EA2242" w:rsidRPr="00D21B22" w:rsidRDefault="00000000" w:rsidP="00D21B22">
      <w:pPr>
        <w:jc w:val="center"/>
        <w:rPr>
          <w:rFonts w:ascii="Century Gothic" w:hAnsi="Century Gothic"/>
        </w:rPr>
      </w:pPr>
      <w:r w:rsidRPr="00D21B22">
        <w:rPr>
          <w:rFonts w:ascii="Century Gothic" w:hAnsi="Century Gothic"/>
          <w:b/>
          <w:sz w:val="24"/>
        </w:rPr>
        <w:t>SUBMITTED BY</w:t>
      </w:r>
    </w:p>
    <w:p w14:paraId="742AA6C1" w14:textId="77777777" w:rsidR="00EA2242" w:rsidRPr="00D21B22" w:rsidRDefault="00EA2242" w:rsidP="00D21B22">
      <w:pPr>
        <w:spacing w:after="120"/>
        <w:jc w:val="center"/>
        <w:rPr>
          <w:rFonts w:ascii="Century Gothic" w:hAnsi="Century Gothic"/>
        </w:rPr>
      </w:pPr>
    </w:p>
    <w:p w14:paraId="3EF000F7" w14:textId="2266B322" w:rsidR="00EA2242" w:rsidRDefault="002D6F36" w:rsidP="00D21B22">
      <w:pPr>
        <w:spacing w:after="120"/>
        <w:jc w:val="center"/>
        <w:rPr>
          <w:rFonts w:ascii="Century Gothic" w:hAnsi="Century Gothic"/>
        </w:rPr>
      </w:pPr>
      <w:r>
        <w:rPr>
          <w:noProof/>
        </w:rPr>
        <w:drawing>
          <wp:inline distT="0" distB="0" distL="0" distR="0" wp14:anchorId="58F2ED47" wp14:editId="7A859308">
            <wp:extent cx="674370" cy="482600"/>
            <wp:effectExtent l="0" t="0" r="0" b="0"/>
            <wp:docPr id="4620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6758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370" cy="482600"/>
                    </a:xfrm>
                    <a:prstGeom prst="rect">
                      <a:avLst/>
                    </a:prstGeom>
                  </pic:spPr>
                </pic:pic>
              </a:graphicData>
            </a:graphic>
          </wp:inline>
        </w:drawing>
      </w:r>
    </w:p>
    <w:p w14:paraId="4E70314F" w14:textId="77777777" w:rsidR="002D6F36" w:rsidRDefault="002D6F36" w:rsidP="00D21B22">
      <w:pPr>
        <w:spacing w:after="120"/>
        <w:jc w:val="center"/>
        <w:rPr>
          <w:rFonts w:ascii="Century Gothic" w:hAnsi="Century Gothic"/>
        </w:rPr>
      </w:pPr>
    </w:p>
    <w:p w14:paraId="17CA59CE" w14:textId="77777777" w:rsidR="002D6F36" w:rsidRDefault="002D6F36" w:rsidP="00D21B22">
      <w:pPr>
        <w:spacing w:after="120"/>
        <w:jc w:val="center"/>
        <w:rPr>
          <w:rFonts w:ascii="Century Gothic" w:hAnsi="Century Gothic"/>
        </w:rPr>
      </w:pPr>
    </w:p>
    <w:p w14:paraId="6D35D6D0" w14:textId="671A5BEB" w:rsidR="002D6F36" w:rsidRPr="00D21B22" w:rsidRDefault="002D6F36" w:rsidP="00D21B22">
      <w:pPr>
        <w:spacing w:after="120"/>
        <w:jc w:val="center"/>
        <w:rPr>
          <w:rFonts w:ascii="Century Gothic" w:hAnsi="Century Gothic"/>
        </w:rPr>
      </w:pPr>
    </w:p>
    <w:p w14:paraId="1861DE19" w14:textId="3C035681" w:rsidR="00EA2242" w:rsidRPr="00D21B22" w:rsidRDefault="00000000" w:rsidP="00D21B22">
      <w:pPr>
        <w:jc w:val="center"/>
        <w:rPr>
          <w:rFonts w:ascii="Century Gothic" w:hAnsi="Century Gothic"/>
        </w:rPr>
      </w:pPr>
      <w:r w:rsidRPr="00D21B22">
        <w:rPr>
          <w:rFonts w:ascii="Century Gothic" w:hAnsi="Century Gothic"/>
          <w:i/>
        </w:rPr>
        <w:t>“Operationalising NTAA 2025 Section 29 for IGR Optimization and Data Sovereignty”</w:t>
      </w:r>
    </w:p>
    <w:p w14:paraId="7D921ACD" w14:textId="77777777" w:rsidR="00EA2242" w:rsidRPr="00D21B22" w:rsidRDefault="00EA2242" w:rsidP="00D21B22">
      <w:pPr>
        <w:spacing w:after="120"/>
        <w:jc w:val="center"/>
        <w:rPr>
          <w:rFonts w:ascii="Century Gothic" w:hAnsi="Century Gothic"/>
        </w:rPr>
      </w:pPr>
    </w:p>
    <w:p w14:paraId="691B33BD" w14:textId="01C29C2A" w:rsidR="00EA2242" w:rsidRPr="00D21B22" w:rsidRDefault="002D6F36" w:rsidP="00D21B22">
      <w:pPr>
        <w:jc w:val="center"/>
        <w:rPr>
          <w:rFonts w:ascii="Century Gothic" w:hAnsi="Century Gothic"/>
        </w:rPr>
      </w:pPr>
      <w:r>
        <w:rPr>
          <w:rFonts w:ascii="Century Gothic" w:hAnsi="Century Gothic"/>
          <w:b/>
        </w:rPr>
        <w:t>JULY</w:t>
      </w:r>
      <w:r w:rsidR="00000000" w:rsidRPr="00D21B22">
        <w:rPr>
          <w:rFonts w:ascii="Century Gothic" w:hAnsi="Century Gothic"/>
          <w:b/>
        </w:rPr>
        <w:t xml:space="preserve"> </w:t>
      </w:r>
      <w:r>
        <w:rPr>
          <w:rFonts w:ascii="Century Gothic" w:hAnsi="Century Gothic"/>
          <w:b/>
        </w:rPr>
        <w:t>2</w:t>
      </w:r>
      <w:r w:rsidR="00000000" w:rsidRPr="00D21B22">
        <w:rPr>
          <w:rFonts w:ascii="Century Gothic" w:hAnsi="Century Gothic"/>
          <w:b/>
        </w:rPr>
        <w:t>, 2026</w:t>
      </w:r>
    </w:p>
    <w:p w14:paraId="539CD0DF" w14:textId="77777777" w:rsidR="00EA2242" w:rsidRPr="00D21B22" w:rsidRDefault="00000000" w:rsidP="00D21B22">
      <w:pPr>
        <w:jc w:val="center"/>
        <w:rPr>
          <w:rFonts w:ascii="Century Gothic" w:hAnsi="Century Gothic"/>
        </w:rPr>
      </w:pPr>
      <w:r w:rsidRPr="00D21B22">
        <w:rPr>
          <w:rFonts w:ascii="Century Gothic" w:hAnsi="Century Gothic"/>
        </w:rPr>
        <w:br w:type="page"/>
      </w:r>
    </w:p>
    <w:p w14:paraId="4205D47A" w14:textId="77777777" w:rsidR="00EA2242" w:rsidRPr="00D21B22" w:rsidRDefault="00000000" w:rsidP="00D21B22">
      <w:pPr>
        <w:spacing w:before="200" w:after="80"/>
        <w:jc w:val="both"/>
        <w:rPr>
          <w:rFonts w:ascii="Century Gothic" w:hAnsi="Century Gothic"/>
        </w:rPr>
      </w:pPr>
      <w:r w:rsidRPr="00D21B22">
        <w:rPr>
          <w:rFonts w:ascii="Century Gothic" w:hAnsi="Century Gothic"/>
          <w:b/>
          <w:color w:val="1F5C99"/>
          <w:sz w:val="26"/>
        </w:rPr>
        <w:lastRenderedPageBreak/>
        <w:t>TABLE OF CONTENTS</w:t>
      </w:r>
    </w:p>
    <w:p w14:paraId="74B52183" w14:textId="77777777" w:rsidR="00EA2242" w:rsidRPr="00D21B22" w:rsidRDefault="00000000" w:rsidP="00D21B22">
      <w:pPr>
        <w:spacing w:after="40"/>
        <w:jc w:val="both"/>
        <w:rPr>
          <w:rFonts w:ascii="Century Gothic" w:hAnsi="Century Gothic"/>
        </w:rPr>
      </w:pPr>
      <w:r w:rsidRPr="00D21B22">
        <w:rPr>
          <w:rFonts w:ascii="Century Gothic" w:hAnsi="Century Gothic"/>
        </w:rPr>
        <w:t>1. Executive Summary</w:t>
      </w:r>
    </w:p>
    <w:p w14:paraId="63D38C95" w14:textId="77777777" w:rsidR="00EA2242" w:rsidRPr="00D21B22" w:rsidRDefault="00000000" w:rsidP="00D21B22">
      <w:pPr>
        <w:spacing w:after="40"/>
        <w:jc w:val="both"/>
        <w:rPr>
          <w:rFonts w:ascii="Century Gothic" w:hAnsi="Century Gothic"/>
        </w:rPr>
      </w:pPr>
      <w:r w:rsidRPr="00D21B22">
        <w:rPr>
          <w:rFonts w:ascii="Century Gothic" w:hAnsi="Century Gothic"/>
        </w:rPr>
        <w:t>2. Legal and Regulatory Basis</w:t>
      </w:r>
    </w:p>
    <w:p w14:paraId="45C522D8" w14:textId="77777777" w:rsidR="00EA2242" w:rsidRPr="00D21B22" w:rsidRDefault="00000000" w:rsidP="00D21B22">
      <w:pPr>
        <w:spacing w:after="40"/>
        <w:jc w:val="both"/>
        <w:rPr>
          <w:rFonts w:ascii="Century Gothic" w:hAnsi="Century Gothic"/>
        </w:rPr>
      </w:pPr>
      <w:r w:rsidRPr="00D21B22">
        <w:rPr>
          <w:rFonts w:ascii="Century Gothic" w:hAnsi="Century Gothic"/>
        </w:rPr>
        <w:t xml:space="preserve">   2.1 Primary Statutory Authority</w:t>
      </w:r>
    </w:p>
    <w:p w14:paraId="36D695D5" w14:textId="77777777" w:rsidR="00EA2242" w:rsidRPr="00D21B22" w:rsidRDefault="00000000" w:rsidP="00D21B22">
      <w:pPr>
        <w:spacing w:after="40"/>
        <w:jc w:val="both"/>
        <w:rPr>
          <w:rFonts w:ascii="Century Gothic" w:hAnsi="Century Gothic"/>
        </w:rPr>
      </w:pPr>
      <w:r w:rsidRPr="00D21B22">
        <w:rPr>
          <w:rFonts w:ascii="Century Gothic" w:hAnsi="Century Gothic"/>
        </w:rPr>
        <w:t xml:space="preserve">   2.2 Supporting Legislation</w:t>
      </w:r>
    </w:p>
    <w:p w14:paraId="613ECC4B" w14:textId="77777777" w:rsidR="00EA2242" w:rsidRPr="00D21B22" w:rsidRDefault="00000000" w:rsidP="00D21B22">
      <w:pPr>
        <w:spacing w:after="40"/>
        <w:jc w:val="both"/>
        <w:rPr>
          <w:rFonts w:ascii="Century Gothic" w:hAnsi="Century Gothic"/>
        </w:rPr>
      </w:pPr>
      <w:r w:rsidRPr="00D21B22">
        <w:rPr>
          <w:rFonts w:ascii="Century Gothic" w:hAnsi="Century Gothic"/>
        </w:rPr>
        <w:t xml:space="preserve">   2.3 Constitutional Authority</w:t>
      </w:r>
    </w:p>
    <w:p w14:paraId="00EBB4E6" w14:textId="3481049E" w:rsidR="00EA2242" w:rsidRPr="00D21B22" w:rsidRDefault="002D6F36" w:rsidP="00D21B22">
      <w:pPr>
        <w:spacing w:after="40"/>
        <w:jc w:val="both"/>
        <w:rPr>
          <w:rFonts w:ascii="Century Gothic" w:hAnsi="Century Gothic"/>
        </w:rPr>
      </w:pPr>
      <w:r>
        <w:rPr>
          <w:rFonts w:ascii="Century Gothic" w:hAnsi="Century Gothic"/>
        </w:rPr>
        <w:t>3</w:t>
      </w:r>
      <w:r w:rsidR="00000000" w:rsidRPr="00D21B22">
        <w:rPr>
          <w:rFonts w:ascii="Century Gothic" w:hAnsi="Century Gothic"/>
        </w:rPr>
        <w:t>. Problem Statement</w:t>
      </w:r>
    </w:p>
    <w:p w14:paraId="6D8788F5" w14:textId="57ED2D1C"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3</w:t>
      </w:r>
      <w:r w:rsidRPr="00D21B22">
        <w:rPr>
          <w:rFonts w:ascii="Century Gothic" w:hAnsi="Century Gothic"/>
        </w:rPr>
        <w:t>.1 Current Realities</w:t>
      </w:r>
    </w:p>
    <w:p w14:paraId="039E220F" w14:textId="2DAEBED1"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3</w:t>
      </w:r>
      <w:r w:rsidRPr="00D21B22">
        <w:rPr>
          <w:rFonts w:ascii="Century Gothic" w:hAnsi="Century Gothic"/>
        </w:rPr>
        <w:t>.2 What NTAA 2025 Changes</w:t>
      </w:r>
    </w:p>
    <w:p w14:paraId="648D4CA0" w14:textId="283C9E78" w:rsidR="00EA2242" w:rsidRPr="00D21B22" w:rsidRDefault="002D6F36" w:rsidP="00D21B22">
      <w:pPr>
        <w:spacing w:after="40"/>
        <w:jc w:val="both"/>
        <w:rPr>
          <w:rFonts w:ascii="Century Gothic" w:hAnsi="Century Gothic"/>
        </w:rPr>
      </w:pPr>
      <w:r>
        <w:rPr>
          <w:rFonts w:ascii="Century Gothic" w:hAnsi="Century Gothic"/>
        </w:rPr>
        <w:t>4</w:t>
      </w:r>
      <w:r w:rsidR="00000000" w:rsidRPr="00D21B22">
        <w:rPr>
          <w:rFonts w:ascii="Century Gothic" w:hAnsi="Century Gothic"/>
        </w:rPr>
        <w:t>. Proposed Solution: BIZDATA</w:t>
      </w:r>
    </w:p>
    <w:p w14:paraId="1BC1724A" w14:textId="3DC36155"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4</w:t>
      </w:r>
      <w:r w:rsidRPr="00D21B22">
        <w:rPr>
          <w:rFonts w:ascii="Century Gothic" w:hAnsi="Century Gothic"/>
        </w:rPr>
        <w:t>.1 System Overview</w:t>
      </w:r>
    </w:p>
    <w:p w14:paraId="674A4464" w14:textId="5A631B09"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4</w:t>
      </w:r>
      <w:r w:rsidRPr="00D21B22">
        <w:rPr>
          <w:rFonts w:ascii="Century Gothic" w:hAnsi="Century Gothic"/>
        </w:rPr>
        <w:t>.2 AI Analytics Agents</w:t>
      </w:r>
    </w:p>
    <w:p w14:paraId="272EA36B" w14:textId="51D885DC"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4</w:t>
      </w:r>
      <w:r w:rsidRPr="00D21B22">
        <w:rPr>
          <w:rFonts w:ascii="Century Gothic" w:hAnsi="Century Gothic"/>
        </w:rPr>
        <w:t>.3 Data Security and Token-Based Access</w:t>
      </w:r>
    </w:p>
    <w:p w14:paraId="434019B6" w14:textId="23C0B994" w:rsidR="00EA2242" w:rsidRPr="00D21B22" w:rsidRDefault="00000000" w:rsidP="00D21B22">
      <w:pPr>
        <w:spacing w:after="40"/>
        <w:jc w:val="both"/>
        <w:rPr>
          <w:rFonts w:ascii="Century Gothic" w:hAnsi="Century Gothic"/>
        </w:rPr>
      </w:pPr>
      <w:r w:rsidRPr="00D21B22">
        <w:rPr>
          <w:rFonts w:ascii="Century Gothic" w:hAnsi="Century Gothic"/>
        </w:rPr>
        <w:t xml:space="preserve">   </w:t>
      </w:r>
      <w:r w:rsidR="002D6F36">
        <w:rPr>
          <w:rFonts w:ascii="Century Gothic" w:hAnsi="Century Gothic"/>
        </w:rPr>
        <w:t>4</w:t>
      </w:r>
      <w:r w:rsidRPr="00D21B22">
        <w:rPr>
          <w:rFonts w:ascii="Century Gothic" w:hAnsi="Century Gothic"/>
        </w:rPr>
        <w:t>.4 System Components (Already Implemented)</w:t>
      </w:r>
    </w:p>
    <w:p w14:paraId="7385EC27" w14:textId="009DF0D8" w:rsidR="00EA2242" w:rsidRPr="00D21B22" w:rsidRDefault="002D6F36" w:rsidP="00D21B22">
      <w:pPr>
        <w:spacing w:after="40"/>
        <w:jc w:val="both"/>
        <w:rPr>
          <w:rFonts w:ascii="Century Gothic" w:hAnsi="Century Gothic"/>
        </w:rPr>
      </w:pPr>
      <w:r>
        <w:rPr>
          <w:rFonts w:ascii="Century Gothic" w:hAnsi="Century Gothic"/>
        </w:rPr>
        <w:t>5</w:t>
      </w:r>
      <w:r w:rsidR="003C6A7F">
        <w:rPr>
          <w:rFonts w:ascii="Century Gothic" w:hAnsi="Century Gothic"/>
        </w:rPr>
        <w:t>.</w:t>
      </w:r>
      <w:r w:rsidR="00000000" w:rsidRPr="00D21B22">
        <w:rPr>
          <w:rFonts w:ascii="Century Gothic" w:hAnsi="Century Gothic"/>
        </w:rPr>
        <w:t xml:space="preserve"> Implementation Roadmap</w:t>
      </w:r>
    </w:p>
    <w:p w14:paraId="358A4AF7" w14:textId="1281F582" w:rsidR="00EA2242" w:rsidRPr="00D21B22" w:rsidRDefault="003C6A7F" w:rsidP="00D21B22">
      <w:pPr>
        <w:spacing w:after="40"/>
        <w:jc w:val="both"/>
        <w:rPr>
          <w:rFonts w:ascii="Century Gothic" w:hAnsi="Century Gothic"/>
        </w:rPr>
      </w:pPr>
      <w:r>
        <w:rPr>
          <w:rFonts w:ascii="Century Gothic" w:hAnsi="Century Gothic"/>
        </w:rPr>
        <w:t>6</w:t>
      </w:r>
      <w:r w:rsidR="00000000" w:rsidRPr="00D21B22">
        <w:rPr>
          <w:rFonts w:ascii="Century Gothic" w:hAnsi="Century Gothic"/>
        </w:rPr>
        <w:t xml:space="preserve">. </w:t>
      </w:r>
      <w:r>
        <w:rPr>
          <w:rFonts w:ascii="Century Gothic" w:hAnsi="Century Gothic"/>
        </w:rPr>
        <w:t>Cost Implication</w:t>
      </w:r>
    </w:p>
    <w:p w14:paraId="776CB2C2"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2012AFB8" w14:textId="77777777" w:rsidR="00EA2242" w:rsidRPr="00D21B22" w:rsidRDefault="00000000" w:rsidP="00D21B22">
      <w:pPr>
        <w:spacing w:before="200" w:after="80"/>
        <w:jc w:val="both"/>
        <w:rPr>
          <w:rFonts w:ascii="Century Gothic" w:hAnsi="Century Gothic"/>
        </w:rPr>
      </w:pPr>
      <w:r w:rsidRPr="00D21B22">
        <w:rPr>
          <w:rFonts w:ascii="Century Gothic" w:hAnsi="Century Gothic"/>
          <w:b/>
          <w:color w:val="1F5C99"/>
          <w:sz w:val="28"/>
        </w:rPr>
        <w:lastRenderedPageBreak/>
        <w:t>1. EXECUTIVE SUMMARY</w:t>
      </w:r>
    </w:p>
    <w:p w14:paraId="07EBE769" w14:textId="77777777" w:rsidR="00EA2242" w:rsidRPr="00D21B22" w:rsidRDefault="00000000" w:rsidP="00D21B22">
      <w:pPr>
        <w:spacing w:after="120"/>
        <w:jc w:val="both"/>
        <w:rPr>
          <w:rFonts w:ascii="Century Gothic" w:hAnsi="Century Gothic"/>
        </w:rPr>
      </w:pPr>
      <w:r w:rsidRPr="00D21B22">
        <w:rPr>
          <w:rFonts w:ascii="Century Gothic" w:hAnsi="Century Gothic"/>
        </w:rPr>
        <w:t>The Nigeria Tax Administration Act 2025 (NTAA 2025) represents the most consequential reform of Nigerian tax administration in a generation. Section 29 of the Act now empowers every State Internal Revenue Service — and, by extension, the Ogun State Internal Revenue Service — to receive, lawfully use, and act upon quarterly returns filed by banks, insurance companies, stock-broking firms and other financial institutions on individual accounts with cumulative monthly transactions of N25 million or more and corporate accounts with cumulative monthly transactions of N100 million or more. The data is no longer trapped behind court orders; it now flows by statutory mandate. The Financial and Non-Financial Institution Reports Intelligence System (BIZDATA) is the operational platform through which the Ogun State Internal Revenue Service (OGSIRS) converts this statutory data flow into measurable Internally Generated Revenue.</w:t>
      </w:r>
    </w:p>
    <w:p w14:paraId="00195827" w14:textId="77777777" w:rsidR="00EA2242" w:rsidRPr="00D21B22" w:rsidRDefault="00000000" w:rsidP="00D21B22">
      <w:pPr>
        <w:spacing w:after="120"/>
        <w:jc w:val="both"/>
        <w:rPr>
          <w:rFonts w:ascii="Century Gothic" w:hAnsi="Century Gothic"/>
        </w:rPr>
      </w:pPr>
      <w:r w:rsidRPr="00D21B22">
        <w:rPr>
          <w:rFonts w:ascii="Century Gothic" w:hAnsi="Century Gothic"/>
        </w:rPr>
        <w:t>BIZDATA has already been built and tested. It deploys six specialised Artificial Intelligence analytics agents (Pattern Detection, TIN-BVN Matching, Sector Classification, Behavioural Analytics, Predictive Compliance, and Document Intelligence) operating on report data that has been encrypted, transmitted, and accessed only via hardware-backed multi-factor authentication. The platform satisfies the official-secrecy and confidentiality requirement of NTAA 2025 Section 139, the data-minimisation principles of NDPA 2023 Sections 25 to 28, the operational guidelines of the Central Bank of Nigeria, and the cross-state data-sharing framework of the Joint Revenue Board Act 2025 Section 15.</w:t>
      </w:r>
    </w:p>
    <w:p w14:paraId="67577BB3"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22317053" w14:textId="77777777" w:rsidR="00EA2242" w:rsidRPr="00D21B22" w:rsidRDefault="00000000" w:rsidP="00D21B22">
      <w:pPr>
        <w:spacing w:before="200" w:after="80"/>
        <w:jc w:val="both"/>
        <w:rPr>
          <w:rFonts w:ascii="Century Gothic" w:hAnsi="Century Gothic"/>
        </w:rPr>
      </w:pPr>
      <w:r w:rsidRPr="00D21B22">
        <w:rPr>
          <w:rFonts w:ascii="Century Gothic" w:hAnsi="Century Gothic"/>
          <w:b/>
          <w:color w:val="1F5C99"/>
          <w:sz w:val="28"/>
        </w:rPr>
        <w:lastRenderedPageBreak/>
        <w:t>2. LEGAL AND REGULATORY BASIS</w:t>
      </w:r>
    </w:p>
    <w:p w14:paraId="5DAEEFA6" w14:textId="77777777" w:rsidR="00EA2242" w:rsidRPr="00D21B22" w:rsidRDefault="00000000" w:rsidP="00D21B22">
      <w:pPr>
        <w:spacing w:before="120" w:after="80"/>
        <w:jc w:val="both"/>
        <w:rPr>
          <w:rFonts w:ascii="Century Gothic" w:hAnsi="Century Gothic"/>
        </w:rPr>
      </w:pPr>
      <w:r w:rsidRPr="00D21B22">
        <w:rPr>
          <w:rFonts w:ascii="Century Gothic" w:hAnsi="Century Gothic"/>
          <w:b/>
          <w:color w:val="1F5C99"/>
        </w:rPr>
        <w:t>2.1 Primary Statutory Authority</w:t>
      </w:r>
    </w:p>
    <w:p w14:paraId="1B2CA8CB" w14:textId="77777777" w:rsidR="00EA2242" w:rsidRPr="00D21B22" w:rsidRDefault="00000000" w:rsidP="00D21B22">
      <w:pPr>
        <w:spacing w:after="120"/>
        <w:jc w:val="both"/>
        <w:rPr>
          <w:rFonts w:ascii="Century Gothic" w:hAnsi="Century Gothic"/>
        </w:rPr>
      </w:pPr>
      <w:r w:rsidRPr="00D21B22">
        <w:rPr>
          <w:rFonts w:ascii="Century Gothic" w:hAnsi="Century Gothic"/>
        </w:rPr>
        <w:t>The following provisions of the Nigeria Tax Administration Act 2025 constitute the primary statutory authority for BIZDATA deployment by OGSIRS:</w:t>
      </w:r>
    </w:p>
    <w:tbl>
      <w:tblPr>
        <w:tblStyle w:val="TableGrid"/>
        <w:tblW w:w="0" w:type="auto"/>
        <w:tblLook w:val="04A0" w:firstRow="1" w:lastRow="0" w:firstColumn="1" w:lastColumn="0" w:noHBand="0" w:noVBand="1"/>
      </w:tblPr>
      <w:tblGrid>
        <w:gridCol w:w="4320"/>
        <w:gridCol w:w="4320"/>
      </w:tblGrid>
      <w:tr w:rsidR="00EA2242" w:rsidRPr="00D21B22" w14:paraId="7ECF8024" w14:textId="77777777">
        <w:tc>
          <w:tcPr>
            <w:tcW w:w="4320" w:type="dxa"/>
          </w:tcPr>
          <w:p w14:paraId="1B544665" w14:textId="77777777" w:rsidR="00EA2242" w:rsidRPr="00D21B22" w:rsidRDefault="00000000" w:rsidP="00D21B22">
            <w:pPr>
              <w:jc w:val="both"/>
              <w:rPr>
                <w:rFonts w:ascii="Century Gothic" w:hAnsi="Century Gothic"/>
              </w:rPr>
            </w:pPr>
            <w:r w:rsidRPr="00D21B22">
              <w:rPr>
                <w:rFonts w:ascii="Century Gothic" w:hAnsi="Century Gothic"/>
                <w:b/>
                <w:sz w:val="20"/>
              </w:rPr>
              <w:t>Provision</w:t>
            </w:r>
          </w:p>
        </w:tc>
        <w:tc>
          <w:tcPr>
            <w:tcW w:w="4320" w:type="dxa"/>
          </w:tcPr>
          <w:p w14:paraId="0B1D5195" w14:textId="77777777" w:rsidR="00EA2242" w:rsidRPr="00D21B22" w:rsidRDefault="00000000" w:rsidP="00D21B22">
            <w:pPr>
              <w:jc w:val="both"/>
              <w:rPr>
                <w:rFonts w:ascii="Century Gothic" w:hAnsi="Century Gothic"/>
              </w:rPr>
            </w:pPr>
            <w:r w:rsidRPr="00D21B22">
              <w:rPr>
                <w:rFonts w:ascii="Century Gothic" w:hAnsi="Century Gothic"/>
                <w:b/>
                <w:sz w:val="20"/>
              </w:rPr>
              <w:t>Subject Matter and Operational Effect</w:t>
            </w:r>
          </w:p>
        </w:tc>
      </w:tr>
      <w:tr w:rsidR="00EA2242" w:rsidRPr="00D21B22" w14:paraId="3EFCD9EE" w14:textId="77777777">
        <w:tc>
          <w:tcPr>
            <w:tcW w:w="4320" w:type="dxa"/>
          </w:tcPr>
          <w:p w14:paraId="7973DC10" w14:textId="77777777" w:rsidR="00EA2242" w:rsidRPr="00D21B22" w:rsidRDefault="00000000" w:rsidP="00D21B22">
            <w:pPr>
              <w:jc w:val="both"/>
              <w:rPr>
                <w:rFonts w:ascii="Century Gothic" w:hAnsi="Century Gothic"/>
              </w:rPr>
            </w:pPr>
            <w:r w:rsidRPr="00D21B22">
              <w:rPr>
                <w:rFonts w:ascii="Century Gothic" w:hAnsi="Century Gothic"/>
                <w:sz w:val="20"/>
              </w:rPr>
              <w:t>NTAA 2025</w:t>
            </w:r>
            <w:r w:rsidRPr="00D21B22">
              <w:rPr>
                <w:rFonts w:ascii="Century Gothic" w:hAnsi="Century Gothic"/>
                <w:sz w:val="20"/>
              </w:rPr>
              <w:br/>
              <w:t>Section 4</w:t>
            </w:r>
          </w:p>
        </w:tc>
        <w:tc>
          <w:tcPr>
            <w:tcW w:w="4320" w:type="dxa"/>
          </w:tcPr>
          <w:p w14:paraId="6CCE3CBC" w14:textId="77777777" w:rsidR="00EA2242" w:rsidRPr="00D21B22" w:rsidRDefault="00000000" w:rsidP="00D21B22">
            <w:pPr>
              <w:jc w:val="both"/>
              <w:rPr>
                <w:rFonts w:ascii="Century Gothic" w:hAnsi="Century Gothic"/>
              </w:rPr>
            </w:pPr>
            <w:r w:rsidRPr="00D21B22">
              <w:rPr>
                <w:rFonts w:ascii="Century Gothic" w:hAnsi="Century Gothic"/>
                <w:sz w:val="20"/>
              </w:rPr>
              <w:t>Tax Identification Number (TIN) mandatory for every taxable person; NIN serves as automatic TIN for individuals, and the CAC RC Number serves as automatic TIN for companies (effective January 2026). BIZDATA matches inflows to taxpayers via TIN/NIN/CAC.</w:t>
            </w:r>
          </w:p>
        </w:tc>
      </w:tr>
      <w:tr w:rsidR="00EA2242" w:rsidRPr="00D21B22" w14:paraId="3168AD43" w14:textId="77777777">
        <w:tc>
          <w:tcPr>
            <w:tcW w:w="4320" w:type="dxa"/>
          </w:tcPr>
          <w:p w14:paraId="05414D04" w14:textId="77777777" w:rsidR="00EA2242" w:rsidRPr="00D21B22" w:rsidRDefault="00000000" w:rsidP="00D21B22">
            <w:pPr>
              <w:jc w:val="both"/>
              <w:rPr>
                <w:rFonts w:ascii="Century Gothic" w:hAnsi="Century Gothic"/>
              </w:rPr>
            </w:pPr>
            <w:r w:rsidRPr="00D21B22">
              <w:rPr>
                <w:rFonts w:ascii="Century Gothic" w:hAnsi="Century Gothic"/>
                <w:sz w:val="20"/>
              </w:rPr>
              <w:t>NTAA 2025</w:t>
            </w:r>
            <w:r w:rsidRPr="00D21B22">
              <w:rPr>
                <w:rFonts w:ascii="Century Gothic" w:hAnsi="Century Gothic"/>
                <w:sz w:val="20"/>
              </w:rPr>
              <w:br/>
              <w:t>Section 29</w:t>
            </w:r>
          </w:p>
        </w:tc>
        <w:tc>
          <w:tcPr>
            <w:tcW w:w="4320" w:type="dxa"/>
          </w:tcPr>
          <w:p w14:paraId="353445DB" w14:textId="77777777" w:rsidR="00EA2242" w:rsidRPr="00D21B22" w:rsidRDefault="00000000" w:rsidP="00D21B22">
            <w:pPr>
              <w:jc w:val="both"/>
              <w:rPr>
                <w:rFonts w:ascii="Century Gothic" w:hAnsi="Century Gothic"/>
              </w:rPr>
            </w:pPr>
            <w:r w:rsidRPr="00D21B22">
              <w:rPr>
                <w:rFonts w:ascii="Century Gothic" w:hAnsi="Century Gothic"/>
                <w:sz w:val="20"/>
              </w:rPr>
              <w:t>Mandates banks, insurance companies, stock-broking firms and other financial institutions to file quarterly returns to the relevant tax authority for individual accounts whose cumulative monthly transactions are N25 million or more, and corporate accounts whose cumulative monthly transactions are N100 million or more. This is the primary legal basis for BIZDATA and defines the data feed; it also empowers the tax authority to use the filed data for verification of declared income. For Ogun State, OGSIRS is the designated relevant tax authority for Personal Income Tax matters.</w:t>
            </w:r>
          </w:p>
        </w:tc>
      </w:tr>
      <w:tr w:rsidR="00EA2242" w:rsidRPr="00D21B22" w14:paraId="164350A3" w14:textId="77777777">
        <w:tc>
          <w:tcPr>
            <w:tcW w:w="4320" w:type="dxa"/>
          </w:tcPr>
          <w:p w14:paraId="17CBC0DA" w14:textId="77777777" w:rsidR="00EA2242" w:rsidRPr="00D21B22" w:rsidRDefault="00000000" w:rsidP="00D21B22">
            <w:pPr>
              <w:jc w:val="both"/>
              <w:rPr>
                <w:rFonts w:ascii="Century Gothic" w:hAnsi="Century Gothic"/>
              </w:rPr>
            </w:pPr>
            <w:r w:rsidRPr="00D21B22">
              <w:rPr>
                <w:rFonts w:ascii="Century Gothic" w:hAnsi="Century Gothic"/>
                <w:sz w:val="20"/>
              </w:rPr>
              <w:t>NTAA 2025</w:t>
            </w:r>
            <w:r w:rsidRPr="00D21B22">
              <w:rPr>
                <w:rFonts w:ascii="Century Gothic" w:hAnsi="Century Gothic"/>
                <w:sz w:val="20"/>
              </w:rPr>
              <w:br/>
              <w:t>Section 35</w:t>
            </w:r>
          </w:p>
        </w:tc>
        <w:tc>
          <w:tcPr>
            <w:tcW w:w="4320" w:type="dxa"/>
          </w:tcPr>
          <w:p w14:paraId="7EB2390B" w14:textId="77777777" w:rsidR="00EA2242" w:rsidRPr="00D21B22" w:rsidRDefault="00000000" w:rsidP="00D21B22">
            <w:pPr>
              <w:jc w:val="both"/>
              <w:rPr>
                <w:rFonts w:ascii="Century Gothic" w:hAnsi="Century Gothic"/>
              </w:rPr>
            </w:pPr>
            <w:r w:rsidRPr="00D21B22">
              <w:rPr>
                <w:rFonts w:ascii="Century Gothic" w:hAnsi="Century Gothic"/>
                <w:sz w:val="20"/>
              </w:rPr>
              <w:t>Administrative (Best of Judgement) assessment power — where a return is absent or understated, the tax authority may, to the best of its judgement, determine the tax due. BIZDATA auto-triggers administrative assessment when the discrepancy exceeds threshold.</w:t>
            </w:r>
          </w:p>
        </w:tc>
      </w:tr>
      <w:tr w:rsidR="00EA2242" w:rsidRPr="00D21B22" w14:paraId="7F4B82C9" w14:textId="77777777">
        <w:tc>
          <w:tcPr>
            <w:tcW w:w="4320" w:type="dxa"/>
          </w:tcPr>
          <w:p w14:paraId="2F793796" w14:textId="77777777" w:rsidR="00EA2242" w:rsidRPr="00D21B22" w:rsidRDefault="00000000" w:rsidP="00D21B22">
            <w:pPr>
              <w:jc w:val="both"/>
              <w:rPr>
                <w:rFonts w:ascii="Century Gothic" w:hAnsi="Century Gothic"/>
              </w:rPr>
            </w:pPr>
            <w:r w:rsidRPr="00D21B22">
              <w:rPr>
                <w:rFonts w:ascii="Century Gothic" w:hAnsi="Century Gothic"/>
                <w:sz w:val="20"/>
              </w:rPr>
              <w:t>NTAA 2025</w:t>
            </w:r>
            <w:r w:rsidRPr="00D21B22">
              <w:rPr>
                <w:rFonts w:ascii="Century Gothic" w:hAnsi="Century Gothic"/>
                <w:sz w:val="20"/>
              </w:rPr>
              <w:br/>
              <w:t>Section 41</w:t>
            </w:r>
          </w:p>
        </w:tc>
        <w:tc>
          <w:tcPr>
            <w:tcW w:w="4320" w:type="dxa"/>
          </w:tcPr>
          <w:p w14:paraId="58563C13" w14:textId="77777777" w:rsidR="00EA2242" w:rsidRPr="00D21B22" w:rsidRDefault="00000000" w:rsidP="00D21B22">
            <w:pPr>
              <w:jc w:val="both"/>
              <w:rPr>
                <w:rFonts w:ascii="Century Gothic" w:hAnsi="Century Gothic"/>
              </w:rPr>
            </w:pPr>
            <w:r w:rsidRPr="00D21B22">
              <w:rPr>
                <w:rFonts w:ascii="Century Gothic" w:hAnsi="Century Gothic"/>
                <w:sz w:val="20"/>
              </w:rPr>
              <w:t>Taxpayer 30-day objection window against any administrative assessment; the tax authority must respond within 90 days, failing which the objection is deemed upheld per Section 41(6). Provides procedural safeguards before enforcement.</w:t>
            </w:r>
          </w:p>
        </w:tc>
      </w:tr>
      <w:tr w:rsidR="00EA2242" w:rsidRPr="00D21B22" w14:paraId="5E5E1042" w14:textId="77777777">
        <w:tc>
          <w:tcPr>
            <w:tcW w:w="4320" w:type="dxa"/>
          </w:tcPr>
          <w:p w14:paraId="0EE549B7" w14:textId="77777777" w:rsidR="00EA2242" w:rsidRPr="00D21B22" w:rsidRDefault="00000000" w:rsidP="00D21B22">
            <w:pPr>
              <w:jc w:val="both"/>
              <w:rPr>
                <w:rFonts w:ascii="Century Gothic" w:hAnsi="Century Gothic"/>
              </w:rPr>
            </w:pPr>
            <w:r w:rsidRPr="00D21B22">
              <w:rPr>
                <w:rFonts w:ascii="Century Gothic" w:hAnsi="Century Gothic"/>
                <w:sz w:val="20"/>
              </w:rPr>
              <w:t>NTAA 2025</w:t>
            </w:r>
            <w:r w:rsidRPr="00D21B22">
              <w:rPr>
                <w:rFonts w:ascii="Century Gothic" w:hAnsi="Century Gothic"/>
                <w:sz w:val="20"/>
              </w:rPr>
              <w:br/>
              <w:t>Section 139</w:t>
            </w:r>
          </w:p>
        </w:tc>
        <w:tc>
          <w:tcPr>
            <w:tcW w:w="4320" w:type="dxa"/>
          </w:tcPr>
          <w:p w14:paraId="0D49AC27" w14:textId="77777777" w:rsidR="00EA2242" w:rsidRPr="00D21B22" w:rsidRDefault="00000000" w:rsidP="00D21B22">
            <w:pPr>
              <w:jc w:val="both"/>
              <w:rPr>
                <w:rFonts w:ascii="Century Gothic" w:hAnsi="Century Gothic"/>
              </w:rPr>
            </w:pPr>
            <w:r w:rsidRPr="00D21B22">
              <w:rPr>
                <w:rFonts w:ascii="Century Gothic" w:hAnsi="Century Gothic"/>
                <w:sz w:val="20"/>
              </w:rPr>
              <w:t>Official secrecy and confidentiality binding on tax officers handling taxpayer data, with criminal penalty for unauthorised disclosure. The BIZDATA audit trail enforces officer accountability.</w:t>
            </w:r>
          </w:p>
        </w:tc>
      </w:tr>
      <w:tr w:rsidR="00EA2242" w:rsidRPr="00D21B22" w14:paraId="28435125" w14:textId="77777777">
        <w:tc>
          <w:tcPr>
            <w:tcW w:w="4320" w:type="dxa"/>
          </w:tcPr>
          <w:p w14:paraId="59A2A7BD" w14:textId="77777777" w:rsidR="00EA2242" w:rsidRPr="00D21B22" w:rsidRDefault="00000000" w:rsidP="00D21B22">
            <w:pPr>
              <w:jc w:val="both"/>
              <w:rPr>
                <w:rFonts w:ascii="Century Gothic" w:hAnsi="Century Gothic"/>
              </w:rPr>
            </w:pPr>
            <w:r w:rsidRPr="00D21B22">
              <w:rPr>
                <w:rFonts w:ascii="Century Gothic" w:hAnsi="Century Gothic"/>
                <w:sz w:val="20"/>
              </w:rPr>
              <w:t>Nigeria tax</w:t>
            </w:r>
            <w:r w:rsidRPr="00D21B22">
              <w:rPr>
                <w:rFonts w:ascii="Century Gothic" w:hAnsi="Century Gothic"/>
                <w:sz w:val="20"/>
              </w:rPr>
              <w:br/>
              <w:t>law general</w:t>
            </w:r>
            <w:r w:rsidRPr="00D21B22">
              <w:rPr>
                <w:rFonts w:ascii="Century Gothic" w:hAnsi="Century Gothic"/>
                <w:sz w:val="20"/>
              </w:rPr>
              <w:br/>
              <w:t>standard</w:t>
            </w:r>
          </w:p>
        </w:tc>
        <w:tc>
          <w:tcPr>
            <w:tcW w:w="4320" w:type="dxa"/>
          </w:tcPr>
          <w:p w14:paraId="5009EFDA" w14:textId="77777777" w:rsidR="00EA2242" w:rsidRPr="00D21B22" w:rsidRDefault="00000000" w:rsidP="00D21B22">
            <w:pPr>
              <w:jc w:val="both"/>
              <w:rPr>
                <w:rFonts w:ascii="Century Gothic" w:hAnsi="Century Gothic"/>
              </w:rPr>
            </w:pPr>
            <w:r w:rsidRPr="00D21B22">
              <w:rPr>
                <w:rFonts w:ascii="Century Gothic" w:hAnsi="Century Gothic"/>
                <w:sz w:val="20"/>
              </w:rPr>
              <w:t>Six (6) year records retention (NTAA 2025 retains the 6-year limitation). BIZDATA retains bank report data for 6 years.</w:t>
            </w:r>
          </w:p>
        </w:tc>
      </w:tr>
      <w:tr w:rsidR="00EA2242" w:rsidRPr="00D21B22" w14:paraId="08432920" w14:textId="77777777">
        <w:tc>
          <w:tcPr>
            <w:tcW w:w="4320" w:type="dxa"/>
          </w:tcPr>
          <w:p w14:paraId="398CAED7" w14:textId="77777777" w:rsidR="00EA2242" w:rsidRPr="00D21B22" w:rsidRDefault="00000000" w:rsidP="00D21B22">
            <w:pPr>
              <w:jc w:val="both"/>
              <w:rPr>
                <w:rFonts w:ascii="Century Gothic" w:hAnsi="Century Gothic"/>
              </w:rPr>
            </w:pPr>
            <w:r w:rsidRPr="00D21B22">
              <w:rPr>
                <w:rFonts w:ascii="Century Gothic" w:hAnsi="Century Gothic"/>
                <w:sz w:val="20"/>
              </w:rPr>
              <w:t>Late payment</w:t>
            </w:r>
            <w:r w:rsidRPr="00D21B22">
              <w:rPr>
                <w:rFonts w:ascii="Century Gothic" w:hAnsi="Century Gothic"/>
                <w:sz w:val="20"/>
              </w:rPr>
              <w:br/>
              <w:t>penalty</w:t>
            </w:r>
          </w:p>
        </w:tc>
        <w:tc>
          <w:tcPr>
            <w:tcW w:w="4320" w:type="dxa"/>
          </w:tcPr>
          <w:p w14:paraId="651C42FF" w14:textId="77777777" w:rsidR="00EA2242" w:rsidRPr="00D21B22" w:rsidRDefault="00000000" w:rsidP="00D21B22">
            <w:pPr>
              <w:jc w:val="both"/>
              <w:rPr>
                <w:rFonts w:ascii="Century Gothic" w:hAnsi="Century Gothic"/>
              </w:rPr>
            </w:pPr>
            <w:r w:rsidRPr="00D21B22">
              <w:rPr>
                <w:rFonts w:ascii="Century Gothic" w:hAnsi="Century Gothic"/>
                <w:sz w:val="20"/>
              </w:rPr>
              <w:t>10% of unpaid tax (rate confirmed; specific section to be verified by legal counsel). Computed automatically by BIZDATA on confirmed under declaration.</w:t>
            </w:r>
          </w:p>
        </w:tc>
      </w:tr>
    </w:tbl>
    <w:p w14:paraId="138D671A" w14:textId="77777777" w:rsidR="00EA2242" w:rsidRPr="00D21B22" w:rsidRDefault="00EA2242" w:rsidP="00D21B22">
      <w:pPr>
        <w:spacing w:after="120"/>
        <w:jc w:val="both"/>
        <w:rPr>
          <w:rFonts w:ascii="Century Gothic" w:hAnsi="Century Gothic"/>
        </w:rPr>
      </w:pPr>
    </w:p>
    <w:p w14:paraId="32B905F2" w14:textId="77777777" w:rsidR="00EA2242" w:rsidRPr="00D21B22" w:rsidRDefault="00000000" w:rsidP="00D21B22">
      <w:pPr>
        <w:spacing w:before="120" w:after="80"/>
        <w:jc w:val="both"/>
        <w:rPr>
          <w:rFonts w:ascii="Century Gothic" w:hAnsi="Century Gothic"/>
        </w:rPr>
      </w:pPr>
      <w:r w:rsidRPr="00D21B22">
        <w:rPr>
          <w:rFonts w:ascii="Century Gothic" w:hAnsi="Century Gothic"/>
          <w:b/>
          <w:color w:val="1F5C99"/>
        </w:rPr>
        <w:t>2.2 Supporting Legislation</w:t>
      </w:r>
    </w:p>
    <w:p w14:paraId="7F25E2E9"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Nigeria Revenue Service Act 2025 (NRSA 2025) Section 22 — Establishes the data-sharing framework between the Nigeria Revenue Service and State Internal Revenue Services.</w:t>
      </w:r>
    </w:p>
    <w:p w14:paraId="6B7F0837"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Joint Revenue Board Act 2025 (JRBA 2025) Section 15 — Provides the legal basis for cross-state data exchange to capture mobile and migratory taxpayers.</w:t>
      </w:r>
    </w:p>
    <w:p w14:paraId="036B24B0"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Nigeria Tax Act 2025 (NTA 2025) Section 37 — Sets the N800,000 Personal Income Tax exemption threshold above which Personal Income Tax becomes payable.</w:t>
      </w:r>
    </w:p>
    <w:p w14:paraId="406B2D68"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Nigeria Tax Act 2025 (NTA 2025) Section 50 — Establishes the 10% Capital Gains Tax rate on disposal of chargeable assets.</w:t>
      </w:r>
    </w:p>
    <w:p w14:paraId="6AB9D4D5"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Nigeria Data Protection Act 2023 Sections 25 to 28 — Codifies the principles of data minimisation, purpose limitation, and lawful processing applicable to OGSIRS handling of bank-report data.</w:t>
      </w:r>
    </w:p>
    <w:p w14:paraId="7626D85A"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Central Bank of Nigeria BVN Regulations 2021 (as amended in 2024) — Governs the issuance, custody, and authorised disclosure of Bank Verification Numbers.</w:t>
      </w:r>
    </w:p>
    <w:p w14:paraId="4B46E0E4"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Ogun State Board of Internal Revenue Service Law (as amended) — Constitutes OGSIRS and defines its operational mandate within Ogun State.</w:t>
      </w:r>
    </w:p>
    <w:p w14:paraId="792E6FC1" w14:textId="77777777" w:rsidR="00EA2242" w:rsidRPr="00D21B22" w:rsidRDefault="00EA2242" w:rsidP="00D21B22">
      <w:pPr>
        <w:spacing w:after="120"/>
        <w:jc w:val="both"/>
        <w:rPr>
          <w:rFonts w:ascii="Century Gothic" w:hAnsi="Century Gothic"/>
        </w:rPr>
      </w:pPr>
    </w:p>
    <w:p w14:paraId="058232A8" w14:textId="77777777" w:rsidR="00EA2242" w:rsidRPr="00D21B22" w:rsidRDefault="00000000" w:rsidP="00D21B22">
      <w:pPr>
        <w:spacing w:before="120" w:after="80"/>
        <w:jc w:val="both"/>
        <w:rPr>
          <w:rFonts w:ascii="Century Gothic" w:hAnsi="Century Gothic"/>
        </w:rPr>
      </w:pPr>
      <w:r w:rsidRPr="00D21B22">
        <w:rPr>
          <w:rFonts w:ascii="Century Gothic" w:hAnsi="Century Gothic"/>
          <w:b/>
          <w:color w:val="1F5C99"/>
        </w:rPr>
        <w:t>2.3 Constitutional Authority</w:t>
      </w:r>
    </w:p>
    <w:p w14:paraId="6EDE0E1A" w14:textId="77777777" w:rsidR="00EA2242" w:rsidRPr="00D21B22" w:rsidRDefault="00000000" w:rsidP="00D21B22">
      <w:pPr>
        <w:spacing w:after="120"/>
        <w:jc w:val="both"/>
        <w:rPr>
          <w:rFonts w:ascii="Century Gothic" w:hAnsi="Century Gothic"/>
        </w:rPr>
      </w:pPr>
      <w:r w:rsidRPr="00D21B22">
        <w:rPr>
          <w:rFonts w:ascii="Century Gothic" w:hAnsi="Century Gothic"/>
        </w:rPr>
        <w:t>NTAA 2025 derives its legislative authority from Item 59, Part I of the Exclusive Legislative List of the Constitution of the Federal Republic of Nigeria 1999 (as amended), which vests the National Assembly with exclusive competence to make laws for the taxation of incomes, profits, and capital gains. OGSIRS may invoke its provisions on Personal Income Tax matters within Ogun State jurisdiction under the Ogun State Board of Internal Revenue Service Law (as amended) and the powers vested in the State by the Constitution of the Federal Republic of Nigeria 1999 (as amended).</w:t>
      </w:r>
    </w:p>
    <w:p w14:paraId="57CFE8B1"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2E221A31" w14:textId="49749E0D" w:rsidR="00EA2242" w:rsidRPr="00D21B22" w:rsidRDefault="002D6F36" w:rsidP="00D21B22">
      <w:pPr>
        <w:spacing w:before="200" w:after="80"/>
        <w:jc w:val="both"/>
        <w:rPr>
          <w:rFonts w:ascii="Century Gothic" w:hAnsi="Century Gothic"/>
        </w:rPr>
      </w:pPr>
      <w:r>
        <w:rPr>
          <w:rFonts w:ascii="Century Gothic" w:hAnsi="Century Gothic"/>
          <w:b/>
          <w:color w:val="1F5C99"/>
          <w:sz w:val="28"/>
        </w:rPr>
        <w:lastRenderedPageBreak/>
        <w:t>3</w:t>
      </w:r>
      <w:r w:rsidR="00000000" w:rsidRPr="00D21B22">
        <w:rPr>
          <w:rFonts w:ascii="Century Gothic" w:hAnsi="Century Gothic"/>
          <w:b/>
          <w:color w:val="1F5C99"/>
          <w:sz w:val="28"/>
        </w:rPr>
        <w:t>. PROBLEM STATEMENT</w:t>
      </w:r>
    </w:p>
    <w:p w14:paraId="6D53A6C9" w14:textId="49B887B5" w:rsidR="00EA2242" w:rsidRPr="00D21B22" w:rsidRDefault="002D6F36" w:rsidP="00D21B22">
      <w:pPr>
        <w:spacing w:before="120" w:after="80"/>
        <w:jc w:val="both"/>
        <w:rPr>
          <w:rFonts w:ascii="Century Gothic" w:hAnsi="Century Gothic"/>
        </w:rPr>
      </w:pPr>
      <w:r>
        <w:rPr>
          <w:rFonts w:ascii="Century Gothic" w:hAnsi="Century Gothic"/>
          <w:b/>
          <w:color w:val="1F5C99"/>
        </w:rPr>
        <w:t>3</w:t>
      </w:r>
      <w:r w:rsidR="00000000" w:rsidRPr="00D21B22">
        <w:rPr>
          <w:rFonts w:ascii="Century Gothic" w:hAnsi="Century Gothic"/>
          <w:b/>
          <w:color w:val="1F5C99"/>
        </w:rPr>
        <w:t>.1 Our Understanding</w:t>
      </w:r>
    </w:p>
    <w:p w14:paraId="3D3256D2" w14:textId="77777777" w:rsidR="00EA2242" w:rsidRPr="00D21B22" w:rsidRDefault="00000000" w:rsidP="00D21B22">
      <w:pPr>
        <w:pStyle w:val="ListNumber"/>
        <w:spacing w:after="60"/>
        <w:jc w:val="both"/>
        <w:rPr>
          <w:rFonts w:ascii="Century Gothic" w:hAnsi="Century Gothic"/>
        </w:rPr>
      </w:pPr>
      <w:r w:rsidRPr="00D21B22">
        <w:rPr>
          <w:rFonts w:ascii="Century Gothic" w:hAnsi="Century Gothic"/>
        </w:rPr>
        <w:t>Self-declaration and report bias: Financial and non-financial institutions, high net worth individuals, self-employed alongside high-value informal traders systematically understate and/or under-report income, with no realistic deterrent pre-2025 administrative regime.</w:t>
      </w:r>
    </w:p>
    <w:p w14:paraId="4F397C0C" w14:textId="77777777" w:rsidR="00EA2242" w:rsidRPr="00D21B22" w:rsidRDefault="00000000" w:rsidP="00D21B22">
      <w:pPr>
        <w:pStyle w:val="ListNumber"/>
        <w:spacing w:after="60"/>
        <w:jc w:val="both"/>
        <w:rPr>
          <w:rFonts w:ascii="Century Gothic" w:hAnsi="Century Gothic"/>
        </w:rPr>
      </w:pPr>
      <w:r w:rsidRPr="00D21B22">
        <w:rPr>
          <w:rFonts w:ascii="Century Gothic" w:hAnsi="Century Gothic"/>
        </w:rPr>
        <w:t>Manual enforcement: prior to NTAA 2025, access to bank statements required obtaining a court order on a case-by-case basis, rendering systematic risk-based enforcement impossible.</w:t>
      </w:r>
    </w:p>
    <w:p w14:paraId="6B58B651" w14:textId="77777777" w:rsidR="00EA2242" w:rsidRPr="00D21B22" w:rsidRDefault="00000000" w:rsidP="00D21B22">
      <w:pPr>
        <w:pStyle w:val="ListNumber"/>
        <w:spacing w:after="60"/>
        <w:jc w:val="both"/>
        <w:rPr>
          <w:rFonts w:ascii="Century Gothic" w:hAnsi="Century Gothic"/>
        </w:rPr>
      </w:pPr>
      <w:r w:rsidRPr="00D21B22">
        <w:rPr>
          <w:rFonts w:ascii="Century Gothic" w:hAnsi="Century Gothic"/>
        </w:rPr>
        <w:t>No risk-based targeting: audit case selection has historically depended on tip-offs, complaints, and judgement of individual officers rather than data-driven risk scoring.</w:t>
      </w:r>
    </w:p>
    <w:p w14:paraId="45573916" w14:textId="77777777" w:rsidR="00EA2242" w:rsidRPr="00D21B22" w:rsidRDefault="00000000" w:rsidP="00D21B22">
      <w:pPr>
        <w:pStyle w:val="ListNumber"/>
        <w:spacing w:after="60"/>
        <w:jc w:val="both"/>
        <w:rPr>
          <w:rFonts w:ascii="Century Gothic" w:hAnsi="Century Gothic"/>
        </w:rPr>
      </w:pPr>
      <w:r w:rsidRPr="00D21B22">
        <w:rPr>
          <w:rFonts w:ascii="Century Gothic" w:hAnsi="Century Gothic"/>
        </w:rPr>
        <w:t>Limited audit capacity: the present audit-staff to taxpayer ratio is relatively low, making blanket enforcement structurally impossible.</w:t>
      </w:r>
    </w:p>
    <w:p w14:paraId="3E35DDFB" w14:textId="77777777" w:rsidR="00EA2242" w:rsidRPr="00D21B22" w:rsidRDefault="00000000" w:rsidP="00D21B22">
      <w:pPr>
        <w:pStyle w:val="ListNumber"/>
        <w:spacing w:after="60"/>
        <w:jc w:val="both"/>
        <w:rPr>
          <w:rFonts w:ascii="Century Gothic" w:hAnsi="Century Gothic"/>
        </w:rPr>
      </w:pPr>
      <w:r w:rsidRPr="00D21B22">
        <w:rPr>
          <w:rFonts w:ascii="Century Gothic" w:hAnsi="Century Gothic"/>
        </w:rPr>
        <w:t>Cross-sector blindness: there is currently no visibility into informal cash transfers intermediated through fintech wallets, USSD payment rails, and merchant aggregators.</w:t>
      </w:r>
    </w:p>
    <w:p w14:paraId="3391A99F" w14:textId="77777777" w:rsidR="00EA2242" w:rsidRPr="00D21B22" w:rsidRDefault="00EA2242" w:rsidP="00D21B22">
      <w:pPr>
        <w:spacing w:after="120"/>
        <w:jc w:val="both"/>
        <w:rPr>
          <w:rFonts w:ascii="Century Gothic" w:hAnsi="Century Gothic"/>
        </w:rPr>
      </w:pPr>
    </w:p>
    <w:p w14:paraId="7624FE84" w14:textId="3ED2C564" w:rsidR="00EA2242" w:rsidRPr="00D21B22" w:rsidRDefault="002D6F36" w:rsidP="00D21B22">
      <w:pPr>
        <w:spacing w:before="120" w:after="80"/>
        <w:jc w:val="both"/>
        <w:rPr>
          <w:rFonts w:ascii="Century Gothic" w:hAnsi="Century Gothic"/>
        </w:rPr>
      </w:pPr>
      <w:r>
        <w:rPr>
          <w:rFonts w:ascii="Century Gothic" w:hAnsi="Century Gothic"/>
          <w:b/>
          <w:color w:val="1F5C99"/>
        </w:rPr>
        <w:t>3</w:t>
      </w:r>
      <w:r w:rsidR="00000000" w:rsidRPr="00D21B22">
        <w:rPr>
          <w:rFonts w:ascii="Century Gothic" w:hAnsi="Century Gothic"/>
          <w:b/>
          <w:color w:val="1F5C99"/>
        </w:rPr>
        <w:t>.2 What Changes with NTAA 2025</w:t>
      </w:r>
    </w:p>
    <w:p w14:paraId="04451248" w14:textId="77777777" w:rsidR="00EA2242" w:rsidRPr="00D21B22" w:rsidRDefault="00000000" w:rsidP="00D21B22">
      <w:pPr>
        <w:spacing w:after="120"/>
        <w:jc w:val="both"/>
        <w:rPr>
          <w:rFonts w:ascii="Century Gothic" w:hAnsi="Century Gothic"/>
        </w:rPr>
      </w:pPr>
      <w:r w:rsidRPr="00D21B22">
        <w:rPr>
          <w:rFonts w:ascii="Century Gothic" w:hAnsi="Century Gothic"/>
        </w:rPr>
        <w:t>NTAA 2025 fundamentally re-architects the data-availability landscape. Financial and non-financial institutions are now obliged under Section 29 to report quarterly to the relevant tax authority for accounts above the prescribed thresholds (N25 million cumulative monthly transactions for individuals; N100 million for corporates). The mandatory Tax Identification Number framework under Section 4 — with NIN serving as automatic TIN for individuals and the CAC RC Number for companies from January 2026 — makes the matching of bank inflows to taxpayer records deterministic rather than probabilistic. Most decisively, the administrative (Best of Judgement) assessment under Section 35 is presumed valid until rebutted by the taxpayer within the Section 41 30-day objection window, reversing the historical evidential burden and finally placing the tax authority on equal footing with the bank-data record. What OGSIRS now requires is a secure, intelligent, and audit-ready platform to operationalise these statutory advantages at scale.</w:t>
      </w:r>
    </w:p>
    <w:p w14:paraId="68DAFF3D"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347EB202" w14:textId="7E7D3E53" w:rsidR="00EA2242" w:rsidRPr="00D21B22" w:rsidRDefault="002D6F36" w:rsidP="00D21B22">
      <w:pPr>
        <w:spacing w:before="200" w:after="80"/>
        <w:jc w:val="both"/>
        <w:rPr>
          <w:rFonts w:ascii="Century Gothic" w:hAnsi="Century Gothic"/>
        </w:rPr>
      </w:pPr>
      <w:r>
        <w:rPr>
          <w:rFonts w:ascii="Century Gothic" w:hAnsi="Century Gothic"/>
          <w:b/>
          <w:color w:val="1F5C99"/>
          <w:sz w:val="28"/>
        </w:rPr>
        <w:lastRenderedPageBreak/>
        <w:t>4</w:t>
      </w:r>
      <w:r w:rsidR="00000000" w:rsidRPr="00D21B22">
        <w:rPr>
          <w:rFonts w:ascii="Century Gothic" w:hAnsi="Century Gothic"/>
          <w:b/>
          <w:color w:val="1F5C99"/>
          <w:sz w:val="28"/>
        </w:rPr>
        <w:t>. PROPOSED SOLUTION: BIZDATA</w:t>
      </w:r>
    </w:p>
    <w:p w14:paraId="7B7FD150" w14:textId="44D9FE5F" w:rsidR="00EA2242" w:rsidRPr="00D21B22" w:rsidRDefault="002D6F36" w:rsidP="00D21B22">
      <w:pPr>
        <w:spacing w:before="120" w:after="80"/>
        <w:jc w:val="both"/>
        <w:rPr>
          <w:rFonts w:ascii="Century Gothic" w:hAnsi="Century Gothic"/>
        </w:rPr>
      </w:pPr>
      <w:r>
        <w:rPr>
          <w:rFonts w:ascii="Century Gothic" w:hAnsi="Century Gothic"/>
          <w:b/>
          <w:color w:val="1F5C99"/>
        </w:rPr>
        <w:t>4</w:t>
      </w:r>
      <w:r w:rsidR="00000000" w:rsidRPr="00D21B22">
        <w:rPr>
          <w:rFonts w:ascii="Century Gothic" w:hAnsi="Century Gothic"/>
          <w:b/>
          <w:color w:val="1F5C99"/>
        </w:rPr>
        <w:t>.1 System Overview</w:t>
      </w:r>
    </w:p>
    <w:p w14:paraId="718DDB0D" w14:textId="77777777" w:rsidR="00EA2242" w:rsidRPr="00D21B22" w:rsidRDefault="00000000" w:rsidP="00D21B22">
      <w:pPr>
        <w:spacing w:after="120"/>
        <w:jc w:val="both"/>
        <w:rPr>
          <w:rFonts w:ascii="Century Gothic" w:hAnsi="Century Gothic"/>
        </w:rPr>
      </w:pPr>
      <w:r w:rsidRPr="00D21B22">
        <w:rPr>
          <w:rFonts w:ascii="Century Gothic" w:hAnsi="Century Gothic"/>
        </w:rPr>
        <w:t>BIZDATA implements the following end-to-end data flow:</w:t>
      </w:r>
    </w:p>
    <w:p w14:paraId="6A197EA0" w14:textId="77777777" w:rsidR="00EA2242" w:rsidRPr="00D21B22" w:rsidRDefault="00000000" w:rsidP="00D21B22">
      <w:pPr>
        <w:spacing w:after="120"/>
        <w:jc w:val="both"/>
        <w:rPr>
          <w:rFonts w:ascii="Century Gothic" w:hAnsi="Century Gothic"/>
        </w:rPr>
      </w:pPr>
      <w:r w:rsidRPr="00D21B22">
        <w:rPr>
          <w:rFonts w:ascii="Century Gothic" w:hAnsi="Century Gothic"/>
          <w:b/>
        </w:rPr>
        <w:t>Bank Submission → Encrypted Ingestion → AI Matching → AI Analytics → Officer Review → Best-of-Judgment Assessment → Demand Notice → Recovery.</w:t>
      </w:r>
    </w:p>
    <w:p w14:paraId="6F1BB888" w14:textId="77777777" w:rsidR="00EA2242" w:rsidRPr="00D21B22" w:rsidRDefault="00000000" w:rsidP="00D21B22">
      <w:pPr>
        <w:spacing w:after="120"/>
        <w:jc w:val="both"/>
        <w:rPr>
          <w:rFonts w:ascii="Century Gothic" w:hAnsi="Century Gothic"/>
        </w:rPr>
      </w:pPr>
      <w:r w:rsidRPr="00D21B22">
        <w:rPr>
          <w:rFonts w:ascii="Century Gothic" w:hAnsi="Century Gothic"/>
        </w:rPr>
        <w:t>Each stage is instrumented with its own integrity controls, audit logging, and statutory checkpoints. Bank submissions arrive through mutually authenticated SFTP and REST channels and are decrypted only within the Hardware Security Module boundary. Ingested records are checked for completeness, BVN check-digit validity, NUBAN check-digit validity, and arithmetic consistency before being persisted in the encrypted Report store. The AI matching layer reconciles each record against the OGSIRS taxpayer register using deterministic BVN matching first and probabilistic name-and-date-of-birth matching as fallback. The six analytics agents then assign risk scores, which feed the officer review queue. Confirmed flags become administrative (Best of Judgement) assessments under NTAA 2025 Section 35, after which demand notices are issued and recovery is tracked through to settlement or escalation.</w:t>
      </w:r>
    </w:p>
    <w:p w14:paraId="158335A4" w14:textId="77777777" w:rsidR="00EA2242" w:rsidRPr="00D21B22" w:rsidRDefault="00EA2242" w:rsidP="00D21B22">
      <w:pPr>
        <w:spacing w:after="120"/>
        <w:jc w:val="both"/>
        <w:rPr>
          <w:rFonts w:ascii="Century Gothic" w:hAnsi="Century Gothic"/>
        </w:rPr>
      </w:pPr>
    </w:p>
    <w:p w14:paraId="65AD8E59" w14:textId="7C060D4D" w:rsidR="00EA2242" w:rsidRPr="00D21B22" w:rsidRDefault="002D6F36" w:rsidP="00D21B22">
      <w:pPr>
        <w:spacing w:before="120" w:after="80"/>
        <w:jc w:val="both"/>
        <w:rPr>
          <w:rFonts w:ascii="Century Gothic" w:hAnsi="Century Gothic"/>
        </w:rPr>
      </w:pPr>
      <w:r>
        <w:rPr>
          <w:rFonts w:ascii="Century Gothic" w:hAnsi="Century Gothic"/>
          <w:b/>
          <w:color w:val="1F5C99"/>
        </w:rPr>
        <w:t>4</w:t>
      </w:r>
      <w:r w:rsidR="00000000" w:rsidRPr="00D21B22">
        <w:rPr>
          <w:rFonts w:ascii="Century Gothic" w:hAnsi="Century Gothic"/>
          <w:b/>
          <w:color w:val="1F5C99"/>
        </w:rPr>
        <w:t>.2 AI Analytics Agents</w:t>
      </w:r>
    </w:p>
    <w:p w14:paraId="4E3AC7E5" w14:textId="77777777" w:rsidR="00EA2242" w:rsidRPr="00D21B22" w:rsidRDefault="00000000" w:rsidP="00D21B22">
      <w:pPr>
        <w:spacing w:after="120"/>
        <w:jc w:val="both"/>
        <w:rPr>
          <w:rFonts w:ascii="Century Gothic" w:hAnsi="Century Gothic"/>
        </w:rPr>
      </w:pPr>
      <w:r w:rsidRPr="00D21B22">
        <w:rPr>
          <w:rFonts w:ascii="Century Gothic" w:hAnsi="Century Gothic"/>
        </w:rPr>
        <w:t>Six specialised AI analytics agents operate on the ingested bank-report data. Each agent runs on infrastructure physically located within OGSIRS (data sovereignty); no data leaves the country at any point in its lifecycle.</w:t>
      </w:r>
    </w:p>
    <w:p w14:paraId="401374AF"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1: Pattern Detection Agent</w:t>
      </w:r>
    </w:p>
    <w:p w14:paraId="457024E8"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2: TIN-BVN Matching Agent</w:t>
      </w:r>
    </w:p>
    <w:p w14:paraId="7A44AF1F"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3: Sector Classification Agent</w:t>
      </w:r>
    </w:p>
    <w:p w14:paraId="37FF261C"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4: Behavioural Analytics Agent</w:t>
      </w:r>
    </w:p>
    <w:p w14:paraId="5265BEBC"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5: Predictive Compliance Agent</w:t>
      </w:r>
    </w:p>
    <w:p w14:paraId="245325D7" w14:textId="77777777" w:rsidR="00EA2242" w:rsidRPr="00D21B22" w:rsidRDefault="00000000" w:rsidP="00D21B22">
      <w:pPr>
        <w:spacing w:after="60"/>
        <w:jc w:val="both"/>
        <w:rPr>
          <w:rFonts w:ascii="Century Gothic" w:hAnsi="Century Gothic"/>
        </w:rPr>
      </w:pPr>
      <w:r w:rsidRPr="00D21B22">
        <w:rPr>
          <w:rFonts w:ascii="Century Gothic" w:hAnsi="Century Gothic"/>
          <w:b/>
          <w:color w:val="1F5C99"/>
        </w:rPr>
        <w:t>Agent 6: Document Intelligence Agent</w:t>
      </w:r>
    </w:p>
    <w:p w14:paraId="24DF6008" w14:textId="77777777" w:rsidR="00EA2242" w:rsidRPr="00D21B22" w:rsidRDefault="00EA2242" w:rsidP="00D21B22">
      <w:pPr>
        <w:spacing w:after="120"/>
        <w:jc w:val="both"/>
        <w:rPr>
          <w:rFonts w:ascii="Century Gothic" w:hAnsi="Century Gothic"/>
        </w:rPr>
      </w:pPr>
    </w:p>
    <w:p w14:paraId="2873CBDB" w14:textId="507DDF73" w:rsidR="00EA2242" w:rsidRPr="00D21B22" w:rsidRDefault="002D6F36" w:rsidP="00D21B22">
      <w:pPr>
        <w:spacing w:before="120" w:after="80"/>
        <w:jc w:val="both"/>
        <w:rPr>
          <w:rFonts w:ascii="Century Gothic" w:hAnsi="Century Gothic"/>
        </w:rPr>
      </w:pPr>
      <w:r>
        <w:rPr>
          <w:rFonts w:ascii="Century Gothic" w:hAnsi="Century Gothic"/>
          <w:b/>
          <w:color w:val="1F5C99"/>
        </w:rPr>
        <w:t>4</w:t>
      </w:r>
      <w:r w:rsidR="00000000" w:rsidRPr="00D21B22">
        <w:rPr>
          <w:rFonts w:ascii="Century Gothic" w:hAnsi="Century Gothic"/>
          <w:b/>
          <w:color w:val="1F5C99"/>
        </w:rPr>
        <w:t>.3 Data Security and Token-Based Access</w:t>
      </w:r>
    </w:p>
    <w:p w14:paraId="7D6045D4" w14:textId="77777777" w:rsidR="00EA2242" w:rsidRPr="00D21B22" w:rsidRDefault="00000000" w:rsidP="00D21B22">
      <w:pPr>
        <w:spacing w:after="60"/>
        <w:jc w:val="both"/>
        <w:rPr>
          <w:rFonts w:ascii="Century Gothic" w:hAnsi="Century Gothic"/>
        </w:rPr>
      </w:pPr>
      <w:r w:rsidRPr="00D21B22">
        <w:rPr>
          <w:rFonts w:ascii="Century Gothic" w:hAnsi="Century Gothic"/>
        </w:rPr>
        <w:t>- Encryption at Rest</w:t>
      </w:r>
    </w:p>
    <w:p w14:paraId="7163DBD6" w14:textId="77777777" w:rsidR="00EA2242" w:rsidRPr="00D21B22" w:rsidRDefault="00000000" w:rsidP="00D21B22">
      <w:pPr>
        <w:spacing w:after="60"/>
        <w:jc w:val="both"/>
        <w:rPr>
          <w:rFonts w:ascii="Century Gothic" w:hAnsi="Century Gothic"/>
        </w:rPr>
      </w:pPr>
      <w:r w:rsidRPr="00D21B22">
        <w:rPr>
          <w:rFonts w:ascii="Century Gothic" w:hAnsi="Century Gothic"/>
        </w:rPr>
        <w:t>- Encryption in Transit</w:t>
      </w:r>
    </w:p>
    <w:p w14:paraId="1EF58A78" w14:textId="77777777" w:rsidR="00EA2242" w:rsidRPr="00D21B22" w:rsidRDefault="00000000" w:rsidP="00D21B22">
      <w:pPr>
        <w:spacing w:after="60"/>
        <w:jc w:val="both"/>
        <w:rPr>
          <w:rFonts w:ascii="Century Gothic" w:hAnsi="Century Gothic"/>
        </w:rPr>
      </w:pPr>
      <w:r w:rsidRPr="00D21B22">
        <w:rPr>
          <w:rFonts w:ascii="Century Gothic" w:hAnsi="Century Gothic"/>
        </w:rPr>
        <w:t>- Token-Based Access for OGSIRS Staff</w:t>
      </w:r>
    </w:p>
    <w:p w14:paraId="4CCDDC75" w14:textId="77777777" w:rsidR="00EA2242" w:rsidRPr="00D21B22" w:rsidRDefault="00000000" w:rsidP="00D21B22">
      <w:pPr>
        <w:spacing w:after="60"/>
        <w:jc w:val="both"/>
        <w:rPr>
          <w:rFonts w:ascii="Century Gothic" w:hAnsi="Century Gothic"/>
        </w:rPr>
      </w:pPr>
      <w:r w:rsidRPr="00D21B22">
        <w:rPr>
          <w:rFonts w:ascii="Century Gothic" w:hAnsi="Century Gothic"/>
        </w:rPr>
        <w:t>- Access Roles</w:t>
      </w:r>
    </w:p>
    <w:p w14:paraId="108F5D8E" w14:textId="77777777" w:rsidR="00EA2242" w:rsidRPr="00D21B22" w:rsidRDefault="00000000" w:rsidP="00D21B22">
      <w:pPr>
        <w:spacing w:after="60"/>
        <w:jc w:val="both"/>
        <w:rPr>
          <w:rFonts w:ascii="Century Gothic" w:hAnsi="Century Gothic"/>
        </w:rPr>
      </w:pPr>
      <w:r w:rsidRPr="00D21B22">
        <w:rPr>
          <w:rFonts w:ascii="Century Gothic" w:hAnsi="Century Gothic"/>
        </w:rPr>
        <w:t>- Audit Trail</w:t>
      </w:r>
    </w:p>
    <w:p w14:paraId="6704DD63"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40ADFFC6" w14:textId="23A1DDC9" w:rsidR="00EA2242" w:rsidRPr="00D21B22" w:rsidRDefault="002D6F36" w:rsidP="00D21B22">
      <w:pPr>
        <w:spacing w:before="200" w:after="80"/>
        <w:jc w:val="both"/>
        <w:rPr>
          <w:rFonts w:ascii="Century Gothic" w:hAnsi="Century Gothic"/>
        </w:rPr>
      </w:pPr>
      <w:r>
        <w:rPr>
          <w:rFonts w:ascii="Century Gothic" w:hAnsi="Century Gothic"/>
          <w:b/>
          <w:color w:val="1F5C99"/>
          <w:sz w:val="28"/>
        </w:rPr>
        <w:lastRenderedPageBreak/>
        <w:t>5</w:t>
      </w:r>
      <w:r w:rsidR="00000000" w:rsidRPr="00D21B22">
        <w:rPr>
          <w:rFonts w:ascii="Century Gothic" w:hAnsi="Century Gothic"/>
          <w:b/>
          <w:color w:val="1F5C99"/>
          <w:sz w:val="28"/>
        </w:rPr>
        <w:t>. IMPLEMENTATION ROADMAP</w:t>
      </w:r>
    </w:p>
    <w:p w14:paraId="6E3A1C7A" w14:textId="77777777" w:rsidR="00EA2242" w:rsidRPr="00D21B22" w:rsidRDefault="00000000" w:rsidP="00D21B22">
      <w:pPr>
        <w:spacing w:after="120"/>
        <w:jc w:val="both"/>
        <w:rPr>
          <w:rFonts w:ascii="Century Gothic" w:hAnsi="Century Gothic"/>
        </w:rPr>
      </w:pPr>
      <w:r w:rsidRPr="00D21B22">
        <w:rPr>
          <w:rFonts w:ascii="Century Gothic" w:hAnsi="Century Gothic"/>
        </w:rPr>
        <w:t>BIZDATA will be rolled out in four sequential phases, each calibrated to the operational maturity of the participating banks and to the absorption capacity of the OGSIRS officer cadre.</w:t>
      </w:r>
    </w:p>
    <w:tbl>
      <w:tblPr>
        <w:tblStyle w:val="TableGrid"/>
        <w:tblW w:w="0" w:type="auto"/>
        <w:tblLook w:val="04A0" w:firstRow="1" w:lastRow="0" w:firstColumn="1" w:lastColumn="0" w:noHBand="0" w:noVBand="1"/>
      </w:tblPr>
      <w:tblGrid>
        <w:gridCol w:w="2880"/>
        <w:gridCol w:w="2880"/>
        <w:gridCol w:w="2880"/>
      </w:tblGrid>
      <w:tr w:rsidR="00EA2242" w:rsidRPr="00D21B22" w14:paraId="14D9B5F3" w14:textId="77777777">
        <w:tc>
          <w:tcPr>
            <w:tcW w:w="2880" w:type="dxa"/>
          </w:tcPr>
          <w:p w14:paraId="46637473" w14:textId="77777777" w:rsidR="00EA2242" w:rsidRPr="00D21B22" w:rsidRDefault="00000000" w:rsidP="00D21B22">
            <w:pPr>
              <w:jc w:val="both"/>
              <w:rPr>
                <w:rFonts w:ascii="Century Gothic" w:hAnsi="Century Gothic"/>
              </w:rPr>
            </w:pPr>
            <w:r w:rsidRPr="00D21B22">
              <w:rPr>
                <w:rFonts w:ascii="Century Gothic" w:hAnsi="Century Gothic"/>
                <w:b/>
                <w:sz w:val="20"/>
              </w:rPr>
              <w:t>Phase</w:t>
            </w:r>
          </w:p>
        </w:tc>
        <w:tc>
          <w:tcPr>
            <w:tcW w:w="2880" w:type="dxa"/>
          </w:tcPr>
          <w:p w14:paraId="70772AA1" w14:textId="77777777" w:rsidR="00EA2242" w:rsidRPr="00D21B22" w:rsidRDefault="00000000" w:rsidP="00D21B22">
            <w:pPr>
              <w:jc w:val="both"/>
              <w:rPr>
                <w:rFonts w:ascii="Century Gothic" w:hAnsi="Century Gothic"/>
              </w:rPr>
            </w:pPr>
            <w:r w:rsidRPr="00D21B22">
              <w:rPr>
                <w:rFonts w:ascii="Century Gothic" w:hAnsi="Century Gothic"/>
                <w:b/>
                <w:sz w:val="20"/>
              </w:rPr>
              <w:t>Timing</w:t>
            </w:r>
          </w:p>
        </w:tc>
        <w:tc>
          <w:tcPr>
            <w:tcW w:w="2880" w:type="dxa"/>
          </w:tcPr>
          <w:p w14:paraId="26AB4DF0" w14:textId="77777777" w:rsidR="00EA2242" w:rsidRPr="00D21B22" w:rsidRDefault="00000000" w:rsidP="00D21B22">
            <w:pPr>
              <w:jc w:val="both"/>
              <w:rPr>
                <w:rFonts w:ascii="Century Gothic" w:hAnsi="Century Gothic"/>
              </w:rPr>
            </w:pPr>
            <w:r w:rsidRPr="00D21B22">
              <w:rPr>
                <w:rFonts w:ascii="Century Gothic" w:hAnsi="Century Gothic"/>
                <w:b/>
                <w:sz w:val="20"/>
              </w:rPr>
              <w:t>Scope</w:t>
            </w:r>
          </w:p>
        </w:tc>
      </w:tr>
      <w:tr w:rsidR="00EA2242" w:rsidRPr="00D21B22" w14:paraId="426C7878" w14:textId="77777777">
        <w:tc>
          <w:tcPr>
            <w:tcW w:w="2880" w:type="dxa"/>
          </w:tcPr>
          <w:p w14:paraId="7F25E2DF" w14:textId="77777777" w:rsidR="00EA2242" w:rsidRPr="00D21B22" w:rsidRDefault="00000000" w:rsidP="00D21B22">
            <w:pPr>
              <w:jc w:val="both"/>
              <w:rPr>
                <w:rFonts w:ascii="Century Gothic" w:hAnsi="Century Gothic"/>
              </w:rPr>
            </w:pPr>
            <w:r w:rsidRPr="00D21B22">
              <w:rPr>
                <w:rFonts w:ascii="Century Gothic" w:hAnsi="Century Gothic"/>
                <w:sz w:val="20"/>
              </w:rPr>
              <w:t>Phase 1</w:t>
            </w:r>
          </w:p>
        </w:tc>
        <w:tc>
          <w:tcPr>
            <w:tcW w:w="2880" w:type="dxa"/>
          </w:tcPr>
          <w:p w14:paraId="6B7D7CAB" w14:textId="77777777" w:rsidR="00EA2242" w:rsidRPr="00D21B22" w:rsidRDefault="00000000" w:rsidP="00D21B22">
            <w:pPr>
              <w:jc w:val="both"/>
              <w:rPr>
                <w:rFonts w:ascii="Century Gothic" w:hAnsi="Century Gothic"/>
              </w:rPr>
            </w:pPr>
            <w:r w:rsidRPr="00D21B22">
              <w:rPr>
                <w:rFonts w:ascii="Century Gothic" w:hAnsi="Century Gothic"/>
                <w:sz w:val="20"/>
              </w:rPr>
              <w:t>Q3 2026</w:t>
            </w:r>
          </w:p>
        </w:tc>
        <w:tc>
          <w:tcPr>
            <w:tcW w:w="2880" w:type="dxa"/>
          </w:tcPr>
          <w:p w14:paraId="4824AF78" w14:textId="77777777" w:rsidR="00EA2242" w:rsidRPr="00D21B22" w:rsidRDefault="00000000" w:rsidP="00D21B22">
            <w:pPr>
              <w:jc w:val="both"/>
              <w:rPr>
                <w:rFonts w:ascii="Century Gothic" w:hAnsi="Century Gothic"/>
              </w:rPr>
            </w:pPr>
            <w:r w:rsidRPr="00D21B22">
              <w:rPr>
                <w:rFonts w:ascii="Century Gothic" w:hAnsi="Century Gothic"/>
                <w:sz w:val="20"/>
              </w:rPr>
              <w:t>Pilot with top banks based on State deposit volumes: all with major HQ/regional operations in the State.</w:t>
            </w:r>
          </w:p>
        </w:tc>
      </w:tr>
      <w:tr w:rsidR="00EA2242" w:rsidRPr="00D21B22" w14:paraId="30AE4349" w14:textId="77777777">
        <w:tc>
          <w:tcPr>
            <w:tcW w:w="2880" w:type="dxa"/>
          </w:tcPr>
          <w:p w14:paraId="56566052" w14:textId="77777777" w:rsidR="00EA2242" w:rsidRPr="00D21B22" w:rsidRDefault="00000000" w:rsidP="00D21B22">
            <w:pPr>
              <w:jc w:val="both"/>
              <w:rPr>
                <w:rFonts w:ascii="Century Gothic" w:hAnsi="Century Gothic"/>
              </w:rPr>
            </w:pPr>
            <w:r w:rsidRPr="00D21B22">
              <w:rPr>
                <w:rFonts w:ascii="Century Gothic" w:hAnsi="Century Gothic"/>
                <w:sz w:val="20"/>
              </w:rPr>
              <w:t>Phase 2</w:t>
            </w:r>
          </w:p>
        </w:tc>
        <w:tc>
          <w:tcPr>
            <w:tcW w:w="2880" w:type="dxa"/>
          </w:tcPr>
          <w:p w14:paraId="4ABA03A1" w14:textId="77777777" w:rsidR="00EA2242" w:rsidRPr="00D21B22" w:rsidRDefault="00000000" w:rsidP="00D21B22">
            <w:pPr>
              <w:jc w:val="both"/>
              <w:rPr>
                <w:rFonts w:ascii="Century Gothic" w:hAnsi="Century Gothic"/>
              </w:rPr>
            </w:pPr>
            <w:r w:rsidRPr="00D21B22">
              <w:rPr>
                <w:rFonts w:ascii="Century Gothic" w:hAnsi="Century Gothic"/>
                <w:sz w:val="20"/>
              </w:rPr>
              <w:t>Q4 2026</w:t>
            </w:r>
          </w:p>
        </w:tc>
        <w:tc>
          <w:tcPr>
            <w:tcW w:w="2880" w:type="dxa"/>
          </w:tcPr>
          <w:p w14:paraId="5D2A0929" w14:textId="77777777" w:rsidR="00EA2242" w:rsidRPr="00D21B22" w:rsidRDefault="00000000" w:rsidP="00D21B22">
            <w:pPr>
              <w:jc w:val="both"/>
              <w:rPr>
                <w:rFonts w:ascii="Century Gothic" w:hAnsi="Century Gothic"/>
              </w:rPr>
            </w:pPr>
            <w:r w:rsidRPr="00D21B22">
              <w:rPr>
                <w:rFonts w:ascii="Century Gothic" w:hAnsi="Century Gothic"/>
                <w:sz w:val="20"/>
              </w:rPr>
              <w:t>Roll out to all remaining licensed Deposit Money Banks operating in the State.</w:t>
            </w:r>
          </w:p>
        </w:tc>
      </w:tr>
      <w:tr w:rsidR="00EA2242" w:rsidRPr="00D21B22" w14:paraId="499532F8" w14:textId="77777777">
        <w:tc>
          <w:tcPr>
            <w:tcW w:w="2880" w:type="dxa"/>
          </w:tcPr>
          <w:p w14:paraId="285815BF" w14:textId="77777777" w:rsidR="00EA2242" w:rsidRPr="00D21B22" w:rsidRDefault="00000000" w:rsidP="00D21B22">
            <w:pPr>
              <w:jc w:val="both"/>
              <w:rPr>
                <w:rFonts w:ascii="Century Gothic" w:hAnsi="Century Gothic"/>
              </w:rPr>
            </w:pPr>
            <w:r w:rsidRPr="00D21B22">
              <w:rPr>
                <w:rFonts w:ascii="Century Gothic" w:hAnsi="Century Gothic"/>
                <w:sz w:val="20"/>
              </w:rPr>
              <w:t>Phase 3</w:t>
            </w:r>
          </w:p>
        </w:tc>
        <w:tc>
          <w:tcPr>
            <w:tcW w:w="2880" w:type="dxa"/>
          </w:tcPr>
          <w:p w14:paraId="56470C23" w14:textId="77777777" w:rsidR="00EA2242" w:rsidRPr="00D21B22" w:rsidRDefault="00000000" w:rsidP="00D21B22">
            <w:pPr>
              <w:jc w:val="both"/>
              <w:rPr>
                <w:rFonts w:ascii="Century Gothic" w:hAnsi="Century Gothic"/>
              </w:rPr>
            </w:pPr>
            <w:r w:rsidRPr="00D21B22">
              <w:rPr>
                <w:rFonts w:ascii="Century Gothic" w:hAnsi="Century Gothic"/>
                <w:sz w:val="20"/>
              </w:rPr>
              <w:t>Q1 2027</w:t>
            </w:r>
          </w:p>
        </w:tc>
        <w:tc>
          <w:tcPr>
            <w:tcW w:w="2880" w:type="dxa"/>
          </w:tcPr>
          <w:p w14:paraId="7EA98D0D" w14:textId="77777777" w:rsidR="00EA2242" w:rsidRPr="00D21B22" w:rsidRDefault="00000000" w:rsidP="00D21B22">
            <w:pPr>
              <w:jc w:val="both"/>
              <w:rPr>
                <w:rFonts w:ascii="Century Gothic" w:hAnsi="Century Gothic"/>
              </w:rPr>
            </w:pPr>
            <w:r w:rsidRPr="00D21B22">
              <w:rPr>
                <w:rFonts w:ascii="Century Gothic" w:hAnsi="Century Gothic"/>
                <w:sz w:val="20"/>
              </w:rPr>
              <w:t>Onboard Payment Service Banks, Microfinance Banks, and the major fintechs.</w:t>
            </w:r>
          </w:p>
        </w:tc>
      </w:tr>
      <w:tr w:rsidR="00EA2242" w:rsidRPr="00D21B22" w14:paraId="5644EB13" w14:textId="77777777">
        <w:tc>
          <w:tcPr>
            <w:tcW w:w="2880" w:type="dxa"/>
          </w:tcPr>
          <w:p w14:paraId="7BD128AF" w14:textId="77777777" w:rsidR="00EA2242" w:rsidRPr="00D21B22" w:rsidRDefault="00000000" w:rsidP="00D21B22">
            <w:pPr>
              <w:jc w:val="both"/>
              <w:rPr>
                <w:rFonts w:ascii="Century Gothic" w:hAnsi="Century Gothic"/>
              </w:rPr>
            </w:pPr>
            <w:r w:rsidRPr="00D21B22">
              <w:rPr>
                <w:rFonts w:ascii="Century Gothic" w:hAnsi="Century Gothic"/>
                <w:sz w:val="20"/>
              </w:rPr>
              <w:t>Phase 4</w:t>
            </w:r>
          </w:p>
        </w:tc>
        <w:tc>
          <w:tcPr>
            <w:tcW w:w="2880" w:type="dxa"/>
          </w:tcPr>
          <w:p w14:paraId="2212C48D" w14:textId="77777777" w:rsidR="00EA2242" w:rsidRPr="00D21B22" w:rsidRDefault="00000000" w:rsidP="00D21B22">
            <w:pPr>
              <w:jc w:val="both"/>
              <w:rPr>
                <w:rFonts w:ascii="Century Gothic" w:hAnsi="Century Gothic"/>
              </w:rPr>
            </w:pPr>
            <w:r w:rsidRPr="00D21B22">
              <w:rPr>
                <w:rFonts w:ascii="Century Gothic" w:hAnsi="Century Gothic"/>
                <w:sz w:val="20"/>
              </w:rPr>
              <w:t>Q2 2027</w:t>
            </w:r>
          </w:p>
        </w:tc>
        <w:tc>
          <w:tcPr>
            <w:tcW w:w="2880" w:type="dxa"/>
          </w:tcPr>
          <w:p w14:paraId="450B1C2E" w14:textId="77777777" w:rsidR="00EA2242" w:rsidRPr="00D21B22" w:rsidRDefault="00000000" w:rsidP="00D21B22">
            <w:pPr>
              <w:jc w:val="both"/>
              <w:rPr>
                <w:rFonts w:ascii="Century Gothic" w:hAnsi="Century Gothic"/>
              </w:rPr>
            </w:pPr>
            <w:r w:rsidRPr="00D21B22">
              <w:rPr>
                <w:rFonts w:ascii="Century Gothic" w:hAnsi="Century Gothic"/>
                <w:sz w:val="20"/>
              </w:rPr>
              <w:t>API integration.</w:t>
            </w:r>
          </w:p>
        </w:tc>
      </w:tr>
    </w:tbl>
    <w:p w14:paraId="2CFB13FE" w14:textId="77777777" w:rsidR="00EA2242" w:rsidRPr="00D21B22" w:rsidRDefault="00EA2242" w:rsidP="00D21B22">
      <w:pPr>
        <w:spacing w:after="120"/>
        <w:jc w:val="both"/>
        <w:rPr>
          <w:rFonts w:ascii="Century Gothic" w:hAnsi="Century Gothic"/>
        </w:rPr>
      </w:pPr>
    </w:p>
    <w:p w14:paraId="373AB3D1" w14:textId="77777777" w:rsidR="00EA2242" w:rsidRPr="00D21B22" w:rsidRDefault="00000000" w:rsidP="00D21B22">
      <w:pPr>
        <w:spacing w:before="120" w:after="80"/>
        <w:jc w:val="both"/>
        <w:rPr>
          <w:rFonts w:ascii="Century Gothic" w:hAnsi="Century Gothic"/>
        </w:rPr>
      </w:pPr>
      <w:r w:rsidRPr="00D21B22">
        <w:rPr>
          <w:rFonts w:ascii="Century Gothic" w:hAnsi="Century Gothic"/>
          <w:b/>
          <w:color w:val="1F5C99"/>
        </w:rPr>
        <w:t>Training Programme</w:t>
      </w:r>
    </w:p>
    <w:p w14:paraId="621129C6"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Two-week induction for 15 OGSIRS officers across the analyst, audit-officer, and supervisor cadres.</w:t>
      </w:r>
    </w:p>
    <w:p w14:paraId="477C6A65"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Hands-on simulation laboratory built on a sanitised synthetic dataset that mirrors real State transaction patterns.</w:t>
      </w:r>
    </w:p>
    <w:p w14:paraId="0B0A79E3"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NTAA 2025 legal training delivered by the legal unit specialising in tax law.</w:t>
      </w:r>
    </w:p>
    <w:p w14:paraId="2BF2C119" w14:textId="77777777" w:rsidR="00EA2242" w:rsidRPr="00D21B22" w:rsidRDefault="00000000" w:rsidP="00D21B22">
      <w:pPr>
        <w:pStyle w:val="ListBullet"/>
        <w:spacing w:after="60"/>
        <w:jc w:val="both"/>
        <w:rPr>
          <w:rFonts w:ascii="Century Gothic" w:hAnsi="Century Gothic"/>
        </w:rPr>
      </w:pPr>
      <w:r w:rsidRPr="00D21B22">
        <w:rPr>
          <w:rFonts w:ascii="Century Gothic" w:hAnsi="Century Gothic"/>
        </w:rPr>
        <w:t>Refresher training conducted every 6 months to address case-law developments and platform updates.</w:t>
      </w:r>
    </w:p>
    <w:p w14:paraId="1AE6A870" w14:textId="77777777" w:rsidR="00EA2242" w:rsidRPr="00D21B22" w:rsidRDefault="00000000" w:rsidP="00D21B22">
      <w:pPr>
        <w:jc w:val="both"/>
        <w:rPr>
          <w:rFonts w:ascii="Century Gothic" w:hAnsi="Century Gothic"/>
        </w:rPr>
      </w:pPr>
      <w:r w:rsidRPr="00D21B22">
        <w:rPr>
          <w:rFonts w:ascii="Century Gothic" w:hAnsi="Century Gothic"/>
        </w:rPr>
        <w:br w:type="page"/>
      </w:r>
    </w:p>
    <w:p w14:paraId="1DD887B0" w14:textId="349AABF8" w:rsidR="00EA2242" w:rsidRPr="00D21B22" w:rsidRDefault="002D6F36" w:rsidP="00D21B22">
      <w:pPr>
        <w:spacing w:before="200" w:after="80"/>
        <w:jc w:val="both"/>
        <w:rPr>
          <w:rFonts w:ascii="Century Gothic" w:hAnsi="Century Gothic"/>
        </w:rPr>
      </w:pPr>
      <w:r>
        <w:rPr>
          <w:rFonts w:ascii="Century Gothic" w:hAnsi="Century Gothic"/>
          <w:b/>
          <w:color w:val="1F5C99"/>
          <w:sz w:val="28"/>
        </w:rPr>
        <w:lastRenderedPageBreak/>
        <w:t>6</w:t>
      </w:r>
      <w:r w:rsidR="00000000" w:rsidRPr="00D21B22">
        <w:rPr>
          <w:rFonts w:ascii="Century Gothic" w:hAnsi="Century Gothic"/>
          <w:b/>
          <w:color w:val="1F5C99"/>
          <w:sz w:val="28"/>
        </w:rPr>
        <w:t>. COST IMPLICATION</w:t>
      </w:r>
    </w:p>
    <w:p w14:paraId="16DA2ADB" w14:textId="77777777" w:rsidR="00EA2242" w:rsidRPr="00D21B22" w:rsidRDefault="00000000" w:rsidP="00D21B22">
      <w:pPr>
        <w:spacing w:after="120"/>
        <w:jc w:val="both"/>
        <w:rPr>
          <w:rFonts w:ascii="Century Gothic" w:hAnsi="Century Gothic"/>
        </w:rPr>
      </w:pPr>
      <w:r w:rsidRPr="00D21B22">
        <w:rPr>
          <w:rFonts w:ascii="Century Gothic" w:hAnsi="Century Gothic"/>
        </w:rPr>
        <w:t>The Financial proposal will be provided on demand. However, below are the major cost centres which will be provided on request.</w:t>
      </w:r>
    </w:p>
    <w:p w14:paraId="4AAAC4B6" w14:textId="7BADDA4B" w:rsidR="00EA2242" w:rsidRPr="00D21B22" w:rsidRDefault="002D6F36" w:rsidP="00D21B22">
      <w:pPr>
        <w:spacing w:before="120" w:after="80"/>
        <w:jc w:val="both"/>
        <w:rPr>
          <w:rFonts w:ascii="Century Gothic" w:hAnsi="Century Gothic"/>
        </w:rPr>
      </w:pPr>
      <w:r>
        <w:rPr>
          <w:rFonts w:ascii="Century Gothic" w:hAnsi="Century Gothic"/>
          <w:b/>
          <w:color w:val="1F5C99"/>
        </w:rPr>
        <w:t>6</w:t>
      </w:r>
      <w:r w:rsidR="00000000" w:rsidRPr="00D21B22">
        <w:rPr>
          <w:rFonts w:ascii="Century Gothic" w:hAnsi="Century Gothic"/>
          <w:b/>
          <w:color w:val="1F5C99"/>
        </w:rPr>
        <w:t>.1 Year 1 Investment</w:t>
      </w:r>
    </w:p>
    <w:tbl>
      <w:tblPr>
        <w:tblStyle w:val="TableGrid"/>
        <w:tblW w:w="0" w:type="auto"/>
        <w:tblLook w:val="04A0" w:firstRow="1" w:lastRow="0" w:firstColumn="1" w:lastColumn="0" w:noHBand="0" w:noVBand="1"/>
      </w:tblPr>
      <w:tblGrid>
        <w:gridCol w:w="4320"/>
        <w:gridCol w:w="4320"/>
      </w:tblGrid>
      <w:tr w:rsidR="00EA2242" w:rsidRPr="00D21B22" w14:paraId="492F707D" w14:textId="77777777">
        <w:tc>
          <w:tcPr>
            <w:tcW w:w="4320" w:type="dxa"/>
          </w:tcPr>
          <w:p w14:paraId="144959F4" w14:textId="77777777" w:rsidR="00EA2242" w:rsidRPr="00D21B22" w:rsidRDefault="00000000" w:rsidP="00D21B22">
            <w:pPr>
              <w:jc w:val="both"/>
              <w:rPr>
                <w:rFonts w:ascii="Century Gothic" w:hAnsi="Century Gothic"/>
              </w:rPr>
            </w:pPr>
            <w:r w:rsidRPr="00D21B22">
              <w:rPr>
                <w:rFonts w:ascii="Century Gothic" w:hAnsi="Century Gothic"/>
                <w:b/>
                <w:sz w:val="20"/>
              </w:rPr>
              <w:t>Line item</w:t>
            </w:r>
          </w:p>
        </w:tc>
        <w:tc>
          <w:tcPr>
            <w:tcW w:w="4320" w:type="dxa"/>
          </w:tcPr>
          <w:p w14:paraId="5D0CA554" w14:textId="77777777" w:rsidR="00EA2242" w:rsidRPr="00D21B22" w:rsidRDefault="00000000" w:rsidP="00D21B22">
            <w:pPr>
              <w:jc w:val="both"/>
              <w:rPr>
                <w:rFonts w:ascii="Century Gothic" w:hAnsi="Century Gothic"/>
              </w:rPr>
            </w:pPr>
            <w:r w:rsidRPr="00D21B22">
              <w:rPr>
                <w:rFonts w:ascii="Century Gothic" w:hAnsi="Century Gothic"/>
                <w:b/>
                <w:sz w:val="20"/>
              </w:rPr>
              <w:t>Cost (NGN)</w:t>
            </w:r>
          </w:p>
        </w:tc>
      </w:tr>
      <w:tr w:rsidR="00EA2242" w:rsidRPr="00D21B22" w14:paraId="64618356" w14:textId="77777777">
        <w:tc>
          <w:tcPr>
            <w:tcW w:w="4320" w:type="dxa"/>
          </w:tcPr>
          <w:p w14:paraId="3BFB579B" w14:textId="77777777" w:rsidR="00EA2242" w:rsidRPr="00D21B22" w:rsidRDefault="00000000" w:rsidP="00D21B22">
            <w:pPr>
              <w:jc w:val="both"/>
              <w:rPr>
                <w:rFonts w:ascii="Century Gothic" w:hAnsi="Century Gothic"/>
              </w:rPr>
            </w:pPr>
            <w:r w:rsidRPr="00D21B22">
              <w:rPr>
                <w:rFonts w:ascii="Century Gothic" w:hAnsi="Century Gothic"/>
                <w:sz w:val="20"/>
              </w:rPr>
              <w:t>BIZDATA platform Design</w:t>
            </w:r>
          </w:p>
        </w:tc>
        <w:tc>
          <w:tcPr>
            <w:tcW w:w="4320" w:type="dxa"/>
          </w:tcPr>
          <w:p w14:paraId="345CBA3D" w14:textId="77777777" w:rsidR="00EA2242" w:rsidRPr="00D21B22" w:rsidRDefault="00EA2242" w:rsidP="00D21B22">
            <w:pPr>
              <w:jc w:val="both"/>
              <w:rPr>
                <w:rFonts w:ascii="Century Gothic" w:hAnsi="Century Gothic"/>
              </w:rPr>
            </w:pPr>
          </w:p>
        </w:tc>
      </w:tr>
      <w:tr w:rsidR="00EA2242" w:rsidRPr="00D21B22" w14:paraId="07341956" w14:textId="77777777">
        <w:tc>
          <w:tcPr>
            <w:tcW w:w="4320" w:type="dxa"/>
          </w:tcPr>
          <w:p w14:paraId="0BF85788" w14:textId="77777777" w:rsidR="00EA2242" w:rsidRPr="00D21B22" w:rsidRDefault="00000000" w:rsidP="00D21B22">
            <w:pPr>
              <w:jc w:val="both"/>
              <w:rPr>
                <w:rFonts w:ascii="Century Gothic" w:hAnsi="Century Gothic"/>
              </w:rPr>
            </w:pPr>
            <w:r w:rsidRPr="00D21B22">
              <w:rPr>
                <w:rFonts w:ascii="Century Gothic" w:hAnsi="Century Gothic"/>
                <w:sz w:val="20"/>
              </w:rPr>
              <w:t>Deployment and Implementation</w:t>
            </w:r>
          </w:p>
        </w:tc>
        <w:tc>
          <w:tcPr>
            <w:tcW w:w="4320" w:type="dxa"/>
          </w:tcPr>
          <w:p w14:paraId="5142B55A" w14:textId="77777777" w:rsidR="00EA2242" w:rsidRPr="00D21B22" w:rsidRDefault="00EA2242" w:rsidP="00D21B22">
            <w:pPr>
              <w:jc w:val="both"/>
              <w:rPr>
                <w:rFonts w:ascii="Century Gothic" w:hAnsi="Century Gothic"/>
              </w:rPr>
            </w:pPr>
          </w:p>
        </w:tc>
      </w:tr>
      <w:tr w:rsidR="00EA2242" w:rsidRPr="00D21B22" w14:paraId="4DA73E37" w14:textId="77777777">
        <w:tc>
          <w:tcPr>
            <w:tcW w:w="4320" w:type="dxa"/>
          </w:tcPr>
          <w:p w14:paraId="74BCB156" w14:textId="77777777" w:rsidR="00EA2242" w:rsidRPr="00D21B22" w:rsidRDefault="00000000" w:rsidP="00D21B22">
            <w:pPr>
              <w:jc w:val="both"/>
              <w:rPr>
                <w:rFonts w:ascii="Century Gothic" w:hAnsi="Century Gothic"/>
              </w:rPr>
            </w:pPr>
            <w:r w:rsidRPr="00D21B22">
              <w:rPr>
                <w:rFonts w:ascii="Century Gothic" w:hAnsi="Century Gothic"/>
                <w:sz w:val="20"/>
              </w:rPr>
              <w:t>Training</w:t>
            </w:r>
          </w:p>
        </w:tc>
        <w:tc>
          <w:tcPr>
            <w:tcW w:w="4320" w:type="dxa"/>
          </w:tcPr>
          <w:p w14:paraId="05EC19D2" w14:textId="77777777" w:rsidR="00EA2242" w:rsidRPr="00D21B22" w:rsidRDefault="00EA2242" w:rsidP="00D21B22">
            <w:pPr>
              <w:jc w:val="both"/>
              <w:rPr>
                <w:rFonts w:ascii="Century Gothic" w:hAnsi="Century Gothic"/>
              </w:rPr>
            </w:pPr>
          </w:p>
        </w:tc>
      </w:tr>
      <w:tr w:rsidR="00EA2242" w:rsidRPr="00D21B22" w14:paraId="2673F889" w14:textId="77777777">
        <w:tc>
          <w:tcPr>
            <w:tcW w:w="4320" w:type="dxa"/>
          </w:tcPr>
          <w:p w14:paraId="240AB546" w14:textId="77777777" w:rsidR="00EA2242" w:rsidRPr="00D21B22" w:rsidRDefault="00000000" w:rsidP="00D21B22">
            <w:pPr>
              <w:jc w:val="both"/>
              <w:rPr>
                <w:rFonts w:ascii="Century Gothic" w:hAnsi="Century Gothic"/>
              </w:rPr>
            </w:pPr>
            <w:r w:rsidRPr="00D21B22">
              <w:rPr>
                <w:rFonts w:ascii="Century Gothic" w:hAnsi="Century Gothic"/>
                <w:sz w:val="20"/>
              </w:rPr>
              <w:t>Maintenance (Monthly)</w:t>
            </w:r>
          </w:p>
        </w:tc>
        <w:tc>
          <w:tcPr>
            <w:tcW w:w="4320" w:type="dxa"/>
          </w:tcPr>
          <w:p w14:paraId="49D90A7B" w14:textId="77777777" w:rsidR="00EA2242" w:rsidRPr="00D21B22" w:rsidRDefault="00EA2242" w:rsidP="00D21B22">
            <w:pPr>
              <w:jc w:val="both"/>
              <w:rPr>
                <w:rFonts w:ascii="Century Gothic" w:hAnsi="Century Gothic"/>
              </w:rPr>
            </w:pPr>
          </w:p>
        </w:tc>
      </w:tr>
      <w:tr w:rsidR="00EA2242" w:rsidRPr="00D21B22" w14:paraId="22DA1623" w14:textId="77777777">
        <w:tc>
          <w:tcPr>
            <w:tcW w:w="4320" w:type="dxa"/>
          </w:tcPr>
          <w:p w14:paraId="4A12702B" w14:textId="77777777" w:rsidR="00EA2242" w:rsidRPr="00D21B22" w:rsidRDefault="00000000" w:rsidP="00D21B22">
            <w:pPr>
              <w:jc w:val="both"/>
              <w:rPr>
                <w:rFonts w:ascii="Century Gothic" w:hAnsi="Century Gothic"/>
              </w:rPr>
            </w:pPr>
            <w:r w:rsidRPr="00D21B22">
              <w:rPr>
                <w:rFonts w:ascii="Century Gothic" w:hAnsi="Century Gothic"/>
                <w:sz w:val="20"/>
              </w:rPr>
              <w:t>Total Year 1</w:t>
            </w:r>
          </w:p>
        </w:tc>
        <w:tc>
          <w:tcPr>
            <w:tcW w:w="4320" w:type="dxa"/>
          </w:tcPr>
          <w:p w14:paraId="4065F7A4" w14:textId="77777777" w:rsidR="00EA2242" w:rsidRPr="00D21B22" w:rsidRDefault="00EA2242" w:rsidP="00D21B22">
            <w:pPr>
              <w:jc w:val="both"/>
              <w:rPr>
                <w:rFonts w:ascii="Century Gothic" w:hAnsi="Century Gothic"/>
              </w:rPr>
            </w:pPr>
          </w:p>
        </w:tc>
      </w:tr>
    </w:tbl>
    <w:p w14:paraId="2390021A" w14:textId="77777777" w:rsidR="00EA2242" w:rsidRPr="00D21B22" w:rsidRDefault="00EA2242" w:rsidP="00D21B22">
      <w:pPr>
        <w:spacing w:after="120"/>
        <w:jc w:val="both"/>
        <w:rPr>
          <w:rFonts w:ascii="Century Gothic" w:hAnsi="Century Gothic"/>
        </w:rPr>
      </w:pPr>
    </w:p>
    <w:p w14:paraId="66AD5A90" w14:textId="285AF5DE" w:rsidR="00EA2242" w:rsidRPr="00D21B22" w:rsidRDefault="002D6F36" w:rsidP="00D21B22">
      <w:pPr>
        <w:spacing w:before="120" w:after="80"/>
        <w:jc w:val="both"/>
        <w:rPr>
          <w:rFonts w:ascii="Century Gothic" w:hAnsi="Century Gothic"/>
        </w:rPr>
      </w:pPr>
      <w:r>
        <w:rPr>
          <w:rFonts w:ascii="Century Gothic" w:hAnsi="Century Gothic"/>
          <w:b/>
          <w:color w:val="1F5C99"/>
        </w:rPr>
        <w:t>6</w:t>
      </w:r>
      <w:r w:rsidR="00000000" w:rsidRPr="00D21B22">
        <w:rPr>
          <w:rFonts w:ascii="Century Gothic" w:hAnsi="Century Gothic"/>
          <w:b/>
          <w:color w:val="1F5C99"/>
        </w:rPr>
        <w:t>.2 Recurring Annual Cost (Year 2+)</w:t>
      </w:r>
    </w:p>
    <w:tbl>
      <w:tblPr>
        <w:tblStyle w:val="TableGrid"/>
        <w:tblW w:w="0" w:type="auto"/>
        <w:tblLook w:val="04A0" w:firstRow="1" w:lastRow="0" w:firstColumn="1" w:lastColumn="0" w:noHBand="0" w:noVBand="1"/>
      </w:tblPr>
      <w:tblGrid>
        <w:gridCol w:w="4320"/>
        <w:gridCol w:w="4320"/>
      </w:tblGrid>
      <w:tr w:rsidR="00EA2242" w:rsidRPr="00D21B22" w14:paraId="79442EE3" w14:textId="77777777">
        <w:tc>
          <w:tcPr>
            <w:tcW w:w="4320" w:type="dxa"/>
          </w:tcPr>
          <w:p w14:paraId="23782C38" w14:textId="77777777" w:rsidR="00EA2242" w:rsidRPr="00D21B22" w:rsidRDefault="00000000" w:rsidP="00D21B22">
            <w:pPr>
              <w:jc w:val="both"/>
              <w:rPr>
                <w:rFonts w:ascii="Century Gothic" w:hAnsi="Century Gothic"/>
              </w:rPr>
            </w:pPr>
            <w:r w:rsidRPr="00D21B22">
              <w:rPr>
                <w:rFonts w:ascii="Century Gothic" w:hAnsi="Century Gothic"/>
                <w:b/>
                <w:sz w:val="20"/>
              </w:rPr>
              <w:t>Line item</w:t>
            </w:r>
          </w:p>
        </w:tc>
        <w:tc>
          <w:tcPr>
            <w:tcW w:w="4320" w:type="dxa"/>
          </w:tcPr>
          <w:p w14:paraId="54451504" w14:textId="77777777" w:rsidR="00EA2242" w:rsidRPr="00D21B22" w:rsidRDefault="00000000" w:rsidP="00D21B22">
            <w:pPr>
              <w:jc w:val="both"/>
              <w:rPr>
                <w:rFonts w:ascii="Century Gothic" w:hAnsi="Century Gothic"/>
              </w:rPr>
            </w:pPr>
            <w:r w:rsidRPr="00D21B22">
              <w:rPr>
                <w:rFonts w:ascii="Century Gothic" w:hAnsi="Century Gothic"/>
                <w:b/>
                <w:sz w:val="20"/>
              </w:rPr>
              <w:t>Cost (NGN)</w:t>
            </w:r>
          </w:p>
        </w:tc>
      </w:tr>
      <w:tr w:rsidR="00EA2242" w:rsidRPr="00D21B22" w14:paraId="350350EB" w14:textId="77777777">
        <w:tc>
          <w:tcPr>
            <w:tcW w:w="4320" w:type="dxa"/>
          </w:tcPr>
          <w:p w14:paraId="47C7C502" w14:textId="77777777" w:rsidR="00EA2242" w:rsidRPr="00D21B22" w:rsidRDefault="00000000" w:rsidP="00D21B22">
            <w:pPr>
              <w:jc w:val="both"/>
              <w:rPr>
                <w:rFonts w:ascii="Century Gothic" w:hAnsi="Century Gothic"/>
              </w:rPr>
            </w:pPr>
            <w:r w:rsidRPr="00D21B22">
              <w:rPr>
                <w:rFonts w:ascii="Century Gothic" w:hAnsi="Century Gothic"/>
                <w:sz w:val="20"/>
              </w:rPr>
              <w:t>Hardware maintenance</w:t>
            </w:r>
          </w:p>
        </w:tc>
        <w:tc>
          <w:tcPr>
            <w:tcW w:w="4320" w:type="dxa"/>
          </w:tcPr>
          <w:p w14:paraId="55DDB205" w14:textId="77777777" w:rsidR="00EA2242" w:rsidRPr="00D21B22" w:rsidRDefault="00EA2242" w:rsidP="00D21B22">
            <w:pPr>
              <w:jc w:val="both"/>
              <w:rPr>
                <w:rFonts w:ascii="Century Gothic" w:hAnsi="Century Gothic"/>
              </w:rPr>
            </w:pPr>
          </w:p>
        </w:tc>
      </w:tr>
      <w:tr w:rsidR="00EA2242" w:rsidRPr="00D21B22" w14:paraId="575441C5" w14:textId="77777777">
        <w:tc>
          <w:tcPr>
            <w:tcW w:w="4320" w:type="dxa"/>
          </w:tcPr>
          <w:p w14:paraId="5B441ED0" w14:textId="77777777" w:rsidR="00EA2242" w:rsidRPr="00D21B22" w:rsidRDefault="00000000" w:rsidP="00D21B22">
            <w:pPr>
              <w:jc w:val="both"/>
              <w:rPr>
                <w:rFonts w:ascii="Century Gothic" w:hAnsi="Century Gothic"/>
              </w:rPr>
            </w:pPr>
            <w:r w:rsidRPr="00D21B22">
              <w:rPr>
                <w:rFonts w:ascii="Century Gothic" w:hAnsi="Century Gothic"/>
                <w:sz w:val="20"/>
              </w:rPr>
              <w:t>Refresher training</w:t>
            </w:r>
          </w:p>
        </w:tc>
        <w:tc>
          <w:tcPr>
            <w:tcW w:w="4320" w:type="dxa"/>
          </w:tcPr>
          <w:p w14:paraId="5F5EEA6D" w14:textId="77777777" w:rsidR="00EA2242" w:rsidRPr="00D21B22" w:rsidRDefault="00EA2242" w:rsidP="00D21B22">
            <w:pPr>
              <w:jc w:val="both"/>
              <w:rPr>
                <w:rFonts w:ascii="Century Gothic" w:hAnsi="Century Gothic"/>
              </w:rPr>
            </w:pPr>
          </w:p>
        </w:tc>
      </w:tr>
      <w:tr w:rsidR="00EA2242" w:rsidRPr="00D21B22" w14:paraId="1FBDFEFE" w14:textId="77777777">
        <w:tc>
          <w:tcPr>
            <w:tcW w:w="4320" w:type="dxa"/>
          </w:tcPr>
          <w:p w14:paraId="566C0B2A" w14:textId="77777777" w:rsidR="00EA2242" w:rsidRPr="00D21B22" w:rsidRDefault="00000000" w:rsidP="00D21B22">
            <w:pPr>
              <w:jc w:val="both"/>
              <w:rPr>
                <w:rFonts w:ascii="Century Gothic" w:hAnsi="Century Gothic"/>
              </w:rPr>
            </w:pPr>
            <w:r w:rsidRPr="00D21B22">
              <w:rPr>
                <w:rFonts w:ascii="Century Gothic" w:hAnsi="Century Gothic"/>
                <w:sz w:val="20"/>
              </w:rPr>
              <w:t>AI model retraining</w:t>
            </w:r>
          </w:p>
        </w:tc>
        <w:tc>
          <w:tcPr>
            <w:tcW w:w="4320" w:type="dxa"/>
          </w:tcPr>
          <w:p w14:paraId="09F539FB" w14:textId="77777777" w:rsidR="00EA2242" w:rsidRPr="00D21B22" w:rsidRDefault="00EA2242" w:rsidP="00D21B22">
            <w:pPr>
              <w:jc w:val="both"/>
              <w:rPr>
                <w:rFonts w:ascii="Century Gothic" w:hAnsi="Century Gothic"/>
              </w:rPr>
            </w:pPr>
          </w:p>
        </w:tc>
      </w:tr>
      <w:tr w:rsidR="00EA2242" w:rsidRPr="00D21B22" w14:paraId="5A127DDA" w14:textId="77777777">
        <w:tc>
          <w:tcPr>
            <w:tcW w:w="4320" w:type="dxa"/>
          </w:tcPr>
          <w:p w14:paraId="56EC2193" w14:textId="77777777" w:rsidR="00EA2242" w:rsidRPr="00D21B22" w:rsidRDefault="00000000" w:rsidP="00D21B22">
            <w:pPr>
              <w:jc w:val="both"/>
              <w:rPr>
                <w:rFonts w:ascii="Century Gothic" w:hAnsi="Century Gothic"/>
              </w:rPr>
            </w:pPr>
            <w:r w:rsidRPr="00D21B22">
              <w:rPr>
                <w:rFonts w:ascii="Century Gothic" w:hAnsi="Century Gothic"/>
                <w:sz w:val="20"/>
              </w:rPr>
              <w:t>Annual Subscription</w:t>
            </w:r>
          </w:p>
        </w:tc>
        <w:tc>
          <w:tcPr>
            <w:tcW w:w="4320" w:type="dxa"/>
          </w:tcPr>
          <w:p w14:paraId="3BD0F34C" w14:textId="77777777" w:rsidR="00EA2242" w:rsidRPr="00D21B22" w:rsidRDefault="00EA2242" w:rsidP="00D21B22">
            <w:pPr>
              <w:jc w:val="both"/>
              <w:rPr>
                <w:rFonts w:ascii="Century Gothic" w:hAnsi="Century Gothic"/>
              </w:rPr>
            </w:pPr>
          </w:p>
        </w:tc>
      </w:tr>
      <w:tr w:rsidR="00EA2242" w:rsidRPr="00D21B22" w14:paraId="7C911800" w14:textId="77777777">
        <w:tc>
          <w:tcPr>
            <w:tcW w:w="4320" w:type="dxa"/>
          </w:tcPr>
          <w:p w14:paraId="12730CD5" w14:textId="77777777" w:rsidR="00EA2242" w:rsidRPr="00D21B22" w:rsidRDefault="00000000" w:rsidP="00D21B22">
            <w:pPr>
              <w:jc w:val="both"/>
              <w:rPr>
                <w:rFonts w:ascii="Century Gothic" w:hAnsi="Century Gothic"/>
              </w:rPr>
            </w:pPr>
            <w:r w:rsidRPr="00D21B22">
              <w:rPr>
                <w:rFonts w:ascii="Century Gothic" w:hAnsi="Century Gothic"/>
                <w:sz w:val="20"/>
              </w:rPr>
              <w:t>Total recurring</w:t>
            </w:r>
          </w:p>
        </w:tc>
        <w:tc>
          <w:tcPr>
            <w:tcW w:w="4320" w:type="dxa"/>
          </w:tcPr>
          <w:p w14:paraId="62C00BC9" w14:textId="77777777" w:rsidR="00EA2242" w:rsidRPr="00D21B22" w:rsidRDefault="00EA2242" w:rsidP="00D21B22">
            <w:pPr>
              <w:jc w:val="both"/>
              <w:rPr>
                <w:rFonts w:ascii="Century Gothic" w:hAnsi="Century Gothic"/>
              </w:rPr>
            </w:pPr>
          </w:p>
        </w:tc>
      </w:tr>
    </w:tbl>
    <w:p w14:paraId="6552AD1C" w14:textId="77777777" w:rsidR="000F3E78" w:rsidRPr="00D21B22" w:rsidRDefault="000F3E78" w:rsidP="00D21B22">
      <w:pPr>
        <w:jc w:val="both"/>
        <w:rPr>
          <w:rFonts w:ascii="Century Gothic" w:hAnsi="Century Gothic"/>
        </w:rPr>
      </w:pPr>
    </w:p>
    <w:sectPr w:rsidR="000F3E78" w:rsidRPr="00D21B22" w:rsidSect="00D21B22">
      <w:pgSz w:w="12240" w:h="15840"/>
      <w:pgMar w:top="56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36466">
    <w:abstractNumId w:val="8"/>
  </w:num>
  <w:num w:numId="2" w16cid:durableId="1763601875">
    <w:abstractNumId w:val="6"/>
  </w:num>
  <w:num w:numId="3" w16cid:durableId="126439649">
    <w:abstractNumId w:val="5"/>
  </w:num>
  <w:num w:numId="4" w16cid:durableId="1445811734">
    <w:abstractNumId w:val="4"/>
  </w:num>
  <w:num w:numId="5" w16cid:durableId="1244946487">
    <w:abstractNumId w:val="7"/>
  </w:num>
  <w:num w:numId="6" w16cid:durableId="520624789">
    <w:abstractNumId w:val="3"/>
  </w:num>
  <w:num w:numId="7" w16cid:durableId="1836725986">
    <w:abstractNumId w:val="2"/>
  </w:num>
  <w:num w:numId="8" w16cid:durableId="698238240">
    <w:abstractNumId w:val="1"/>
  </w:num>
  <w:num w:numId="9" w16cid:durableId="60130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78"/>
    <w:rsid w:val="0015074B"/>
    <w:rsid w:val="0029639D"/>
    <w:rsid w:val="002D6F36"/>
    <w:rsid w:val="00326F90"/>
    <w:rsid w:val="00343651"/>
    <w:rsid w:val="003C6A7F"/>
    <w:rsid w:val="00AA1D8D"/>
    <w:rsid w:val="00B47730"/>
    <w:rsid w:val="00CB0664"/>
    <w:rsid w:val="00D21B22"/>
    <w:rsid w:val="00EA2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96ABE"/>
  <w14:defaultImageDpi w14:val="300"/>
  <w15:docId w15:val="{C888B18F-43BB-412A-A543-5F21E3F2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Olawale Akinbami</cp:lastModifiedBy>
  <cp:revision>2</cp:revision>
  <dcterms:created xsi:type="dcterms:W3CDTF">2013-12-23T23:15:00Z</dcterms:created>
  <dcterms:modified xsi:type="dcterms:W3CDTF">2026-07-02T17:56:00Z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dc43116a-b15b-48ea-a4e6-1249490c817a</vt:lpwstr>
  </property>
</Properties>
</file>