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말마프렌즈 온라인 스토어 추가개발 견적서</w:t>
      </w:r>
    </w:p>
    <w:p>
      <w:r>
        <w:t>정책 개정 2026년 10월 7일</w:t>
      </w:r>
    </w:p>
    <w:p>
      <w:r>
        <w:t>인력별 공수와 금액은 아래 견적 내역을 따릅니다. 개발 기능과 처리 기준은 현재 정책으로 정리했습니다.</w:t>
      </w:r>
    </w:p>
    <w:p>
      <w:pPr>
        <w:pStyle w:val="Heading1"/>
      </w:pPr>
      <w:r>
        <w:t>견적 내역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수신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렛츠런파크 담당부서 귀중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견적일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2026. 09. 18.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주식회사 위이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견적 유효기간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별도 협의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사업자번호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236-81-02950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수행기간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착수일로부터 8~10주(예정)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수량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일 단가(원)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금액(원)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기획·화면 정리 및 QA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13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2,080,000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사용자 스토어 개발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18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3,960,000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관리자·연동·정산·보안·배포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24 PD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5,280,000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공급가액 (VAT 별도)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11,320,000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부가가치세 (10%)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1,132,000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합계 금액 (VAT 포함)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12,452,000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직무 구분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연간 기준 보수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실근무일</w:t>
            </w:r>
          </w:p>
        </w:tc>
        <w:tc>
          <w:tcPr>
            <w:tcW w:type="dxa" w:w="2493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적용 일 단가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기획·디자인·QA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40,000,000원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250일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160,000원/일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개발·연동·배포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55,000,000원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250일</w:t>
            </w:r>
          </w:p>
        </w:tc>
        <w:tc>
          <w:tcPr>
            <w:tcW w:type="dxa" w:w="2493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220,000원/일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성격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공급가액(원)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부가세(원)</w:t>
            </w:r>
          </w:p>
        </w:tc>
        <w:tc>
          <w:tcPr>
            <w:tcW w:type="dxa" w:w="1994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합계(원)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전체 기능 개발비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일회성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11,320,000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1,132,000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12,452,000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서버·네트워크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기존 계약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별도 청구 없음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개발 기능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포함 기능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장바구니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24개 / 페이지, 수동 노출 순서, 상세 정보, 재고 범위 수량, 회원별 장바구니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결제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회원 로그인, 주소 검색, 필수 동의 2종, 카드 결제와 주문 완료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주문과 반품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본인 주문 10건 / 페이지, 전체 취소와 반품, 운송장, 환불 결과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관리자 주문과 배송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20건 / 페이지, 주문번호·상품명 검색, 주문별 송장 등록·수정, 취소·환불·반려·예외 환불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상품과 설정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편집 도구, 대표 이미지, 소프트 삭제, 노출 순서, PC·모바일 배너와 스토어 설정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정산과 권한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승인월 원장, PG 2%, 환불 수수료 조정, 익월 지급 예정과 차감 이월, XLSX, 계정별 커머스 권한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검수와 인계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사용자·관리자 통합 검증, 운영 배포, 소스와 데이터 구조 및 연동 자료 전달</w:t>
            </w:r>
          </w:p>
        </w:tc>
      </w:tr>
    </w:tbl>
    <w:p>
      <w:pPr>
        <w:pStyle w:val="Heading1"/>
      </w:pPr>
      <w:r>
        <w:t>주요 처리 기준</w:t>
      </w:r>
    </w:p>
    <w:p>
      <w:r>
        <w:rPr>
          <w:b/>
        </w:rPr>
        <w:t xml:space="preserve">취소  </w:t>
      </w:r>
      <w:r>
        <w:t>고객은 설정 기한 내 발송 전, 관리자는 발송 전 사유 입력 후 전액 환불·재고 복원</w:t>
      </w:r>
    </w:p>
    <w:p>
      <w:r>
        <w:rPr>
          <w:b/>
        </w:rPr>
        <w:t xml:space="preserve">반품  </w:t>
      </w:r>
      <w:r>
        <w:t>운송장 등록일부터 기본 14일, 직접 반송 후 전체 환불 또는 반려</w:t>
      </w:r>
    </w:p>
    <w:p>
      <w:r>
        <w:rPr>
          <w:b/>
        </w:rPr>
        <w:t xml:space="preserve">환불  </w:t>
      </w:r>
      <w:r>
        <w:t>단순 변심 반품비 적용, 불량·파손·오배송은 전액 환불. 변경 사유와 처리 이력 저장</w:t>
      </w:r>
    </w:p>
    <w:p>
      <w:r>
        <w:rPr>
          <w:b/>
        </w:rPr>
        <w:t xml:space="preserve">재고  </w:t>
      </w:r>
      <w:r>
        <w:t>취소 복원 후 판매 상태 유지, 반품·예외 환불은 현재 재고 유지</w:t>
      </w:r>
    </w:p>
    <w:p>
      <w:r>
        <w:rPr>
          <w:b/>
        </w:rPr>
        <w:t xml:space="preserve">배송  </w:t>
      </w:r>
      <w:r>
        <w:t>주문별 운송장 등록 후 발송 완료, 등록 정보는 최신값으로 수정</w:t>
      </w:r>
    </w:p>
    <w:p>
      <w:r>
        <w:rPr>
          <w:b/>
        </w:rPr>
        <w:t xml:space="preserve">운영  </w:t>
      </w:r>
      <w:r>
        <w:t>변경 설정은 신규 주문부터 적용, 기존 주문의 상품·금액·정책 유지</w:t>
      </w:r>
    </w:p>
    <w:p>
      <w:pPr>
        <w:pStyle w:val="Heading1"/>
      </w:pPr>
      <w:r>
        <w:t>수행 조건과 인계</w:t>
      </w:r>
    </w:p>
    <w:p>
      <w:r>
        <w:rPr>
          <w:b/>
        </w:rPr>
        <w:t xml:space="preserve">기존 시스템  </w:t>
      </w:r>
      <w:r>
        <w:t>기존 관리자·회원·PG·서버 활용 전제입니다. 재사용 불가 항목은 계약 전 확인하고 범위·금액을 합의합니다.</w:t>
      </w:r>
    </w:p>
    <w:p>
      <w:r>
        <w:rPr>
          <w:b/>
        </w:rPr>
        <w:t xml:space="preserve">운영 비용  </w:t>
      </w:r>
      <w:r>
        <w:t>서버·네트워크 별도 청구 없음. 운영 지원은 기존 계약 범위를 적용합니다.</w:t>
      </w:r>
    </w:p>
    <w:p>
      <w:r>
        <w:rPr>
          <w:b/>
        </w:rPr>
        <w:t xml:space="preserve">하자보수  </w:t>
      </w:r>
      <w:r>
        <w:t>확정 명세와 다르게 동작하는 결함 보완. 기간·처리 기준은 계약에서 확정합니다.</w:t>
      </w:r>
    </w:p>
    <w:p>
      <w:r>
        <w:rPr>
          <w:b/>
        </w:rPr>
        <w:t xml:space="preserve">별도 비용  </w:t>
      </w:r>
      <w:r>
        <w:t>PG 수수료·사전 승인한 유료 서비스/라이선스·신규 디자인 제작</w:t>
      </w:r>
    </w:p>
    <w:p>
      <w:r>
        <w:rPr>
          <w:b/>
        </w:rPr>
        <w:t xml:space="preserve">계약 조건  </w:t>
      </w:r>
      <w:r>
        <w:t>지급·검수 기간·하자보수 기간·권리 귀속·해지·분쟁 조건은 별도 계약서에서 합의합니다.</w:t>
      </w:r>
    </w:p>
    <w:p>
      <w:r>
        <w:rPr>
          <w:b/>
        </w:rPr>
        <w:t xml:space="preserve">검수  </w:t>
      </w:r>
      <w:r>
        <w:t>명세에 따른 구매·결제·취소·반품·배송·정산을 확인하고 인계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KR" w:hAnsi="Noto Sans KR" w:eastAsia="Noto Sans KR" w:cs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Noto Sans KR" w:hAnsi="Noto Sans KR" w:eastAsia="Noto Sans KR" w:cs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Noto Sans KR" w:hAnsi="Noto Sans KR" w:eastAsia="Noto Sans KR" w:cs="Noto Sans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Noto Sans KR" w:hAnsi="Noto Sans KR" w:eastAsia="Noto Sans KR" w:cs="Noto Sans KR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KR" w:hAnsi="Noto Sans KR" w:eastAsia="Noto Sans KR" w:cs="Noto Sans KR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KR" w:hAnsi="Noto Sans KR" w:eastAsia="Noto Sans KR" w:cs="Noto Sans 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KR" w:hAnsi="Noto Sans KR" w:eastAsia="Noto Sans KR" w:cs="Noto Sans KR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KR" w:hAnsi="Noto Sans KR" w:eastAsia="Noto Sans KR" w:cs="Noto Sans KR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KR" w:hAnsi="Noto Sans KR" w:eastAsia="Noto Sans KR" w:cs="Noto Sans KR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KR" w:hAnsi="Noto Sans KR" w:eastAsia="Noto Sans KR" w:cs="Noto Sans KR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Noto Sans KR" w:hAnsi="Noto Sans KR" w:eastAsia="Noto Sans KR" w:cs="Noto Sans KR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KR" w:hAnsi="Noto Sans KR" w:eastAsia="Noto Sans KR" w:cs="Noto Sans KR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KR" w:hAnsi="Noto Sans KR" w:eastAsia="Noto Sans KR" w:cs="Noto Sans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KR" w:hAnsi="Noto Sans KR" w:eastAsia="Noto Sans KR" w:cs="Noto Sans 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KR" w:hAnsi="Noto Sans KR" w:eastAsia="Noto Sans KR" w:cs="Noto Sans 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KR" w:hAnsi="Noto Sans KR" w:eastAsia="Noto Sans KR" w:cs="Noto Sans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KR" w:hAnsi="Noto Sans KR" w:eastAsia="Noto Sans KR" w:cs="Noto Sans 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KR" w:hAnsi="Noto Sans KR" w:eastAsia="Noto Sans KR" w:cs="Noto Sans 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KR" w:hAnsi="Noto Sans KR" w:eastAsia="Noto Sans KR" w:cs="Noto Sans 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 w:cs="Noto Sans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KR" w:hAnsi="Noto Sans KR" w:eastAsia="Noto Sans KR" w:cs="Noto Sans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KR" w:hAnsi="Noto Sans KR" w:eastAsia="Noto Sans KR" w:cs="Noto Sans 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KR" w:hAnsi="Noto Sans KR" w:eastAsia="Noto Sans KR" w:cs="Noto Sans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KR" w:hAnsi="Noto Sans KR" w:eastAsia="Noto Sans KR" w:cs="Noto Sans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KR" w:hAnsi="Noto Sans KR" w:eastAsia="Noto Sans KR" w:cs="Noto Sans 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KR" w:hAnsi="Noto Sans KR" w:eastAsia="Noto Sans KR" w:cs="Noto Sans 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KR" w:hAnsi="Noto Sans KR" w:eastAsia="Noto Sans KR" w:cs="Noto Sans 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KR" w:hAnsi="Noto Sans KR" w:eastAsia="Noto Sans KR" w:cs="Noto Sans 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KR" w:hAnsi="Noto Sans KR" w:eastAsia="Noto Sans KR" w:cs="Noto Sans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KR" w:hAnsi="Noto Sans KR" w:eastAsia="Noto Sans KR" w:cs="Noto Sans KR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KR" w:hAnsi="Noto Sans KR" w:eastAsia="Noto Sans KR" w:cs="Noto Sans KR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KR" w:hAnsi="Noto Sans KR" w:eastAsia="Noto Sans KR" w:cs="Noto Sans KR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KR" w:hAnsi="Noto Sans KR" w:eastAsia="Noto Sans KR" w:cs="Noto Sans 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