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6"/>
          <w:szCs w:val="56"/>
        </w:rPr>
        <w:t xml:space="preserve">Sentry</w:t>
      </w:r>
    </w:p>
    <w:p>
      <w:pPr>
        <w:spacing w:after="60"/>
        <w:jc w:val="center"/>
      </w:pPr>
      <w:r>
        <w:rPr>
          <w:i/>
          <w:iCs/>
          <w:sz w:val="26"/>
          <w:szCs w:val="26"/>
        </w:rPr>
        <w:t xml:space="preserve">Full Build Plan: From Campus Pilot to Community Platform</w:t>
      </w:r>
    </w:p>
    <w:p>
      <w:pPr>
        <w:spacing w:after="300"/>
        <w:jc w:val="center"/>
      </w:pPr>
      <w:r>
        <w:rPr>
          <w:color w:val="555555"/>
          <w:sz w:val="20"/>
          <w:szCs w:val="20"/>
        </w:rPr>
        <w:t xml:space="preserve">Phased roadmap — hackathon MVP through full local-community deployment</w:t>
      </w:r>
    </w:p>
    <w:p>
      <w:pPr>
        <w:pStyle w:val="Heading1"/>
        <w:spacing w:after="160" w:before="320"/>
      </w:pPr>
      <w:r>
        <w:t xml:space="preserve">1. Scope Clarification</w:t>
      </w:r>
    </w:p>
    <w:p>
      <w:pPr>
        <w:spacing w:after="140"/>
      </w:pPr>
      <w:r>
        <w:t xml:space="preserve">Sentry is not a campus-only tool. KWASU is the pilot — the first place the system runs — but the actual goal is a reusable intelligence layer for the wider community around it (Malete, Ilorin, and eventually other towns and institutions), following the same community_id architecture already defined in the Sentry concept report. This document lays out how to get from the July 25 hackathon build to that full platform without losing either target along the way.</w:t>
      </w:r>
    </w:p>
    <w:p>
      <w:pPr>
        <w:pStyle w:val="Heading1"/>
        <w:spacing w:after="160" w:before="320"/>
      </w:pPr>
      <w:r>
        <w:t xml:space="preserve">2. Guiding Principle</w:t>
      </w:r>
    </w:p>
    <w:p>
      <w:pPr>
        <w:spacing w:after="140"/>
      </w:pPr>
      <w:r>
        <w:t xml:space="preserve">Two timelines have to be held at once: an 11-day hackathon deadline, and a multi-month platform build. The rule that keeps both alive: everything shipped for July 25 must also be the real first brick of the full platform — not a throwaway demo. Nothing in Phase 0 gets rebuilt from scratch later; it gets extended.</w:t>
      </w:r>
    </w:p>
    <w:p>
      <w:pPr>
        <w:pStyle w:val="Heading1"/>
        <w:spacing w:after="160" w:before="320"/>
      </w:pPr>
      <w:r>
        <w:t xml:space="preserve">3.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shd w:fill="DCE6F1" w:val="clear"/>
          </w:tcPr>
          <w:p>
            <w:r>
              <w:rPr>
                <w:b/>
                <w:bCs/>
              </w:rPr>
              <w:t xml:space="preserve">Phase</w:t>
            </w:r>
          </w:p>
        </w:tc>
        <w:tc>
          <w:tcPr>
            <w:tcW w:type="dxa" w:w="2600"/>
            <w:shd w:fill="DCE6F1" w:val="clear"/>
          </w:tcPr>
          <w:p>
            <w:r>
              <w:rPr>
                <w:b/>
                <w:bCs/>
              </w:rPr>
              <w:t xml:space="preserve">Timeline</w:t>
            </w:r>
          </w:p>
        </w:tc>
        <w:tc>
          <w:tcPr>
            <w:tcW w:type="dxa" w:w="4360"/>
            <w:shd w:fill="DCE6F1" w:val="clear"/>
          </w:tcPr>
          <w:p>
            <w:r>
              <w:rPr>
                <w:b/>
                <w:bCs/>
              </w:rPr>
              <w:t xml:space="preserve">Goal</w:t>
            </w:r>
          </w:p>
        </w:tc>
      </w:tr>
      <w:tr>
        <w:tc>
          <w:tcPr>
            <w:tcW w:type="dxa" w:w="2400"/>
          </w:tcPr>
          <w:p>
            <w:r>
              <w:rPr>
                <w:b w:val="false"/>
                <w:bCs w:val="false"/>
              </w:rPr>
              <w:t xml:space="preserve">0 — Hackathon MVP</w:t>
            </w:r>
          </w:p>
        </w:tc>
        <w:tc>
          <w:tcPr>
            <w:tcW w:type="dxa" w:w="2600"/>
          </w:tcPr>
          <w:p>
            <w:r>
              <w:rPr>
                <w:b w:val="false"/>
                <w:bCs w:val="false"/>
              </w:rPr>
              <w:t xml:space="preserve">Now → Jul 25, 2026</w:t>
            </w:r>
          </w:p>
        </w:tc>
        <w:tc>
          <w:tcPr>
            <w:tcW w:type="dxa" w:w="4360"/>
          </w:tcPr>
          <w:p>
            <w:r>
              <w:rPr>
                <w:b w:val="false"/>
                <w:bCs w:val="false"/>
              </w:rPr>
              <w:t xml:space="preserve">Working WhatsApp → Gemma 4 pipeline, live demo, campus-scoped</w:t>
            </w:r>
          </w:p>
        </w:tc>
      </w:tr>
      <w:tr>
        <w:tc>
          <w:tcPr>
            <w:tcW w:type="dxa" w:w="2400"/>
          </w:tcPr>
          <w:p>
            <w:r>
              <w:rPr>
                <w:b w:val="false"/>
                <w:bCs w:val="false"/>
              </w:rPr>
              <w:t xml:space="preserve">1 — Harden KWASU Pilot</w:t>
            </w:r>
          </w:p>
        </w:tc>
        <w:tc>
          <w:tcPr>
            <w:tcW w:type="dxa" w:w="2600"/>
          </w:tcPr>
          <w:p>
            <w:r>
              <w:rPr>
                <w:b w:val="false"/>
                <w:bCs w:val="false"/>
              </w:rPr>
              <w:t xml:space="preserve">Aug – Sep 2026</w:t>
            </w:r>
          </w:p>
        </w:tc>
        <w:tc>
          <w:tcPr>
            <w:tcW w:type="dxa" w:w="4360"/>
          </w:tcPr>
          <w:p>
            <w:r>
              <w:rPr>
                <w:b w:val="false"/>
                <w:bCs w:val="false"/>
              </w:rPr>
              <w:t xml:space="preserve">Real daily use on campus, human verification loop, stable infra</w:t>
            </w:r>
          </w:p>
        </w:tc>
      </w:tr>
      <w:tr>
        <w:tc>
          <w:tcPr>
            <w:tcW w:type="dxa" w:w="2400"/>
          </w:tcPr>
          <w:p>
            <w:r>
              <w:rPr>
                <w:b w:val="false"/>
                <w:bCs w:val="false"/>
              </w:rPr>
              <w:t xml:space="preserve">2 — Local Community Expansion</w:t>
            </w:r>
          </w:p>
        </w:tc>
        <w:tc>
          <w:tcPr>
            <w:tcW w:type="dxa" w:w="2600"/>
          </w:tcPr>
          <w:p>
            <w:r>
              <w:rPr>
                <w:b w:val="false"/>
                <w:bCs w:val="false"/>
              </w:rPr>
              <w:t xml:space="preserve">Oct – Dec 2026</w:t>
            </w:r>
          </w:p>
        </w:tc>
        <w:tc>
          <w:tcPr>
            <w:tcW w:type="dxa" w:w="4360"/>
          </w:tcPr>
          <w:p>
            <w:r>
              <w:rPr>
                <w:b w:val="false"/>
                <w:bCs w:val="false"/>
              </w:rPr>
              <w:t xml:space="preserve">Extend beyond campus to Malete / Ilorin, non-student users</w:t>
            </w:r>
          </w:p>
        </w:tc>
      </w:tr>
      <w:tr>
        <w:tc>
          <w:tcPr>
            <w:tcW w:type="dxa" w:w="2400"/>
          </w:tcPr>
          <w:p>
            <w:r>
              <w:rPr>
                <w:b w:val="false"/>
                <w:bCs w:val="false"/>
              </w:rPr>
              <w:t xml:space="preserve">3 — Multi-Community Platform</w:t>
            </w:r>
          </w:p>
        </w:tc>
        <w:tc>
          <w:tcPr>
            <w:tcW w:type="dxa" w:w="2600"/>
          </w:tcPr>
          <w:p>
            <w:r>
              <w:rPr>
                <w:b w:val="false"/>
                <w:bCs w:val="false"/>
              </w:rPr>
              <w:t xml:space="preserve">2027+</w:t>
            </w:r>
          </w:p>
        </w:tc>
        <w:tc>
          <w:tcPr>
            <w:tcW w:type="dxa" w:w="4360"/>
          </w:tcPr>
          <w:p>
            <w:r>
              <w:rPr>
                <w:b w:val="false"/>
                <w:bCs w:val="false"/>
              </w:rPr>
              <w:t xml:space="preserve">Reusable product: other campuses, estates, local governments</w:t>
            </w:r>
          </w:p>
        </w:tc>
      </w:tr>
    </w:tbl>
    <w:p>
      <w:pPr>
        <w:spacing w:after="140"/>
      </w:pPr>
      <w:r>
        <w:t xml:space="preserve"/>
      </w:r>
    </w:p>
    <w:p>
      <w:pPr>
        <w:pStyle w:val="Heading1"/>
        <w:spacing w:after="160" w:before="320"/>
      </w:pPr>
      <w:r>
        <w:t xml:space="preserve">4. Phase 0 — Hackathon MVP (Now → July 25)</w:t>
      </w:r>
    </w:p>
    <w:p>
      <w:pPr>
        <w:spacing w:after="140"/>
      </w:pPr>
      <w:r>
        <w:t xml:space="preserve">This phase does not change based on the wider vision — it stays deliberately narrow so it actually ships. Full detail is in the existing Sentry Concept Report and Kaggle writeup; summarized here for continuity:</w:t>
      </w:r>
    </w:p>
    <w:p>
      <w:pPr>
        <w:pStyle w:val="ListParagraph"/>
        <w:numPr>
          <w:ilvl w:val="0"/>
          <w:numId w:val="2"/>
        </w:numPr>
        <w:spacing w:after="80"/>
      </w:pPr>
      <w:r>
        <w:t xml:space="preserve">WhatsApp intake (Twilio) → FastAPI → Gemma 4 classification, clustering, confidence scoring, summarization</w:t>
      </w:r>
    </w:p>
    <w:p>
      <w:pPr>
        <w:pStyle w:val="ListParagraph"/>
        <w:numPr>
          <w:ilvl w:val="0"/>
          <w:numId w:val="2"/>
        </w:numPr>
        <w:spacing w:after="80"/>
      </w:pPr>
      <w:r>
        <w:t xml:space="preserve">One campus, one channel, one reasoning pipeline — no Telegram, no app, no heatmap math yet</w:t>
      </w:r>
    </w:p>
    <w:p>
      <w:pPr>
        <w:pStyle w:val="ListParagraph"/>
        <w:numPr>
          <w:ilvl w:val="0"/>
          <w:numId w:val="2"/>
        </w:numPr>
        <w:spacing w:after="80"/>
      </w:pPr>
      <w:r>
        <w:t xml:space="preserve">Seeded demo data + a live number judges can text</w:t>
      </w:r>
    </w:p>
    <w:p>
      <w:pPr>
        <w:pStyle w:val="ListParagraph"/>
        <w:numPr>
          <w:ilvl w:val="0"/>
          <w:numId w:val="2"/>
        </w:numPr>
        <w:spacing w:after="80"/>
      </w:pPr>
      <w:r>
        <w:t xml:space="preserve">Kaggle writeup, public repo, and live demo submitted July 25</w:t>
      </w:r>
    </w:p>
    <w:p>
      <w:pPr>
        <w:pStyle w:val="Heading1"/>
        <w:spacing w:after="160" w:before="320"/>
      </w:pPr>
      <w:r>
        <w:t xml:space="preserve">5. Phase 1 — Harden the KWASU Pilot (Aug–Sep 2026)</w:t>
      </w:r>
    </w:p>
    <w:p>
      <w:pPr>
        <w:spacing w:after="140"/>
      </w:pPr>
      <w:r>
        <w:t xml:space="preserve">Turn the demo into something people actually rely on daily, still scoped to campus.</w:t>
      </w:r>
    </w:p>
    <w:p>
      <w:pPr>
        <w:pStyle w:val="ListParagraph"/>
        <w:numPr>
          <w:ilvl w:val="0"/>
          <w:numId w:val="2"/>
        </w:numPr>
        <w:spacing w:after="80"/>
      </w:pPr>
      <w:r>
        <w:t xml:space="preserve">Move off a sandbox Twilio number onto a persistent WhatsApp Business number</w:t>
      </w:r>
    </w:p>
    <w:p>
      <w:pPr>
        <w:pStyle w:val="ListParagraph"/>
        <w:numPr>
          <w:ilvl w:val="0"/>
          <w:numId w:val="2"/>
        </w:numPr>
        <w:spacing w:after="80"/>
      </w:pPr>
      <w:r>
        <w:t xml:space="preserve">Replace the mock confidence/verification logic with a real lightweight human review queue — recruit 2–3 students or staff as first verifiers</w:t>
      </w:r>
    </w:p>
    <w:p>
      <w:pPr>
        <w:pStyle w:val="ListParagraph"/>
        <w:numPr>
          <w:ilvl w:val="0"/>
          <w:numId w:val="2"/>
        </w:numPr>
        <w:spacing w:after="80"/>
      </w:pPr>
      <w:r>
        <w:t xml:space="preserve">Basic authentication on the admin dashboard (this was designed in Phase 0's UI already — wire it to real accounts)</w:t>
      </w:r>
    </w:p>
    <w:p>
      <w:pPr>
        <w:pStyle w:val="ListParagraph"/>
        <w:numPr>
          <w:ilvl w:val="0"/>
          <w:numId w:val="2"/>
        </w:numPr>
        <w:spacing w:after="80"/>
      </w:pPr>
      <w:r>
        <w:t xml:space="preserve">Add logging/monitoring so failures are visible, not silent</w:t>
      </w:r>
    </w:p>
    <w:p>
      <w:pPr>
        <w:pStyle w:val="ListParagraph"/>
        <w:numPr>
          <w:ilvl w:val="0"/>
          <w:numId w:val="2"/>
        </w:numPr>
        <w:spacing w:after="80"/>
      </w:pPr>
      <w:r>
        <w:t xml:space="preserve">Success metric: real reports flowing weekly, and a rough sense of classification accuracy from verifier feedback</w:t>
      </w:r>
    </w:p>
    <w:p>
      <w:pPr>
        <w:pStyle w:val="Heading1"/>
        <w:spacing w:after="160" w:before="320"/>
      </w:pPr>
      <w:r>
        <w:t xml:space="preserve">6. Phase 2 — Local Community Expansion (Oct–Dec 2026)</w:t>
      </w:r>
    </w:p>
    <w:p>
      <w:pPr>
        <w:spacing w:after="140"/>
      </w:pPr>
      <w:r>
        <w:t xml:space="preserve">This is where the project stops being campus-only. The hardest part of this phase is trust — a university has a captive, shared-identity audience; a town does not.</w:t>
      </w:r>
    </w:p>
    <w:p>
      <w:pPr>
        <w:pStyle w:val="Heading2"/>
        <w:spacing w:after="120" w:before="240"/>
      </w:pPr>
      <w:r>
        <w:t xml:space="preserve">6.1 New Intake Sources</w:t>
      </w:r>
    </w:p>
    <w:p>
      <w:pPr>
        <w:pStyle w:val="ListParagraph"/>
        <w:numPr>
          <w:ilvl w:val="0"/>
          <w:numId w:val="2"/>
        </w:numPr>
        <w:spacing w:after="80"/>
      </w:pPr>
      <w:r>
        <w:t xml:space="preserve">Local government contact point (LGA liaison) as an official channel, not just informal reports</w:t>
      </w:r>
    </w:p>
    <w:p>
      <w:pPr>
        <w:pStyle w:val="ListParagraph"/>
        <w:numPr>
          <w:ilvl w:val="0"/>
          <w:numId w:val="2"/>
        </w:numPr>
        <w:spacing w:after="80"/>
      </w:pPr>
      <w:r>
        <w:t xml:space="preserve">Community leaders, market associations, and transport unions as trusted local verifiers — this replaces "security staff" as the primary verification layer outside campus</w:t>
      </w:r>
    </w:p>
    <w:p>
      <w:pPr>
        <w:pStyle w:val="Heading2"/>
        <w:spacing w:after="120" w:before="240"/>
      </w:pPr>
      <w:r>
        <w:t xml:space="preserve">6.2 Category Expansion</w:t>
      </w:r>
    </w:p>
    <w:p>
      <w:pPr>
        <w:pStyle w:val="ListParagraph"/>
        <w:numPr>
          <w:ilvl w:val="0"/>
          <w:numId w:val="2"/>
        </w:numPr>
        <w:spacing w:after="80"/>
      </w:pPr>
      <w:r>
        <w:t xml:space="preserve">Add categories relevant off-campus: road conditions, local utility escalation, community security patrols</w:t>
      </w:r>
    </w:p>
    <w:p>
      <w:pPr>
        <w:pStyle w:val="Heading2"/>
        <w:spacing w:after="120" w:before="240"/>
      </w:pPr>
      <w:r>
        <w:t xml:space="preserve">6.3 Language</w:t>
      </w:r>
    </w:p>
    <w:p>
      <w:pPr>
        <w:pStyle w:val="ListParagraph"/>
        <w:numPr>
          <w:ilvl w:val="0"/>
          <w:numId w:val="2"/>
        </w:numPr>
        <w:spacing w:after="80"/>
      </w:pPr>
      <w:r>
        <w:t xml:space="preserve">Extend Gemma 4 prompts to handle local languages spoken across Kwara State, not just English/Pidgin — test this explicitly before rollout, don't assume it works</w:t>
      </w:r>
    </w:p>
    <w:p>
      <w:pPr>
        <w:pStyle w:val="Heading2"/>
        <w:spacing w:after="120" w:before="240"/>
      </w:pPr>
      <w:r>
        <w:t xml:space="preserve">6.4 Trust-Building</w:t>
      </w:r>
    </w:p>
    <w:p>
      <w:pPr>
        <w:pStyle w:val="ListParagraph"/>
        <w:numPr>
          <w:ilvl w:val="0"/>
          <w:numId w:val="2"/>
        </w:numPr>
        <w:spacing w:after="80"/>
      </w:pPr>
      <w:r>
        <w:t xml:space="preserve">Publish the confidence-scoring methodology publicly — people trust systems they can inspect</w:t>
      </w:r>
    </w:p>
    <w:p>
      <w:pPr>
        <w:pStyle w:val="ListParagraph"/>
        <w:numPr>
          <w:ilvl w:val="0"/>
          <w:numId w:val="2"/>
        </w:numPr>
        <w:spacing w:after="80"/>
      </w:pPr>
      <w:r>
        <w:t xml:space="preserve">Publicize a clear moderation/privacy policy before asking non-students to report sensitive things</w:t>
      </w:r>
    </w:p>
    <w:p>
      <w:pPr>
        <w:pStyle w:val="Heading1"/>
        <w:spacing w:after="160" w:before="320"/>
      </w:pPr>
      <w:r>
        <w:t xml:space="preserve">7. Phase 3 — Multi-Community Platform (2027+)</w:t>
      </w:r>
    </w:p>
    <w:p>
      <w:pPr>
        <w:spacing w:after="140"/>
      </w:pPr>
      <w:r>
        <w:t xml:space="preserve">This is the original Cortex thesis: one brain, reusable everywhere, monetized as infrastructure.</w:t>
      </w:r>
    </w:p>
    <w:p>
      <w:pPr>
        <w:pStyle w:val="ListParagraph"/>
        <w:numPr>
          <w:ilvl w:val="0"/>
          <w:numId w:val="2"/>
        </w:numPr>
        <w:spacing w:after="80"/>
      </w:pPr>
      <w:r>
        <w:t xml:space="preserve">Multi-tenancy via community_id — onboard additional campuses, estates, or towns without re-architecting</w:t>
      </w:r>
    </w:p>
    <w:p>
      <w:pPr>
        <w:pStyle w:val="ListParagraph"/>
        <w:numPr>
          <w:ilvl w:val="0"/>
          <w:numId w:val="2"/>
        </w:numPr>
        <w:spacing w:after="80"/>
      </w:pPr>
      <w:r>
        <w:t xml:space="preserve">Self-serve or assisted onboarding flow for a new community's admin team</w:t>
      </w:r>
    </w:p>
    <w:p>
      <w:pPr>
        <w:pStyle w:val="ListParagraph"/>
        <w:numPr>
          <w:ilvl w:val="0"/>
          <w:numId w:val="2"/>
        </w:numPr>
        <w:spacing w:after="80"/>
      </w:pPr>
      <w:r>
        <w:t xml:space="preserve">Move storage from a single Postgres instance to something built for multi-tenant scale; add caching to control Gemma 4 call costs as volume grows</w:t>
      </w:r>
    </w:p>
    <w:p>
      <w:pPr>
        <w:pStyle w:val="ListParagraph"/>
        <w:numPr>
          <w:ilvl w:val="0"/>
          <w:numId w:val="2"/>
        </w:numPr>
        <w:spacing w:after="80"/>
      </w:pPr>
      <w:r>
        <w:t xml:space="preserve">Commercial model: direct licensing to campuses/estates/local governments, plus API access for partner developers — as outlined in the existing Cortex Business Model document</w:t>
      </w:r>
    </w:p>
    <w:p>
      <w:pPr>
        <w:pStyle w:val="Heading1"/>
        <w:spacing w:after="160" w:before="320"/>
      </w:pPr>
      <w:r>
        <w:t xml:space="preserve">8. Team &amp; Resourcing</w:t>
      </w:r>
    </w:p>
    <w:p>
      <w:pPr>
        <w:spacing w:after="140"/>
      </w:pPr>
      <w:r>
        <w:t xml:space="preserve">Phase 0–1 is buildable solo or with a small team. Phase 2 introduces work that isn't engineering at all — community outreach, verifier recruitment, moderation policy — and will bottleneck a solo builder faster than the code will. Identify before Phase 2 starts: who handles partnerships and verifier relationships, since that can't be automated the way classification can.</w:t>
      </w:r>
    </w:p>
    <w:p>
      <w:pPr>
        <w:pStyle w:val="Heading1"/>
        <w:spacing w:after="160" w:before="320"/>
      </w:pPr>
      <w:r>
        <w:t xml:space="preserve">9. Risks Specific to Expanding Beyond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shd w:fill="DCE6F1" w:val="clear"/>
          </w:tcPr>
          <w:p>
            <w:r>
              <w:rPr>
                <w:b/>
                <w:bCs/>
              </w:rPr>
              <w:t xml:space="preserve">Risk</w:t>
            </w:r>
          </w:p>
        </w:tc>
        <w:tc>
          <w:tcPr>
            <w:tcW w:type="dxa" w:w="3600"/>
            <w:shd w:fill="DCE6F1" w:val="clear"/>
          </w:tcPr>
          <w:p>
            <w:r>
              <w:rPr>
                <w:b/>
                <w:bCs/>
              </w:rPr>
              <w:t xml:space="preserve">Why it's different off-campus</w:t>
            </w:r>
          </w:p>
        </w:tc>
        <w:tc>
          <w:tcPr>
            <w:tcW w:type="dxa" w:w="3760"/>
            <w:shd w:fill="DCE6F1" w:val="clear"/>
          </w:tcPr>
          <w:p>
            <w:r>
              <w:rPr>
                <w:b/>
                <w:bCs/>
              </w:rPr>
              <w:t xml:space="preserve">Mitigation</w:t>
            </w:r>
          </w:p>
        </w:tc>
      </w:tr>
      <w:tr>
        <w:tc>
          <w:tcPr>
            <w:tcW w:type="dxa" w:w="2000"/>
          </w:tcPr>
          <w:p>
            <w:r>
              <w:rPr>
                <w:b w:val="false"/>
                <w:bCs w:val="false"/>
              </w:rPr>
              <w:t xml:space="preserve">Trust</w:t>
            </w:r>
          </w:p>
        </w:tc>
        <w:tc>
          <w:tcPr>
            <w:tcW w:type="dxa" w:w="3600"/>
          </w:tcPr>
          <w:p>
            <w:r>
              <w:rPr>
                <w:b w:val="false"/>
                <w:bCs w:val="false"/>
              </w:rPr>
              <w:t xml:space="preserve">No shared institution binding reporters together</w:t>
            </w:r>
          </w:p>
        </w:tc>
        <w:tc>
          <w:tcPr>
            <w:tcW w:type="dxa" w:w="3760"/>
          </w:tcPr>
          <w:p>
            <w:r>
              <w:rPr>
                <w:b w:val="false"/>
                <w:bCs w:val="false"/>
              </w:rPr>
              <w:t xml:space="preserve">Local, known verifiers (community leaders) instead of anonymous scale</w:t>
            </w:r>
          </w:p>
        </w:tc>
      </w:tr>
      <w:tr>
        <w:tc>
          <w:tcPr>
            <w:tcW w:type="dxa" w:w="2000"/>
          </w:tcPr>
          <w:p>
            <w:r>
              <w:rPr>
                <w:b w:val="false"/>
                <w:bCs w:val="false"/>
              </w:rPr>
              <w:t xml:space="preserve">Moderation load</w:t>
            </w:r>
          </w:p>
        </w:tc>
        <w:tc>
          <w:tcPr>
            <w:tcW w:type="dxa" w:w="3600"/>
          </w:tcPr>
          <w:p>
            <w:r>
              <w:rPr>
                <w:b w:val="false"/>
                <w:bCs w:val="false"/>
              </w:rPr>
              <w:t xml:space="preserve">Grows faster once anyone nearby can report</w:t>
            </w:r>
          </w:p>
        </w:tc>
        <w:tc>
          <w:tcPr>
            <w:tcW w:type="dxa" w:w="3760"/>
          </w:tcPr>
          <w:p>
            <w:r>
              <w:rPr>
                <w:b w:val="false"/>
                <w:bCs w:val="false"/>
              </w:rPr>
              <w:t xml:space="preserve">Phase verifier network in before opening intake wide</w:t>
            </w:r>
          </w:p>
        </w:tc>
      </w:tr>
      <w:tr>
        <w:tc>
          <w:tcPr>
            <w:tcW w:type="dxa" w:w="2000"/>
          </w:tcPr>
          <w:p>
            <w:r>
              <w:rPr>
                <w:b w:val="false"/>
                <w:bCs w:val="false"/>
              </w:rPr>
              <w:t xml:space="preserve">Privacy/jurisdiction</w:t>
            </w:r>
          </w:p>
        </w:tc>
        <w:tc>
          <w:tcPr>
            <w:tcW w:type="dxa" w:w="3600"/>
          </w:tcPr>
          <w:p>
            <w:r>
              <w:rPr>
                <w:b w:val="false"/>
                <w:bCs w:val="false"/>
              </w:rPr>
              <w:t xml:space="preserve">Campus policies don't automatically extend to town</w:t>
            </w:r>
          </w:p>
        </w:tc>
        <w:tc>
          <w:tcPr>
            <w:tcW w:type="dxa" w:w="3760"/>
          </w:tcPr>
          <w:p>
            <w:r>
              <w:rPr>
                <w:b w:val="false"/>
                <w:bCs w:val="false"/>
              </w:rPr>
              <w:t xml:space="preserve">Revisit data handling rules explicitly for Phase 2, don't assume Phase 0 rules carry over</w:t>
            </w:r>
          </w:p>
        </w:tc>
      </w:tr>
      <w:tr>
        <w:tc>
          <w:tcPr>
            <w:tcW w:type="dxa" w:w="2000"/>
          </w:tcPr>
          <w:p>
            <w:r>
              <w:rPr>
                <w:b w:val="false"/>
                <w:bCs w:val="false"/>
              </w:rPr>
              <w:t xml:space="preserve">Connectivity</w:t>
            </w:r>
          </w:p>
        </w:tc>
        <w:tc>
          <w:tcPr>
            <w:tcW w:type="dxa" w:w="3600"/>
          </w:tcPr>
          <w:p>
            <w:r>
              <w:rPr>
                <w:b w:val="false"/>
                <w:bCs w:val="false"/>
              </w:rPr>
              <w:t xml:space="preserve">Less consistent power/data outside campus infrastructure</w:t>
            </w:r>
          </w:p>
        </w:tc>
        <w:tc>
          <w:tcPr>
            <w:tcW w:type="dxa" w:w="3760"/>
          </w:tcPr>
          <w:p>
            <w:r>
              <w:rPr>
                <w:b w:val="false"/>
                <w:bCs w:val="false"/>
              </w:rPr>
              <w:t xml:space="preserve">Keep WhatsApp-first design — already low-bandwidth by nature</w:t>
            </w:r>
          </w:p>
        </w:tc>
      </w:tr>
      <w:tr>
        <w:tc>
          <w:tcPr>
            <w:tcW w:type="dxa" w:w="2000"/>
          </w:tcPr>
          <w:p>
            <w:r>
              <w:rPr>
                <w:b w:val="false"/>
                <w:bCs w:val="false"/>
              </w:rPr>
              <w:t xml:space="preserve">Sustainability</w:t>
            </w:r>
          </w:p>
        </w:tc>
        <w:tc>
          <w:tcPr>
            <w:tcW w:type="dxa" w:w="3600"/>
          </w:tcPr>
          <w:p>
            <w:r>
              <w:rPr>
                <w:b w:val="false"/>
                <w:bCs w:val="false"/>
              </w:rPr>
              <w:t xml:space="preserve">No hackathon momentum to carry it after Phase 1</w:t>
            </w:r>
          </w:p>
        </w:tc>
        <w:tc>
          <w:tcPr>
            <w:tcW w:type="dxa" w:w="3760"/>
          </w:tcPr>
          <w:p>
            <w:r>
              <w:rPr>
                <w:b w:val="false"/>
                <w:bCs w:val="false"/>
              </w:rPr>
              <w:t xml:space="preserve">Line up Phase 2 funding/partnership conversations during Phase 1, not after</w:t>
            </w:r>
          </w:p>
        </w:tc>
      </w:tr>
    </w:tbl>
    <w:p>
      <w:pPr>
        <w:spacing w:after="140"/>
      </w:pPr>
      <w:r>
        <w:t xml:space="preserve"/>
      </w:r>
    </w:p>
    <w:p>
      <w:pPr>
        <w:pStyle w:val="Heading1"/>
        <w:spacing w:after="160" w:before="320"/>
      </w:pPr>
      <w:r>
        <w:t xml:space="preserve">10. Immediate Next Actions (This Week)</w:t>
      </w:r>
    </w:p>
    <w:p>
      <w:pPr>
        <w:pStyle w:val="ListParagraph"/>
        <w:numPr>
          <w:ilvl w:val="0"/>
          <w:numId w:val="2"/>
        </w:numPr>
        <w:spacing w:after="80"/>
      </w:pPr>
      <w:r>
        <w:t xml:space="preserve">Resolve the current Gemma 4 access/download issue — this blocks everything else, fix it first</w:t>
      </w:r>
    </w:p>
    <w:p>
      <w:pPr>
        <w:pStyle w:val="ListParagraph"/>
        <w:numPr>
          <w:ilvl w:val="0"/>
          <w:numId w:val="2"/>
        </w:numPr>
        <w:spacing w:after="80"/>
      </w:pPr>
      <w:r>
        <w:t xml:space="preserve">Confirm your hackathon track and submit the Luma registration</w:t>
      </w:r>
    </w:p>
    <w:p>
      <w:pPr>
        <w:pStyle w:val="ListParagraph"/>
        <w:numPr>
          <w:ilvl w:val="0"/>
          <w:numId w:val="2"/>
        </w:numPr>
        <w:spacing w:after="80"/>
      </w:pPr>
      <w:r>
        <w:t xml:space="preserve">Start the public GitHub repo — empty README is fine, it just needs to exist</w:t>
      </w:r>
    </w:p>
    <w:p>
      <w:pPr>
        <w:pStyle w:val="ListParagraph"/>
        <w:numPr>
          <w:ilvl w:val="0"/>
          <w:numId w:val="2"/>
        </w:numPr>
        <w:spacing w:after="80"/>
      </w:pPr>
      <w:r>
        <w:t xml:space="preserve">Build the FastAPI skeleton with mock classify/cluster/summarize functions</w:t>
      </w:r>
    </w:p>
    <w:p>
      <w:pPr>
        <w:pStyle w:val="ListParagraph"/>
        <w:numPr>
          <w:ilvl w:val="0"/>
          <w:numId w:val="2"/>
        </w:numPr>
        <w:spacing w:after="80"/>
      </w:pPr>
      <w:r>
        <w:t xml:space="preserve">Keep Phases 1–3 as the documented vision in your writeup — do not attempt to build them before July 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2026-07-15T11:26:21.904Z</dcterms:created>
  <dcterms:modified xsi:type="dcterms:W3CDTF">2026-07-15T11:26:21.925Z</dcterms:modified>
</cp:coreProperties>
</file>

<file path=docProps/custom.xml><?xml version="1.0" encoding="utf-8"?>
<Properties xmlns="http://schemas.openxmlformats.org/officeDocument/2006/custom-properties" xmlns:vt="http://schemas.openxmlformats.org/officeDocument/2006/docPropsVTypes"/>
</file>