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b/>
          <w:bCs/>
          <w:sz w:val="40"/>
          <w:szCs w:val="40"/>
        </w:rPr>
        <w:t xml:space="preserve">SOFTWARE REQUIREMENTS SPECIFICATION</w:t>
      </w:r>
    </w:p>
    <w:p>
      <w:pPr>
        <w:spacing w:after="600"/>
        <w:jc w:val="center"/>
      </w:pPr>
      <w:r>
        <w:rPr>
          <w:b/>
          <w:bCs/>
          <w:color w:val="B85450"/>
          <w:sz w:val="32"/>
          <w:szCs w:val="32"/>
        </w:rPr>
        <w:t xml:space="preserve">SIM — Security Incident Mapping</w:t>
      </w:r>
    </w:p>
    <w:p>
      <w:pPr>
        <w:spacing w:after="1200"/>
        <w:jc w:val="center"/>
      </w:pPr>
      <w:r>
        <w:rPr>
          <w:i/>
          <w:iCs/>
          <w:sz w:val="24"/>
          <w:szCs w:val="24"/>
        </w:rPr>
        <w:t xml:space="preserve">A Web Platform for Campus Security Incident Reporting</w:t>
      </w:r>
    </w:p>
    <w:p>
      <w:pPr>
        <w:spacing w:after="150"/>
        <w:jc w:val="center"/>
      </w:pPr>
      <w:r>
        <w:rPr>
          <w:sz w:val="22"/>
          <w:szCs w:val="22"/>
        </w:rPr>
        <w:t xml:space="preserve">Prepared for: SEN202 — Software Engineering</w:t>
      </w:r>
    </w:p>
    <w:p>
      <w:pPr>
        <w:spacing w:after="150"/>
        <w:jc w:val="center"/>
      </w:pPr>
      <w:r>
        <w:rPr>
          <w:sz w:val="22"/>
          <w:szCs w:val="22"/>
        </w:rPr>
        <w:t xml:space="preserve">Instructor: Dr. O. O. Ajayi</w:t>
      </w:r>
    </w:p>
    <w:p>
      <w:pPr>
        <w:spacing w:after="150"/>
        <w:jc w:val="center"/>
      </w:pPr>
      <w:r>
        <w:rPr>
          <w:sz w:val="22"/>
          <w:szCs w:val="22"/>
        </w:rPr>
        <w:t xml:space="preserve">Prepared by: Victoria</w:t>
      </w:r>
    </w:p>
    <w:p>
      <w:pPr>
        <w:jc w:val="center"/>
      </w:pPr>
      <w:r>
        <w:rPr>
          <w:sz w:val="22"/>
          <w:szCs w:val="22"/>
        </w:rPr>
        <w:t xml:space="preserve">Version 1.0 — July 2026</w:t>
      </w:r>
    </w:p>
    <w:p>
      <w:r>
        <w:br w:type="page"/>
      </w:r>
    </w:p>
    <w:p>
      <w:pPr>
        <w:pStyle w:val="Heading1"/>
        <w:spacing w:after="150" w:before="3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00"/>
      </w:pPr>
      <w:r>
        <w:t xml:space="preserve">1. Introduction</w:t>
      </w:r>
    </w:p>
    <w:p>
      <w:pPr>
        <w:pStyle w:val="Heading2"/>
        <w:spacing w:after="120" w:before="250"/>
      </w:pPr>
      <w:r>
        <w:t xml:space="preserve">1.1 Purpose</w:t>
      </w:r>
    </w:p>
    <w:p>
      <w:pPr>
        <w:spacing w:after="150"/>
      </w:pPr>
      <w:r>
        <w:t xml:space="preserve">This document specifies the software requirements for the Security Incident Mapping (SIM) system, a web-based platform designed to allow students, staff, and landlords within the campus community to report security incidents quickly and securely. This SRS describes the functional and non-functional requirements of the system and is intended for the course instructor, evaluators, and future developers of the platform.</w:t>
      </w:r>
    </w:p>
    <w:p>
      <w:pPr>
        <w:pStyle w:val="Heading2"/>
        <w:spacing w:after="120" w:before="250"/>
      </w:pPr>
      <w:r>
        <w:t xml:space="preserve">1.2 Scope</w:t>
      </w:r>
    </w:p>
    <w:p>
      <w:pPr>
        <w:spacing w:after="150"/>
      </w:pPr>
      <w:r>
        <w:t xml:space="preserve">SIM is a lightweight web application that enables members of the campus community to report incidents such as theft, assault, harassment, stabbing, and other security concerns. The system captures the incident type, location, severity, and description, with an option to report anonymously. Reports are logged and made visible in a live incident feed, which can be filtered by incident type. The system is aimed at reducing the underreporting of campus crime by removing common barriers to reporting, such as fear of retaliation and the absence of a fast, standardized reporting channel.</w:t>
      </w:r>
    </w:p>
    <w:p>
      <w:pPr>
        <w:pStyle w:val="Heading2"/>
        <w:spacing w:after="120" w:before="250"/>
      </w:pPr>
      <w:r>
        <w:t xml:space="preserve">1.3 Definitions, Acronyms, and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2937" w:val="clear"/>
          </w:tcPr>
          <w:p>
            <w:r>
              <w:rPr>
                <w:b/>
                <w:bCs/>
                <w:color w:val="FFFFFF"/>
                <w:sz w:val="20"/>
                <w:szCs w:val="20"/>
              </w:rPr>
              <w:t xml:space="preserve">Term</w:t>
            </w:r>
          </w:p>
        </w:tc>
        <w:tc>
          <w:tcPr>
            <w:tcW w:type="dxa" w:w="6000"/>
            <w:shd w:fill="1F2937" w:val="clear"/>
          </w:tcPr>
          <w:p>
            <w:r>
              <w:rPr>
                <w:b/>
                <w:bCs/>
                <w:color w:val="FFFFFF"/>
                <w:sz w:val="20"/>
                <w:szCs w:val="20"/>
              </w:rPr>
              <w:t xml:space="preserve">Definition</w:t>
            </w:r>
          </w:p>
        </w:tc>
      </w:tr>
      <w:tr>
        <w:tc>
          <w:tcPr>
            <w:tcW w:type="dxa" w:w="3000"/>
          </w:tcPr>
          <w:p>
            <w:r>
              <w:rPr>
                <w:b w:val="false"/>
                <w:bCs w:val="false"/>
                <w:color w:val="000000"/>
                <w:sz w:val="20"/>
                <w:szCs w:val="20"/>
              </w:rPr>
              <w:t xml:space="preserve">SIM</w:t>
            </w:r>
          </w:p>
        </w:tc>
        <w:tc>
          <w:tcPr>
            <w:tcW w:type="dxa" w:w="6000"/>
          </w:tcPr>
          <w:p>
            <w:r>
              <w:rPr>
                <w:b w:val="false"/>
                <w:bCs w:val="false"/>
                <w:color w:val="000000"/>
                <w:sz w:val="20"/>
                <w:szCs w:val="20"/>
              </w:rPr>
              <w:t xml:space="preserve">Security Incident Mapping — the name of the system</w:t>
            </w:r>
          </w:p>
        </w:tc>
      </w:tr>
      <w:tr>
        <w:tc>
          <w:tcPr>
            <w:tcW w:type="dxa" w:w="3000"/>
          </w:tcPr>
          <w:p>
            <w:r>
              <w:rPr>
                <w:b w:val="false"/>
                <w:bCs w:val="false"/>
                <w:color w:val="000000"/>
                <w:sz w:val="20"/>
                <w:szCs w:val="20"/>
              </w:rPr>
              <w:t xml:space="preserve">SRS</w:t>
            </w:r>
          </w:p>
        </w:tc>
        <w:tc>
          <w:tcPr>
            <w:tcW w:type="dxa" w:w="6000"/>
          </w:tcPr>
          <w:p>
            <w:r>
              <w:rPr>
                <w:b w:val="false"/>
                <w:bCs w:val="false"/>
                <w:color w:val="000000"/>
                <w:sz w:val="20"/>
                <w:szCs w:val="20"/>
              </w:rPr>
              <w:t xml:space="preserve">Software Requirements Specification</w:t>
            </w:r>
          </w:p>
        </w:tc>
      </w:tr>
      <w:tr>
        <w:tc>
          <w:tcPr>
            <w:tcW w:type="dxa" w:w="3000"/>
          </w:tcPr>
          <w:p>
            <w:r>
              <w:rPr>
                <w:b w:val="false"/>
                <w:bCs w:val="false"/>
                <w:color w:val="000000"/>
                <w:sz w:val="20"/>
                <w:szCs w:val="20"/>
              </w:rPr>
              <w:t xml:space="preserve">Actor</w:t>
            </w:r>
          </w:p>
        </w:tc>
        <w:tc>
          <w:tcPr>
            <w:tcW w:type="dxa" w:w="6000"/>
          </w:tcPr>
          <w:p>
            <w:r>
              <w:rPr>
                <w:b w:val="false"/>
                <w:bCs w:val="false"/>
                <w:color w:val="000000"/>
                <w:sz w:val="20"/>
                <w:szCs w:val="20"/>
              </w:rPr>
              <w:t xml:space="preserve">A user or role that interacts with the system</w:t>
            </w:r>
          </w:p>
        </w:tc>
      </w:tr>
      <w:tr>
        <w:tc>
          <w:tcPr>
            <w:tcW w:type="dxa" w:w="3000"/>
          </w:tcPr>
          <w:p>
            <w:r>
              <w:rPr>
                <w:b w:val="false"/>
                <w:bCs w:val="false"/>
                <w:color w:val="000000"/>
                <w:sz w:val="20"/>
                <w:szCs w:val="20"/>
              </w:rPr>
              <w:t xml:space="preserve">Use Case</w:t>
            </w:r>
          </w:p>
        </w:tc>
        <w:tc>
          <w:tcPr>
            <w:tcW w:type="dxa" w:w="6000"/>
          </w:tcPr>
          <w:p>
            <w:r>
              <w:rPr>
                <w:b w:val="false"/>
                <w:bCs w:val="false"/>
                <w:color w:val="000000"/>
                <w:sz w:val="20"/>
                <w:szCs w:val="20"/>
              </w:rPr>
              <w:t xml:space="preserve">A specific action or interaction an actor can perform with the system</w:t>
            </w:r>
          </w:p>
        </w:tc>
      </w:tr>
      <w:tr>
        <w:tc>
          <w:tcPr>
            <w:tcW w:type="dxa" w:w="3000"/>
          </w:tcPr>
          <w:p>
            <w:r>
              <w:rPr>
                <w:b w:val="false"/>
                <w:bCs w:val="false"/>
                <w:color w:val="000000"/>
                <w:sz w:val="20"/>
                <w:szCs w:val="20"/>
              </w:rPr>
              <w:t xml:space="preserve">Anonymous Report</w:t>
            </w:r>
          </w:p>
        </w:tc>
        <w:tc>
          <w:tcPr>
            <w:tcW w:type="dxa" w:w="6000"/>
          </w:tcPr>
          <w:p>
            <w:r>
              <w:rPr>
                <w:b w:val="false"/>
                <w:bCs w:val="false"/>
                <w:color w:val="000000"/>
                <w:sz w:val="20"/>
                <w:szCs w:val="20"/>
              </w:rPr>
              <w:t xml:space="preserve">A report submitted without identifying the reporter</w:t>
            </w:r>
          </w:p>
        </w:tc>
      </w:tr>
    </w:tbl>
    <w:p>
      <w:pPr>
        <w:spacing w:after="150"/>
      </w:pPr>
      <w:r>
        <w:t xml:space="preserve"/>
      </w:r>
    </w:p>
    <w:p>
      <w:pPr>
        <w:pStyle w:val="Heading2"/>
        <w:spacing w:after="120" w:before="250"/>
      </w:pPr>
      <w:r>
        <w:t xml:space="preserve">1.4 References</w:t>
      </w:r>
    </w:p>
    <w:p>
      <w:pPr>
        <w:pStyle w:val="ListParagraph"/>
        <w:numPr>
          <w:ilvl w:val="0"/>
          <w:numId w:val="1"/>
        </w:numPr>
        <w:spacing w:after="80"/>
      </w:pPr>
      <w:r>
        <w:t xml:space="preserve">SEN202 Weekend 1 Dev Assignment brief, Dr. O. O. Ajayi (01/07/2026)</w:t>
      </w:r>
    </w:p>
    <w:p>
      <w:pPr>
        <w:pStyle w:val="ListParagraph"/>
        <w:numPr>
          <w:ilvl w:val="0"/>
          <w:numId w:val="1"/>
        </w:numPr>
        <w:spacing w:after="80"/>
      </w:pPr>
      <w:r>
        <w:t xml:space="preserve">SIM Google Form Questionnaire (student/staff/landlord needs assessment)</w:t>
      </w:r>
    </w:p>
    <w:p>
      <w:pPr>
        <w:pStyle w:val="ListParagraph"/>
        <w:numPr>
          <w:ilvl w:val="0"/>
          <w:numId w:val="1"/>
        </w:numPr>
        <w:spacing w:after="80"/>
      </w:pPr>
      <w:r>
        <w:t xml:space="preserve">SIM Ishikawa (Fishbone) Diagram — root cause analysis of campus insecurity</w:t>
      </w:r>
    </w:p>
    <w:p>
      <w:pPr>
        <w:pStyle w:val="ListParagraph"/>
        <w:numPr>
          <w:ilvl w:val="0"/>
          <w:numId w:val="1"/>
        </w:numPr>
        <w:spacing w:after="80"/>
      </w:pPr>
      <w:r>
        <w:t xml:space="preserve">SIM Mini Web Interface (index.html) — proof-of-concept implementation of the system</w:t>
      </w:r>
    </w:p>
    <w:p>
      <w:pPr>
        <w:pStyle w:val="ListParagraph"/>
        <w:numPr>
          <w:ilvl w:val="0"/>
          <w:numId w:val="1"/>
        </w:numPr>
        <w:spacing w:after="80"/>
      </w:pPr>
      <w:r>
        <w:t xml:space="preserve">SIM Use Case Diagram — actor and system interaction model</w:t>
      </w:r>
    </w:p>
    <w:p>
      <w:pPr>
        <w:pStyle w:val="Heading2"/>
        <w:spacing w:after="120" w:before="250"/>
      </w:pPr>
      <w:r>
        <w:t xml:space="preserve">1.5 Overview</w:t>
      </w:r>
    </w:p>
    <w:p>
      <w:pPr>
        <w:spacing w:after="150"/>
      </w:pPr>
      <w:r>
        <w:t xml:space="preserve">Section 2 of this document describes the overall context and background of the system. Section 3 details the functional requirements. Section 4 details the non-functional requirements. Section 5 summarizes the system models (use case diagram and Ishikawa analysis) that informed this specification.</w:t>
      </w:r>
    </w:p>
    <w:p>
      <w:pPr>
        <w:pStyle w:val="Heading1"/>
        <w:spacing w:after="150" w:before="300"/>
      </w:pPr>
      <w:r>
        <w:t xml:space="preserve">2. Overall Description</w:t>
      </w:r>
    </w:p>
    <w:p>
      <w:pPr>
        <w:pStyle w:val="Heading2"/>
        <w:spacing w:after="120" w:before="250"/>
      </w:pPr>
      <w:r>
        <w:t xml:space="preserve">2.1 Product Perspective</w:t>
      </w:r>
    </w:p>
    <w:p>
      <w:pPr>
        <w:spacing w:after="150"/>
      </w:pPr>
      <w:r>
        <w:t xml:space="preserve">SIM is a standalone, self-contained web interface. It does not depend on any existing campus security infrastructure and is designed as a proof-of-concept mini web application, in line with the project's constraint to avoid unnecessary complexity given the submission timeline. It is intended to be extended in future iterations with real-time mapping, notification systems, and integration with campus security response teams.</w:t>
      </w:r>
    </w:p>
    <w:p>
      <w:pPr>
        <w:pStyle w:val="Heading2"/>
        <w:spacing w:after="120" w:before="250"/>
      </w:pPr>
      <w:r>
        <w:t xml:space="preserve">2.2 Product Functions</w:t>
      </w:r>
    </w:p>
    <w:p>
      <w:pPr>
        <w:spacing w:after="150"/>
      </w:pPr>
      <w:r>
        <w:t xml:space="preserve">At a high level, SIM allows the following:</w:t>
      </w:r>
    </w:p>
    <w:p>
      <w:pPr>
        <w:pStyle w:val="ListParagraph"/>
        <w:numPr>
          <w:ilvl w:val="0"/>
          <w:numId w:val="1"/>
        </w:numPr>
        <w:spacing w:after="80"/>
      </w:pPr>
      <w:r>
        <w:t xml:space="preserve">Reporting a security incident, including type, location, severity, and description</w:t>
      </w:r>
    </w:p>
    <w:p>
      <w:pPr>
        <w:pStyle w:val="ListParagraph"/>
        <w:numPr>
          <w:ilvl w:val="0"/>
          <w:numId w:val="1"/>
        </w:numPr>
        <w:spacing w:after="80"/>
      </w:pPr>
      <w:r>
        <w:t xml:space="preserve">Choosing to report anonymously or with a role identified (student, staff, or landlord)</w:t>
      </w:r>
    </w:p>
    <w:p>
      <w:pPr>
        <w:pStyle w:val="ListParagraph"/>
        <w:numPr>
          <w:ilvl w:val="0"/>
          <w:numId w:val="1"/>
        </w:numPr>
        <w:spacing w:after="80"/>
      </w:pPr>
      <w:r>
        <w:t xml:space="preserve">Viewing a live log of all reported incidents</w:t>
      </w:r>
    </w:p>
    <w:p>
      <w:pPr>
        <w:pStyle w:val="ListParagraph"/>
        <w:numPr>
          <w:ilvl w:val="0"/>
          <w:numId w:val="1"/>
        </w:numPr>
        <w:spacing w:after="80"/>
      </w:pPr>
      <w:r>
        <w:t xml:space="preserve">Filtering the incident log by incident type</w:t>
      </w:r>
    </w:p>
    <w:p>
      <w:pPr>
        <w:pStyle w:val="ListParagraph"/>
        <w:numPr>
          <w:ilvl w:val="0"/>
          <w:numId w:val="1"/>
        </w:numPr>
        <w:spacing w:after="80"/>
      </w:pPr>
      <w:r>
        <w:t xml:space="preserve">Registering a landlord's property location for future mapping and faster response</w:t>
      </w:r>
    </w:p>
    <w:p>
      <w:pPr>
        <w:pStyle w:val="Heading2"/>
        <w:spacing w:after="120" w:before="250"/>
      </w:pPr>
      <w:r>
        <w:t xml:space="preserve">2.3 User Classes and Characteristics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1F2937" w:val="clear"/>
          </w:tcPr>
          <w:p>
            <w:r>
              <w:rPr>
                <w:b/>
                <w:bCs/>
                <w:color w:val="FFFFFF"/>
                <w:sz w:val="20"/>
                <w:szCs w:val="20"/>
              </w:rPr>
              <w:t xml:space="preserve">User Class</w:t>
            </w:r>
          </w:p>
        </w:tc>
        <w:tc>
          <w:tcPr>
            <w:tcW w:type="dxa" w:w="6500"/>
            <w:shd w:fill="1F2937" w:val="clear"/>
          </w:tcPr>
          <w:p>
            <w:r>
              <w:rPr>
                <w:b/>
                <w:bCs/>
                <w:color w:val="FFFFFF"/>
                <w:sz w:val="20"/>
                <w:szCs w:val="20"/>
              </w:rPr>
              <w:t xml:space="preserve">Description</w:t>
            </w:r>
          </w:p>
        </w:tc>
      </w:tr>
      <w:tr>
        <w:tc>
          <w:tcPr>
            <w:tcW w:type="dxa" w:w="2500"/>
          </w:tcPr>
          <w:p>
            <w:r>
              <w:rPr>
                <w:b w:val="false"/>
                <w:bCs w:val="false"/>
                <w:color w:val="000000"/>
                <w:sz w:val="20"/>
                <w:szCs w:val="20"/>
              </w:rPr>
              <w:t xml:space="preserve">Student</w:t>
            </w:r>
          </w:p>
        </w:tc>
        <w:tc>
          <w:tcPr>
            <w:tcW w:type="dxa" w:w="6500"/>
          </w:tcPr>
          <w:p>
            <w:r>
              <w:rPr>
                <w:b w:val="false"/>
                <w:bCs w:val="false"/>
                <w:color w:val="000000"/>
                <w:sz w:val="20"/>
                <w:szCs w:val="20"/>
              </w:rPr>
              <w:t xml:space="preserve">Lives on or off campus; primary reporter of incidents witnessed or experienced</w:t>
            </w:r>
          </w:p>
        </w:tc>
      </w:tr>
      <w:tr>
        <w:tc>
          <w:tcPr>
            <w:tcW w:type="dxa" w:w="2500"/>
          </w:tcPr>
          <w:p>
            <w:r>
              <w:rPr>
                <w:b w:val="false"/>
                <w:bCs w:val="false"/>
                <w:color w:val="000000"/>
                <w:sz w:val="20"/>
                <w:szCs w:val="20"/>
              </w:rPr>
              <w:t xml:space="preserve">Staff</w:t>
            </w:r>
          </w:p>
        </w:tc>
        <w:tc>
          <w:tcPr>
            <w:tcW w:type="dxa" w:w="6500"/>
          </w:tcPr>
          <w:p>
            <w:r>
              <w:rPr>
                <w:b w:val="false"/>
                <w:bCs w:val="false"/>
                <w:color w:val="000000"/>
                <w:sz w:val="20"/>
                <w:szCs w:val="20"/>
              </w:rPr>
              <w:t xml:space="preserve">Works within the institution; reports incidents and relies on institutional response procedures</w:t>
            </w:r>
          </w:p>
        </w:tc>
      </w:tr>
      <w:tr>
        <w:tc>
          <w:tcPr>
            <w:tcW w:type="dxa" w:w="2500"/>
          </w:tcPr>
          <w:p>
            <w:r>
              <w:rPr>
                <w:b w:val="false"/>
                <w:bCs w:val="false"/>
                <w:color w:val="000000"/>
                <w:sz w:val="20"/>
                <w:szCs w:val="20"/>
              </w:rPr>
              <w:t xml:space="preserve">Landlord</w:t>
            </w:r>
          </w:p>
        </w:tc>
        <w:tc>
          <w:tcPr>
            <w:tcW w:type="dxa" w:w="6500"/>
          </w:tcPr>
          <w:p>
            <w:r>
              <w:rPr>
                <w:b w:val="false"/>
                <w:bCs w:val="false"/>
                <w:color w:val="000000"/>
                <w:sz w:val="20"/>
                <w:szCs w:val="20"/>
              </w:rPr>
              <w:t xml:space="preserve">Owns off-campus student housing; reports incidents at their property and registers property location</w:t>
            </w:r>
          </w:p>
        </w:tc>
      </w:tr>
      <w:tr>
        <w:tc>
          <w:tcPr>
            <w:tcW w:type="dxa" w:w="2500"/>
          </w:tcPr>
          <w:p>
            <w:r>
              <w:rPr>
                <w:b w:val="false"/>
                <w:bCs w:val="false"/>
                <w:color w:val="000000"/>
                <w:sz w:val="20"/>
                <w:szCs w:val="20"/>
              </w:rPr>
              <w:t xml:space="preserve">Security Admin</w:t>
            </w:r>
          </w:p>
        </w:tc>
        <w:tc>
          <w:tcPr>
            <w:tcW w:type="dxa" w:w="6500"/>
          </w:tcPr>
          <w:p>
            <w:r>
              <w:rPr>
                <w:b w:val="false"/>
                <w:bCs w:val="false"/>
                <w:color w:val="000000"/>
                <w:sz w:val="20"/>
                <w:szCs w:val="20"/>
              </w:rPr>
              <w:t xml:space="preserve">Views and manages submitted reports; monitors incident patterns</w:t>
            </w:r>
          </w:p>
        </w:tc>
      </w:tr>
    </w:tbl>
    <w:p>
      <w:pPr>
        <w:spacing w:after="150"/>
      </w:pPr>
      <w:r>
        <w:t xml:space="preserve"/>
      </w:r>
    </w:p>
    <w:p>
      <w:pPr>
        <w:pStyle w:val="Heading2"/>
        <w:spacing w:after="120" w:before="250"/>
      </w:pPr>
      <w:r>
        <w:t xml:space="preserve">2.4 Operating Environment</w:t>
      </w:r>
    </w:p>
    <w:p>
      <w:pPr>
        <w:spacing w:after="150"/>
      </w:pPr>
      <w:r>
        <w:t xml:space="preserve">SIM runs as a web application accessible through any modern mobile or desktop browser. No installation is required. It does not require a persistent server backend in its current mini-application form; incident data is retained locally within the user's browser session for demonstration purposes.</w:t>
      </w:r>
    </w:p>
    <w:p>
      <w:pPr>
        <w:pStyle w:val="Heading2"/>
        <w:spacing w:after="120" w:before="250"/>
      </w:pPr>
      <w:r>
        <w:t xml:space="preserve">2.5 Design and Implementation Constraints</w:t>
      </w:r>
    </w:p>
    <w:p>
      <w:pPr>
        <w:pStyle w:val="ListParagraph"/>
        <w:numPr>
          <w:ilvl w:val="0"/>
          <w:numId w:val="1"/>
        </w:numPr>
        <w:spacing w:after="80"/>
      </w:pPr>
      <w:r>
        <w:t xml:space="preserve">The system must remain simple in design, given the limited submission timeframe (constraint stated in the project brief).</w:t>
      </w:r>
    </w:p>
    <w:p>
      <w:pPr>
        <w:pStyle w:val="ListParagraph"/>
        <w:numPr>
          <w:ilvl w:val="0"/>
          <w:numId w:val="1"/>
        </w:numPr>
        <w:spacing w:after="80"/>
      </w:pPr>
      <w:r>
        <w:t xml:space="preserve">The system must support anonymous reporting to address the sensitivity of the subject matter.</w:t>
      </w:r>
    </w:p>
    <w:p>
      <w:pPr>
        <w:pStyle w:val="ListParagraph"/>
        <w:numPr>
          <w:ilvl w:val="0"/>
          <w:numId w:val="1"/>
        </w:numPr>
        <w:spacing w:after="80"/>
      </w:pPr>
      <w:r>
        <w:t xml:space="preserve">The system must be usable primarily from a mobile device, as this is the primary access point for most users in the target community.</w:t>
      </w:r>
    </w:p>
    <w:p>
      <w:pPr>
        <w:pStyle w:val="Heading1"/>
        <w:spacing w:after="150" w:before="300"/>
      </w:pPr>
      <w:r>
        <w:t xml:space="preserve">3. Functional Requirements</w:t>
      </w:r>
    </w:p>
    <w:p>
      <w:pPr>
        <w:spacing w:after="150"/>
      </w:pPr>
      <w:r>
        <w:t xml:space="preserve">The following functional requirements are derived directly from the SIM use case diagram and reflect the actual behaviour implemented in the mini web interface.</w:t>
      </w:r>
    </w:p>
    <w:p>
      <w:pPr>
        <w:pStyle w:val="Heading3"/>
        <w:spacing w:after="100" w:before="200"/>
      </w:pPr>
      <w:r>
        <w:t xml:space="preserve">FR1 — Select Role</w:t>
      </w:r>
    </w:p>
    <w:p>
      <w:pPr>
        <w:spacing w:after="150"/>
      </w:pPr>
      <w:r>
        <w:t xml:space="preserve">The system shall allow a user to identify their role (Student, Staff, or Landlord) before submitting a report.</w:t>
      </w:r>
    </w:p>
    <w:p>
      <w:pPr>
        <w:pStyle w:val="Heading3"/>
        <w:spacing w:after="100" w:before="200"/>
      </w:pPr>
      <w:r>
        <w:t xml:space="preserve">FR2 — Submit Incident Report</w:t>
      </w:r>
    </w:p>
    <w:p>
      <w:pPr>
        <w:spacing w:after="150"/>
      </w:pPr>
      <w:r>
        <w:t xml:space="preserve">The system shall allow any user to submit an incident report consisting of incident type, location, severity, and a free-text description.</w:t>
      </w:r>
    </w:p>
    <w:p>
      <w:pPr>
        <w:pStyle w:val="Heading3"/>
        <w:spacing w:after="100" w:before="200"/>
      </w:pPr>
      <w:r>
        <w:t xml:space="preserve">FR3 — Choose Incident Type</w:t>
      </w:r>
    </w:p>
    <w:p>
      <w:pPr>
        <w:spacing w:after="150"/>
      </w:pPr>
      <w:r>
        <w:t xml:space="preserve">The system shall provide a predefined list of incident types (Theft, Assault, Harassment, Stabbing, Murder, Suspicious Activity, Other) for the user to select from when submitting a report.</w:t>
      </w:r>
    </w:p>
    <w:p>
      <w:pPr>
        <w:pStyle w:val="Heading3"/>
        <w:spacing w:after="100" w:before="200"/>
      </w:pPr>
      <w:r>
        <w:t xml:space="preserve">FR4 — Report Anonymously</w:t>
      </w:r>
    </w:p>
    <w:p>
      <w:pPr>
        <w:spacing w:after="150"/>
      </w:pPr>
      <w:r>
        <w:t xml:space="preserve">The system shall allow the user to optionally submit a report without disclosing their role or identity.</w:t>
      </w:r>
    </w:p>
    <w:p>
      <w:pPr>
        <w:pStyle w:val="Heading3"/>
        <w:spacing w:after="100" w:before="200"/>
      </w:pPr>
      <w:r>
        <w:t xml:space="preserve">FR5 — View Incident Log</w:t>
      </w:r>
    </w:p>
    <w:p>
      <w:pPr>
        <w:spacing w:after="150"/>
      </w:pPr>
      <w:r>
        <w:t xml:space="preserve">The system shall display a chronological log of all submitted incident reports, visible to all users.</w:t>
      </w:r>
    </w:p>
    <w:p>
      <w:pPr>
        <w:pStyle w:val="Heading3"/>
        <w:spacing w:after="100" w:before="200"/>
      </w:pPr>
      <w:r>
        <w:t xml:space="preserve">FR6 — Filter Reports by Type</w:t>
      </w:r>
    </w:p>
    <w:p>
      <w:pPr>
        <w:spacing w:after="150"/>
      </w:pPr>
      <w:r>
        <w:t xml:space="preserve">The system shall allow a user to filter the incident log to display only reports of a selected incident type.</w:t>
      </w:r>
    </w:p>
    <w:p>
      <w:pPr>
        <w:pStyle w:val="Heading3"/>
        <w:spacing w:after="100" w:before="200"/>
      </w:pPr>
      <w:r>
        <w:t xml:space="preserve">FR7 — Register Property Location</w:t>
      </w:r>
    </w:p>
    <w:p>
      <w:pPr>
        <w:spacing w:after="150"/>
      </w:pPr>
      <w:r>
        <w:t xml:space="preserve">The system shall allow a landlord to register the location of their property in relation to the campus for future mapping purposes.</w:t>
      </w:r>
    </w:p>
    <w:p>
      <w:pPr>
        <w:pStyle w:val="Heading3"/>
        <w:spacing w:after="100" w:before="200"/>
      </w:pPr>
      <w:r>
        <w:t xml:space="preserve">FR8 — Manage and Resolve Reports</w:t>
      </w:r>
    </w:p>
    <w:p>
      <w:pPr>
        <w:spacing w:after="150"/>
      </w:pPr>
      <w:r>
        <w:t xml:space="preserve">The system shall allow a Security Admin to view all submitted reports and mark incidents for follow-up or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800"/>
      </w:tblGrid>
      <w:tr>
        <w:tc>
          <w:tcPr>
            <w:tcW w:type="dxa" w:w="1200"/>
            <w:shd w:fill="1F2937" w:val="clear"/>
          </w:tcPr>
          <w:p>
            <w:r>
              <w:rPr>
                <w:b/>
                <w:bCs/>
                <w:color w:val="FFFFFF"/>
                <w:sz w:val="20"/>
                <w:szCs w:val="20"/>
              </w:rPr>
              <w:t xml:space="preserve">ID</w:t>
            </w:r>
          </w:p>
        </w:tc>
        <w:tc>
          <w:tcPr>
            <w:tcW w:type="dxa" w:w="6000"/>
            <w:shd w:fill="1F2937" w:val="clear"/>
          </w:tcPr>
          <w:p>
            <w:r>
              <w:rPr>
                <w:b/>
                <w:bCs/>
                <w:color w:val="FFFFFF"/>
                <w:sz w:val="20"/>
                <w:szCs w:val="20"/>
              </w:rPr>
              <w:t xml:space="preserve">Requirement</w:t>
            </w:r>
          </w:p>
        </w:tc>
        <w:tc>
          <w:tcPr>
            <w:tcW w:type="dxa" w:w="1800"/>
            <w:shd w:fill="1F2937" w:val="clear"/>
          </w:tcPr>
          <w:p>
            <w:r>
              <w:rPr>
                <w:b/>
                <w:bCs/>
                <w:color w:val="FFFFFF"/>
                <w:sz w:val="20"/>
                <w:szCs w:val="20"/>
              </w:rPr>
              <w:t xml:space="preserve">Priority</w:t>
            </w:r>
          </w:p>
        </w:tc>
      </w:tr>
      <w:tr>
        <w:tc>
          <w:tcPr>
            <w:tcW w:type="dxa" w:w="1200"/>
          </w:tcPr>
          <w:p>
            <w:r>
              <w:rPr>
                <w:b w:val="false"/>
                <w:bCs w:val="false"/>
                <w:color w:val="000000"/>
                <w:sz w:val="20"/>
                <w:szCs w:val="20"/>
              </w:rPr>
              <w:t xml:space="preserve">FR1</w:t>
            </w:r>
          </w:p>
        </w:tc>
        <w:tc>
          <w:tcPr>
            <w:tcW w:type="dxa" w:w="6000"/>
          </w:tcPr>
          <w:p>
            <w:r>
              <w:rPr>
                <w:b w:val="false"/>
                <w:bCs w:val="false"/>
                <w:color w:val="000000"/>
                <w:sz w:val="20"/>
                <w:szCs w:val="20"/>
              </w:rPr>
              <w:t xml:space="preserve">Select Role</w:t>
            </w:r>
          </w:p>
        </w:tc>
        <w:tc>
          <w:tcPr>
            <w:tcW w:type="dxa" w:w="1800"/>
          </w:tcPr>
          <w:p>
            <w:r>
              <w:rPr>
                <w:b w:val="false"/>
                <w:bCs w:val="false"/>
                <w:color w:val="000000"/>
                <w:sz w:val="20"/>
                <w:szCs w:val="20"/>
              </w:rPr>
              <w:t xml:space="preserve">High</w:t>
            </w:r>
          </w:p>
        </w:tc>
      </w:tr>
      <w:tr>
        <w:tc>
          <w:tcPr>
            <w:tcW w:type="dxa" w:w="1200"/>
          </w:tcPr>
          <w:p>
            <w:r>
              <w:rPr>
                <w:b w:val="false"/>
                <w:bCs w:val="false"/>
                <w:color w:val="000000"/>
                <w:sz w:val="20"/>
                <w:szCs w:val="20"/>
              </w:rPr>
              <w:t xml:space="preserve">FR2</w:t>
            </w:r>
          </w:p>
        </w:tc>
        <w:tc>
          <w:tcPr>
            <w:tcW w:type="dxa" w:w="6000"/>
          </w:tcPr>
          <w:p>
            <w:r>
              <w:rPr>
                <w:b w:val="false"/>
                <w:bCs w:val="false"/>
                <w:color w:val="000000"/>
                <w:sz w:val="20"/>
                <w:szCs w:val="20"/>
              </w:rPr>
              <w:t xml:space="preserve">Submit Incident Report</w:t>
            </w:r>
          </w:p>
        </w:tc>
        <w:tc>
          <w:tcPr>
            <w:tcW w:type="dxa" w:w="1800"/>
          </w:tcPr>
          <w:p>
            <w:r>
              <w:rPr>
                <w:b w:val="false"/>
                <w:bCs w:val="false"/>
                <w:color w:val="000000"/>
                <w:sz w:val="20"/>
                <w:szCs w:val="20"/>
              </w:rPr>
              <w:t xml:space="preserve">High</w:t>
            </w:r>
          </w:p>
        </w:tc>
      </w:tr>
      <w:tr>
        <w:tc>
          <w:tcPr>
            <w:tcW w:type="dxa" w:w="1200"/>
          </w:tcPr>
          <w:p>
            <w:r>
              <w:rPr>
                <w:b w:val="false"/>
                <w:bCs w:val="false"/>
                <w:color w:val="000000"/>
                <w:sz w:val="20"/>
                <w:szCs w:val="20"/>
              </w:rPr>
              <w:t xml:space="preserve">FR3</w:t>
            </w:r>
          </w:p>
        </w:tc>
        <w:tc>
          <w:tcPr>
            <w:tcW w:type="dxa" w:w="6000"/>
          </w:tcPr>
          <w:p>
            <w:r>
              <w:rPr>
                <w:b w:val="false"/>
                <w:bCs w:val="false"/>
                <w:color w:val="000000"/>
                <w:sz w:val="20"/>
                <w:szCs w:val="20"/>
              </w:rPr>
              <w:t xml:space="preserve">Choose Incident Type</w:t>
            </w:r>
          </w:p>
        </w:tc>
        <w:tc>
          <w:tcPr>
            <w:tcW w:type="dxa" w:w="1800"/>
          </w:tcPr>
          <w:p>
            <w:r>
              <w:rPr>
                <w:b w:val="false"/>
                <w:bCs w:val="false"/>
                <w:color w:val="000000"/>
                <w:sz w:val="20"/>
                <w:szCs w:val="20"/>
              </w:rPr>
              <w:t xml:space="preserve">High</w:t>
            </w:r>
          </w:p>
        </w:tc>
      </w:tr>
      <w:tr>
        <w:tc>
          <w:tcPr>
            <w:tcW w:type="dxa" w:w="1200"/>
          </w:tcPr>
          <w:p>
            <w:r>
              <w:rPr>
                <w:b w:val="false"/>
                <w:bCs w:val="false"/>
                <w:color w:val="000000"/>
                <w:sz w:val="20"/>
                <w:szCs w:val="20"/>
              </w:rPr>
              <w:t xml:space="preserve">FR4</w:t>
            </w:r>
          </w:p>
        </w:tc>
        <w:tc>
          <w:tcPr>
            <w:tcW w:type="dxa" w:w="6000"/>
          </w:tcPr>
          <w:p>
            <w:r>
              <w:rPr>
                <w:b w:val="false"/>
                <w:bCs w:val="false"/>
                <w:color w:val="000000"/>
                <w:sz w:val="20"/>
                <w:szCs w:val="20"/>
              </w:rPr>
              <w:t xml:space="preserve">Report Anonymously</w:t>
            </w:r>
          </w:p>
        </w:tc>
        <w:tc>
          <w:tcPr>
            <w:tcW w:type="dxa" w:w="1800"/>
          </w:tcPr>
          <w:p>
            <w:r>
              <w:rPr>
                <w:b w:val="false"/>
                <w:bCs w:val="false"/>
                <w:color w:val="000000"/>
                <w:sz w:val="20"/>
                <w:szCs w:val="20"/>
              </w:rPr>
              <w:t xml:space="preserve">High</w:t>
            </w:r>
          </w:p>
        </w:tc>
      </w:tr>
      <w:tr>
        <w:tc>
          <w:tcPr>
            <w:tcW w:type="dxa" w:w="1200"/>
          </w:tcPr>
          <w:p>
            <w:r>
              <w:rPr>
                <w:b w:val="false"/>
                <w:bCs w:val="false"/>
                <w:color w:val="000000"/>
                <w:sz w:val="20"/>
                <w:szCs w:val="20"/>
              </w:rPr>
              <w:t xml:space="preserve">FR5</w:t>
            </w:r>
          </w:p>
        </w:tc>
        <w:tc>
          <w:tcPr>
            <w:tcW w:type="dxa" w:w="6000"/>
          </w:tcPr>
          <w:p>
            <w:r>
              <w:rPr>
                <w:b w:val="false"/>
                <w:bCs w:val="false"/>
                <w:color w:val="000000"/>
                <w:sz w:val="20"/>
                <w:szCs w:val="20"/>
              </w:rPr>
              <w:t xml:space="preserve">View Incident Log</w:t>
            </w:r>
          </w:p>
        </w:tc>
        <w:tc>
          <w:tcPr>
            <w:tcW w:type="dxa" w:w="1800"/>
          </w:tcPr>
          <w:p>
            <w:r>
              <w:rPr>
                <w:b w:val="false"/>
                <w:bCs w:val="false"/>
                <w:color w:val="000000"/>
                <w:sz w:val="20"/>
                <w:szCs w:val="20"/>
              </w:rPr>
              <w:t xml:space="preserve">High</w:t>
            </w:r>
          </w:p>
        </w:tc>
      </w:tr>
      <w:tr>
        <w:tc>
          <w:tcPr>
            <w:tcW w:type="dxa" w:w="1200"/>
          </w:tcPr>
          <w:p>
            <w:r>
              <w:rPr>
                <w:b w:val="false"/>
                <w:bCs w:val="false"/>
                <w:color w:val="000000"/>
                <w:sz w:val="20"/>
                <w:szCs w:val="20"/>
              </w:rPr>
              <w:t xml:space="preserve">FR6</w:t>
            </w:r>
          </w:p>
        </w:tc>
        <w:tc>
          <w:tcPr>
            <w:tcW w:type="dxa" w:w="6000"/>
          </w:tcPr>
          <w:p>
            <w:r>
              <w:rPr>
                <w:b w:val="false"/>
                <w:bCs w:val="false"/>
                <w:color w:val="000000"/>
                <w:sz w:val="20"/>
                <w:szCs w:val="20"/>
              </w:rPr>
              <w:t xml:space="preserve">Filter Reports by Type</w:t>
            </w:r>
          </w:p>
        </w:tc>
        <w:tc>
          <w:tcPr>
            <w:tcW w:type="dxa" w:w="1800"/>
          </w:tcPr>
          <w:p>
            <w:r>
              <w:rPr>
                <w:b w:val="false"/>
                <w:bCs w:val="false"/>
                <w:color w:val="000000"/>
                <w:sz w:val="20"/>
                <w:szCs w:val="20"/>
              </w:rPr>
              <w:t xml:space="preserve">Medium</w:t>
            </w:r>
          </w:p>
        </w:tc>
      </w:tr>
      <w:tr>
        <w:tc>
          <w:tcPr>
            <w:tcW w:type="dxa" w:w="1200"/>
          </w:tcPr>
          <w:p>
            <w:r>
              <w:rPr>
                <w:b w:val="false"/>
                <w:bCs w:val="false"/>
                <w:color w:val="000000"/>
                <w:sz w:val="20"/>
                <w:szCs w:val="20"/>
              </w:rPr>
              <w:t xml:space="preserve">FR7</w:t>
            </w:r>
          </w:p>
        </w:tc>
        <w:tc>
          <w:tcPr>
            <w:tcW w:type="dxa" w:w="6000"/>
          </w:tcPr>
          <w:p>
            <w:r>
              <w:rPr>
                <w:b w:val="false"/>
                <w:bCs w:val="false"/>
                <w:color w:val="000000"/>
                <w:sz w:val="20"/>
                <w:szCs w:val="20"/>
              </w:rPr>
              <w:t xml:space="preserve">Register Property Location</w:t>
            </w:r>
          </w:p>
        </w:tc>
        <w:tc>
          <w:tcPr>
            <w:tcW w:type="dxa" w:w="1800"/>
          </w:tcPr>
          <w:p>
            <w:r>
              <w:rPr>
                <w:b w:val="false"/>
                <w:bCs w:val="false"/>
                <w:color w:val="000000"/>
                <w:sz w:val="20"/>
                <w:szCs w:val="20"/>
              </w:rPr>
              <w:t xml:space="preserve">Medium</w:t>
            </w:r>
          </w:p>
        </w:tc>
      </w:tr>
      <w:tr>
        <w:tc>
          <w:tcPr>
            <w:tcW w:type="dxa" w:w="1200"/>
          </w:tcPr>
          <w:p>
            <w:r>
              <w:rPr>
                <w:b w:val="false"/>
                <w:bCs w:val="false"/>
                <w:color w:val="000000"/>
                <w:sz w:val="20"/>
                <w:szCs w:val="20"/>
              </w:rPr>
              <w:t xml:space="preserve">FR8</w:t>
            </w:r>
          </w:p>
        </w:tc>
        <w:tc>
          <w:tcPr>
            <w:tcW w:type="dxa" w:w="6000"/>
          </w:tcPr>
          <w:p>
            <w:r>
              <w:rPr>
                <w:b w:val="false"/>
                <w:bCs w:val="false"/>
                <w:color w:val="000000"/>
                <w:sz w:val="20"/>
                <w:szCs w:val="20"/>
              </w:rPr>
              <w:t xml:space="preserve">Manage and Resolve Reports</w:t>
            </w:r>
          </w:p>
        </w:tc>
        <w:tc>
          <w:tcPr>
            <w:tcW w:type="dxa" w:w="1800"/>
          </w:tcPr>
          <w:p>
            <w:r>
              <w:rPr>
                <w:b w:val="false"/>
                <w:bCs w:val="false"/>
                <w:color w:val="000000"/>
                <w:sz w:val="20"/>
                <w:szCs w:val="20"/>
              </w:rPr>
              <w:t xml:space="preserve">Medium</w:t>
            </w:r>
          </w:p>
        </w:tc>
      </w:tr>
    </w:tbl>
    <w:p>
      <w:pPr>
        <w:spacing w:after="150"/>
      </w:pPr>
      <w:r>
        <w:t xml:space="preserve"/>
      </w:r>
    </w:p>
    <w:p>
      <w:pPr>
        <w:pStyle w:val="Heading1"/>
        <w:spacing w:after="150" w:before="300"/>
      </w:pPr>
      <w:r>
        <w:t xml:space="preserve">4. Non-Functional Requirements</w:t>
      </w:r>
    </w:p>
    <w:p>
      <w:pPr>
        <w:pStyle w:val="Heading3"/>
        <w:spacing w:after="100" w:before="200"/>
      </w:pPr>
      <w:r>
        <w:t xml:space="preserve">NFR1 — Usability</w:t>
      </w:r>
    </w:p>
    <w:p>
      <w:pPr>
        <w:spacing w:after="150"/>
      </w:pPr>
      <w:r>
        <w:t xml:space="preserve">The system shall be simple enough for a first-time user to submit a report in under 2 minutes without prior training, given that most users access it from a mobile device.</w:t>
      </w:r>
    </w:p>
    <w:p>
      <w:pPr>
        <w:pStyle w:val="Heading3"/>
        <w:spacing w:after="100" w:before="200"/>
      </w:pPr>
      <w:r>
        <w:t xml:space="preserve">NFR2 — Privacy and Anonymity</w:t>
      </w:r>
    </w:p>
    <w:p>
      <w:pPr>
        <w:spacing w:after="150"/>
      </w:pPr>
      <w:r>
        <w:t xml:space="preserve">The system shall not require personal identifying information (such as name, email, or phone number) for a report to be submitted, in order to encourage honest reporting of sensitive incidents.</w:t>
      </w:r>
    </w:p>
    <w:p>
      <w:pPr>
        <w:pStyle w:val="Heading3"/>
        <w:spacing w:after="100" w:before="200"/>
      </w:pPr>
      <w:r>
        <w:t xml:space="preserve">NFR3 — Availability</w:t>
      </w:r>
    </w:p>
    <w:p>
      <w:pPr>
        <w:spacing w:after="150"/>
      </w:pPr>
      <w:r>
        <w:t xml:space="preserve">The system shall be accessible at any time via a web browser, without requiring account creation or login.</w:t>
      </w:r>
    </w:p>
    <w:p>
      <w:pPr>
        <w:pStyle w:val="Heading3"/>
        <w:spacing w:after="100" w:before="200"/>
      </w:pPr>
      <w:r>
        <w:t xml:space="preserve">NFR4 — Performance</w:t>
      </w:r>
    </w:p>
    <w:p>
      <w:pPr>
        <w:spacing w:after="150"/>
      </w:pPr>
      <w:r>
        <w:t xml:space="preserve">The system shall update the incident log and filtered views within 1 second of a report being submitted or a filter being applied.</w:t>
      </w:r>
    </w:p>
    <w:p>
      <w:pPr>
        <w:pStyle w:val="Heading3"/>
        <w:spacing w:after="100" w:before="200"/>
      </w:pPr>
      <w:r>
        <w:t xml:space="preserve">NFR5 — Portability</w:t>
      </w:r>
    </w:p>
    <w:p>
      <w:pPr>
        <w:spacing w:after="150"/>
      </w:pPr>
      <w:r>
        <w:t xml:space="preserve">The system shall function correctly on both mobile and desktop web browsers without requiring a separate native application.</w:t>
      </w:r>
    </w:p>
    <w:p>
      <w:pPr>
        <w:pStyle w:val="Heading3"/>
        <w:spacing w:after="100" w:before="200"/>
      </w:pPr>
      <w:r>
        <w:t xml:space="preserve">NFR6 — Maintainability</w:t>
      </w:r>
    </w:p>
    <w:p>
      <w:pPr>
        <w:spacing w:after="150"/>
      </w:pPr>
      <w:r>
        <w:t xml:space="preserve">The system shall be implemented using a single, self-contained HTML file to minimize complexity and ease future maintenance, in line with the project's development constraints.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600"/>
      </w:tblGrid>
      <w:tr>
        <w:tc>
          <w:tcPr>
            <w:tcW w:type="dxa" w:w="1200"/>
            <w:shd w:fill="1F2937" w:val="clear"/>
          </w:tcPr>
          <w:p>
            <w:r>
              <w:rPr>
                <w:b/>
                <w:bCs/>
                <w:color w:val="FFFFFF"/>
                <w:sz w:val="20"/>
                <w:szCs w:val="20"/>
              </w:rPr>
              <w:t xml:space="preserve">ID</w:t>
            </w:r>
          </w:p>
        </w:tc>
        <w:tc>
          <w:tcPr>
            <w:tcW w:type="dxa" w:w="5200"/>
            <w:shd w:fill="1F2937" w:val="clear"/>
          </w:tcPr>
          <w:p>
            <w:r>
              <w:rPr>
                <w:b/>
                <w:bCs/>
                <w:color w:val="FFFFFF"/>
                <w:sz w:val="20"/>
                <w:szCs w:val="20"/>
              </w:rPr>
              <w:t xml:space="preserve">Requirement</w:t>
            </w:r>
          </w:p>
        </w:tc>
        <w:tc>
          <w:tcPr>
            <w:tcW w:type="dxa" w:w="2600"/>
            <w:shd w:fill="1F2937" w:val="clear"/>
          </w:tcPr>
          <w:p>
            <w:r>
              <w:rPr>
                <w:b/>
                <w:bCs/>
                <w:color w:val="FFFFFF"/>
                <w:sz w:val="20"/>
                <w:szCs w:val="20"/>
              </w:rPr>
              <w:t xml:space="preserve">Category</w:t>
            </w:r>
          </w:p>
        </w:tc>
      </w:tr>
      <w:tr>
        <w:tc>
          <w:tcPr>
            <w:tcW w:type="dxa" w:w="1200"/>
          </w:tcPr>
          <w:p>
            <w:r>
              <w:rPr>
                <w:b w:val="false"/>
                <w:bCs w:val="false"/>
                <w:color w:val="000000"/>
                <w:sz w:val="20"/>
                <w:szCs w:val="20"/>
              </w:rPr>
              <w:t xml:space="preserve">NFR1</w:t>
            </w:r>
          </w:p>
        </w:tc>
        <w:tc>
          <w:tcPr>
            <w:tcW w:type="dxa" w:w="5200"/>
          </w:tcPr>
          <w:p>
            <w:r>
              <w:rPr>
                <w:b w:val="false"/>
                <w:bCs w:val="false"/>
                <w:color w:val="000000"/>
                <w:sz w:val="20"/>
                <w:szCs w:val="20"/>
              </w:rPr>
              <w:t xml:space="preserve">Usability — under 2 minutes to submit a report</w:t>
            </w:r>
          </w:p>
        </w:tc>
        <w:tc>
          <w:tcPr>
            <w:tcW w:type="dxa" w:w="2600"/>
          </w:tcPr>
          <w:p>
            <w:r>
              <w:rPr>
                <w:b w:val="false"/>
                <w:bCs w:val="false"/>
                <w:color w:val="000000"/>
                <w:sz w:val="20"/>
                <w:szCs w:val="20"/>
              </w:rPr>
              <w:t xml:space="preserve">Usability</w:t>
            </w:r>
          </w:p>
        </w:tc>
      </w:tr>
      <w:tr>
        <w:tc>
          <w:tcPr>
            <w:tcW w:type="dxa" w:w="1200"/>
          </w:tcPr>
          <w:p>
            <w:r>
              <w:rPr>
                <w:b w:val="false"/>
                <w:bCs w:val="false"/>
                <w:color w:val="000000"/>
                <w:sz w:val="20"/>
                <w:szCs w:val="20"/>
              </w:rPr>
              <w:t xml:space="preserve">NFR2</w:t>
            </w:r>
          </w:p>
        </w:tc>
        <w:tc>
          <w:tcPr>
            <w:tcW w:type="dxa" w:w="5200"/>
          </w:tcPr>
          <w:p>
            <w:r>
              <w:rPr>
                <w:b w:val="false"/>
                <w:bCs w:val="false"/>
                <w:color w:val="000000"/>
                <w:sz w:val="20"/>
                <w:szCs w:val="20"/>
              </w:rPr>
              <w:t xml:space="preserve">No personal data required to submit a report</w:t>
            </w:r>
          </w:p>
        </w:tc>
        <w:tc>
          <w:tcPr>
            <w:tcW w:type="dxa" w:w="2600"/>
          </w:tcPr>
          <w:p>
            <w:r>
              <w:rPr>
                <w:b w:val="false"/>
                <w:bCs w:val="false"/>
                <w:color w:val="000000"/>
                <w:sz w:val="20"/>
                <w:szCs w:val="20"/>
              </w:rPr>
              <w:t xml:space="preserve">Privacy/Security</w:t>
            </w:r>
          </w:p>
        </w:tc>
      </w:tr>
      <w:tr>
        <w:tc>
          <w:tcPr>
            <w:tcW w:type="dxa" w:w="1200"/>
          </w:tcPr>
          <w:p>
            <w:r>
              <w:rPr>
                <w:b w:val="false"/>
                <w:bCs w:val="false"/>
                <w:color w:val="000000"/>
                <w:sz w:val="20"/>
                <w:szCs w:val="20"/>
              </w:rPr>
              <w:t xml:space="preserve">NFR3</w:t>
            </w:r>
          </w:p>
        </w:tc>
        <w:tc>
          <w:tcPr>
            <w:tcW w:type="dxa" w:w="5200"/>
          </w:tcPr>
          <w:p>
            <w:r>
              <w:rPr>
                <w:b w:val="false"/>
                <w:bCs w:val="false"/>
                <w:color w:val="000000"/>
                <w:sz w:val="20"/>
                <w:szCs w:val="20"/>
              </w:rPr>
              <w:t xml:space="preserve">Accessible anytime, no login required</w:t>
            </w:r>
          </w:p>
        </w:tc>
        <w:tc>
          <w:tcPr>
            <w:tcW w:type="dxa" w:w="2600"/>
          </w:tcPr>
          <w:p>
            <w:r>
              <w:rPr>
                <w:b w:val="false"/>
                <w:bCs w:val="false"/>
                <w:color w:val="000000"/>
                <w:sz w:val="20"/>
                <w:szCs w:val="20"/>
              </w:rPr>
              <w:t xml:space="preserve">Availability</w:t>
            </w:r>
          </w:p>
        </w:tc>
      </w:tr>
      <w:tr>
        <w:tc>
          <w:tcPr>
            <w:tcW w:type="dxa" w:w="1200"/>
          </w:tcPr>
          <w:p>
            <w:r>
              <w:rPr>
                <w:b w:val="false"/>
                <w:bCs w:val="false"/>
                <w:color w:val="000000"/>
                <w:sz w:val="20"/>
                <w:szCs w:val="20"/>
              </w:rPr>
              <w:t xml:space="preserve">NFR4</w:t>
            </w:r>
          </w:p>
        </w:tc>
        <w:tc>
          <w:tcPr>
            <w:tcW w:type="dxa" w:w="5200"/>
          </w:tcPr>
          <w:p>
            <w:r>
              <w:rPr>
                <w:b w:val="false"/>
                <w:bCs w:val="false"/>
                <w:color w:val="000000"/>
                <w:sz w:val="20"/>
                <w:szCs w:val="20"/>
              </w:rPr>
              <w:t xml:space="preserve">Log updates within 1 second</w:t>
            </w:r>
          </w:p>
        </w:tc>
        <w:tc>
          <w:tcPr>
            <w:tcW w:type="dxa" w:w="2600"/>
          </w:tcPr>
          <w:p>
            <w:r>
              <w:rPr>
                <w:b w:val="false"/>
                <w:bCs w:val="false"/>
                <w:color w:val="000000"/>
                <w:sz w:val="20"/>
                <w:szCs w:val="20"/>
              </w:rPr>
              <w:t xml:space="preserve">Performance</w:t>
            </w:r>
          </w:p>
        </w:tc>
      </w:tr>
      <w:tr>
        <w:tc>
          <w:tcPr>
            <w:tcW w:type="dxa" w:w="1200"/>
          </w:tcPr>
          <w:p>
            <w:r>
              <w:rPr>
                <w:b w:val="false"/>
                <w:bCs w:val="false"/>
                <w:color w:val="000000"/>
                <w:sz w:val="20"/>
                <w:szCs w:val="20"/>
              </w:rPr>
              <w:t xml:space="preserve">NFR5</w:t>
            </w:r>
          </w:p>
        </w:tc>
        <w:tc>
          <w:tcPr>
            <w:tcW w:type="dxa" w:w="5200"/>
          </w:tcPr>
          <w:p>
            <w:r>
              <w:rPr>
                <w:b w:val="false"/>
                <w:bCs w:val="false"/>
                <w:color w:val="000000"/>
                <w:sz w:val="20"/>
                <w:szCs w:val="20"/>
              </w:rPr>
              <w:t xml:space="preserve">Works on mobile and desktop browsers</w:t>
            </w:r>
          </w:p>
        </w:tc>
        <w:tc>
          <w:tcPr>
            <w:tcW w:type="dxa" w:w="2600"/>
          </w:tcPr>
          <w:p>
            <w:r>
              <w:rPr>
                <w:b w:val="false"/>
                <w:bCs w:val="false"/>
                <w:color w:val="000000"/>
                <w:sz w:val="20"/>
                <w:szCs w:val="20"/>
              </w:rPr>
              <w:t xml:space="preserve">Portability</w:t>
            </w:r>
          </w:p>
        </w:tc>
      </w:tr>
      <w:tr>
        <w:tc>
          <w:tcPr>
            <w:tcW w:type="dxa" w:w="1200"/>
          </w:tcPr>
          <w:p>
            <w:r>
              <w:rPr>
                <w:b w:val="false"/>
                <w:bCs w:val="false"/>
                <w:color w:val="000000"/>
                <w:sz w:val="20"/>
                <w:szCs w:val="20"/>
              </w:rPr>
              <w:t xml:space="preserve">NFR6</w:t>
            </w:r>
          </w:p>
        </w:tc>
        <w:tc>
          <w:tcPr>
            <w:tcW w:type="dxa" w:w="5200"/>
          </w:tcPr>
          <w:p>
            <w:r>
              <w:rPr>
                <w:b w:val="false"/>
                <w:bCs w:val="false"/>
                <w:color w:val="000000"/>
                <w:sz w:val="20"/>
                <w:szCs w:val="20"/>
              </w:rPr>
              <w:t xml:space="preserve">Single-file implementation for maintainability</w:t>
            </w:r>
          </w:p>
        </w:tc>
        <w:tc>
          <w:tcPr>
            <w:tcW w:type="dxa" w:w="2600"/>
          </w:tcPr>
          <w:p>
            <w:r>
              <w:rPr>
                <w:b w:val="false"/>
                <w:bCs w:val="false"/>
                <w:color w:val="000000"/>
                <w:sz w:val="20"/>
                <w:szCs w:val="20"/>
              </w:rPr>
              <w:t xml:space="preserve">Maintainability</w:t>
            </w:r>
          </w:p>
        </w:tc>
      </w:tr>
    </w:tbl>
    <w:p>
      <w:pPr>
        <w:spacing w:after="150"/>
      </w:pPr>
      <w:r>
        <w:t xml:space="preserve"/>
      </w:r>
    </w:p>
    <w:p>
      <w:pPr>
        <w:pStyle w:val="Heading1"/>
        <w:spacing w:after="150" w:before="300"/>
      </w:pPr>
      <w:r>
        <w:t xml:space="preserve">5. System Models</w:t>
      </w:r>
    </w:p>
    <w:p>
      <w:pPr>
        <w:pStyle w:val="Heading2"/>
        <w:spacing w:after="120" w:before="250"/>
      </w:pPr>
      <w:r>
        <w:t xml:space="preserve">5.1 Use Case Summary</w:t>
      </w:r>
    </w:p>
    <w:p>
      <w:pPr>
        <w:spacing w:after="150"/>
      </w:pPr>
      <w:r>
        <w:t xml:space="preserve">The system involves four actors — Student, Staff, Landlord, and Security Admin — interacting with core use cases including Submit Incident Report, View Incident Log, and Manage/Resolve Reports. The 'Submit Incident Report' use case includes the mandatory sub-steps 'Select Role' and 'Choose Incident Type', and optionally extends to 'Report Anonymously'. The full use case diagram is provided as a separate artifact (SIM_UseCase_Diagram.drawio) in the project repository.</w:t>
      </w:r>
    </w:p>
    <w:p>
      <w:pPr>
        <w:pStyle w:val="Heading2"/>
        <w:spacing w:after="120" w:before="250"/>
      </w:pPr>
      <w:r>
        <w:t xml:space="preserve">5.2 Root Cause Analysis Summary</w:t>
      </w:r>
    </w:p>
    <w:p>
      <w:pPr>
        <w:spacing w:after="150"/>
      </w:pPr>
      <w:r>
        <w:t xml:space="preserve">The Ishikawa (fishbone) diagram identified six categories of root causes contributing to underreported campus insecurity: People, Process, Environment, Technology, Policy/Management, and Materials/Resources. Several of these causes directly informed the functional requirements above — for example, 'fear of retaliation' (People) informed the anonymous reporting requirement (FR4/NFR2), and 'no standardized reporting procedure' (Process) informed the structured report submission flow (FR2, FR3). The full diagram is provided as a separate artifact (SIM_Ishikawa_Diagram.drawio) in the project repository.</w:t>
      </w:r>
    </w:p>
    <w:p>
      <w:pPr>
        <w:pStyle w:val="Heading2"/>
        <w:spacing w:after="120" w:before="250"/>
      </w:pPr>
      <w:r>
        <w:t xml:space="preserve">5.3 Traceability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2937" w:val="clear"/>
          </w:tcPr>
          <w:p>
            <w:r>
              <w:rPr>
                <w:b/>
                <w:bCs/>
                <w:color w:val="FFFFFF"/>
                <w:sz w:val="20"/>
                <w:szCs w:val="20"/>
              </w:rPr>
              <w:t xml:space="preserve">Source</w:t>
            </w:r>
          </w:p>
        </w:tc>
        <w:tc>
          <w:tcPr>
            <w:tcW w:type="dxa" w:w="4500"/>
            <w:shd w:fill="1F2937" w:val="clear"/>
          </w:tcPr>
          <w:p>
            <w:r>
              <w:rPr>
                <w:b/>
                <w:bCs/>
                <w:color w:val="FFFFFF"/>
                <w:sz w:val="20"/>
                <w:szCs w:val="20"/>
              </w:rPr>
              <w:t xml:space="preserve">Informs</w:t>
            </w:r>
          </w:p>
        </w:tc>
      </w:tr>
      <w:tr>
        <w:tc>
          <w:tcPr>
            <w:tcW w:type="dxa" w:w="4500"/>
          </w:tcPr>
          <w:p>
            <w:r>
              <w:rPr>
                <w:b w:val="false"/>
                <w:bCs w:val="false"/>
                <w:color w:val="000000"/>
                <w:sz w:val="20"/>
                <w:szCs w:val="20"/>
              </w:rPr>
              <w:t xml:space="preserve">Google Form — fear of reporting barrier (staff/students)</w:t>
            </w:r>
          </w:p>
        </w:tc>
        <w:tc>
          <w:tcPr>
            <w:tcW w:type="dxa" w:w="4500"/>
          </w:tcPr>
          <w:p>
            <w:r>
              <w:rPr>
                <w:b w:val="false"/>
                <w:bCs w:val="false"/>
                <w:color w:val="000000"/>
                <w:sz w:val="20"/>
                <w:szCs w:val="20"/>
              </w:rPr>
              <w:t xml:space="preserve">FR4 — Report Anonymously</w:t>
            </w:r>
          </w:p>
        </w:tc>
      </w:tr>
      <w:tr>
        <w:tc>
          <w:tcPr>
            <w:tcW w:type="dxa" w:w="4500"/>
          </w:tcPr>
          <w:p>
            <w:r>
              <w:rPr>
                <w:b w:val="false"/>
                <w:bCs w:val="false"/>
                <w:color w:val="000000"/>
                <w:sz w:val="20"/>
                <w:szCs w:val="20"/>
              </w:rPr>
              <w:t xml:space="preserve">Ishikawa — no standardized reporting procedure</w:t>
            </w:r>
          </w:p>
        </w:tc>
        <w:tc>
          <w:tcPr>
            <w:tcW w:type="dxa" w:w="4500"/>
          </w:tcPr>
          <w:p>
            <w:r>
              <w:rPr>
                <w:b w:val="false"/>
                <w:bCs w:val="false"/>
                <w:color w:val="000000"/>
                <w:sz w:val="20"/>
                <w:szCs w:val="20"/>
              </w:rPr>
              <w:t xml:space="preserve">FR2, FR3 — Structured report submission</w:t>
            </w:r>
          </w:p>
        </w:tc>
      </w:tr>
      <w:tr>
        <w:tc>
          <w:tcPr>
            <w:tcW w:type="dxa" w:w="4500"/>
          </w:tcPr>
          <w:p>
            <w:r>
              <w:rPr>
                <w:b w:val="false"/>
                <w:bCs w:val="false"/>
                <w:color w:val="000000"/>
                <w:sz w:val="20"/>
                <w:szCs w:val="20"/>
              </w:rPr>
              <w:t xml:space="preserve">Ishikawa — no mapping/geolocation of hotspots</w:t>
            </w:r>
          </w:p>
        </w:tc>
        <w:tc>
          <w:tcPr>
            <w:tcW w:type="dxa" w:w="4500"/>
          </w:tcPr>
          <w:p>
            <w:r>
              <w:rPr>
                <w:b w:val="false"/>
                <w:bCs w:val="false"/>
                <w:color w:val="000000"/>
                <w:sz w:val="20"/>
                <w:szCs w:val="20"/>
              </w:rPr>
              <w:t xml:space="preserve">FR7 — Register Property Location</w:t>
            </w:r>
          </w:p>
        </w:tc>
      </w:tr>
      <w:tr>
        <w:tc>
          <w:tcPr>
            <w:tcW w:type="dxa" w:w="4500"/>
          </w:tcPr>
          <w:p>
            <w:r>
              <w:rPr>
                <w:b w:val="false"/>
                <w:bCs w:val="false"/>
                <w:color w:val="000000"/>
                <w:sz w:val="20"/>
                <w:szCs w:val="20"/>
              </w:rPr>
              <w:t xml:space="preserve">Google Form — landlord willingness to cooperate</w:t>
            </w:r>
          </w:p>
        </w:tc>
        <w:tc>
          <w:tcPr>
            <w:tcW w:type="dxa" w:w="4500"/>
          </w:tcPr>
          <w:p>
            <w:r>
              <w:rPr>
                <w:b w:val="false"/>
                <w:bCs w:val="false"/>
                <w:color w:val="000000"/>
                <w:sz w:val="20"/>
                <w:szCs w:val="20"/>
              </w:rPr>
              <w:t xml:space="preserve">FR7 — Register Property Location</w:t>
            </w:r>
          </w:p>
        </w:tc>
      </w:tr>
      <w:tr>
        <w:tc>
          <w:tcPr>
            <w:tcW w:type="dxa" w:w="4500"/>
          </w:tcPr>
          <w:p>
            <w:r>
              <w:rPr>
                <w:b w:val="false"/>
                <w:bCs w:val="false"/>
                <w:color w:val="000000"/>
                <w:sz w:val="20"/>
                <w:szCs w:val="20"/>
              </w:rPr>
              <w:t xml:space="preserve">Ishikawa — no follow-up system after report is made</w:t>
            </w:r>
          </w:p>
        </w:tc>
        <w:tc>
          <w:tcPr>
            <w:tcW w:type="dxa" w:w="4500"/>
          </w:tcPr>
          <w:p>
            <w:r>
              <w:rPr>
                <w:b w:val="false"/>
                <w:bCs w:val="false"/>
                <w:color w:val="000000"/>
                <w:sz w:val="20"/>
                <w:szCs w:val="20"/>
              </w:rPr>
              <w:t xml:space="preserve">FR8 — Manage and Resolve Reports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2026-07-05T22:25:51.757Z</dcterms:created>
  <dcterms:modified xsi:type="dcterms:W3CDTF">2026-07-05T22:25:51.775Z</dcterms:modified>
</cp:coreProperties>
</file>

<file path=docProps/custom.xml><?xml version="1.0" encoding="utf-8"?>
<Properties xmlns="http://schemas.openxmlformats.org/officeDocument/2006/custom-properties" xmlns:vt="http://schemas.openxmlformats.org/officeDocument/2006/docPropsVTypes"/>
</file>