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ind w:left="609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To our valued investors,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We are pleased to hereby present to you our first Sustainability Report. I have been responsible for our “Impact Investment Initiative”, a recently redefined framework embodying our ESG-related activities.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Unison’s investment strategy focused on control investments targeting small to mid-cap companies has remained unchanged since inception. As part of this strategy, strengthening governance and creating better environments for our portfolio companies, their employees and periphery have always been a central part of our value creation. Our first Sustainability Report revisits such efforts and reorganizes them to better suit our renewed ESG framework. In a time where ESG cannot be understated, preparing this report has been a great opportunity of self-reflection for us to recognize how far we have come, as well as humbly recognizing what more needs to be done. The recent expansion of our ESG-related ecosystem involving academia and third-party evaluators has been part of a conscious effort towards doing more in the future. Going forward, we strive to be able to objectively quantify the impact of these efforts within our investment activities by leveraging these relationships.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On a personal note, employee empowerment has been a determining factor behind private equity being my career of choice. Upon joining the workforce, I was shocked to learn that a vast majority of the working population find their job as not much more than a means to make ends meet. I strongly felt that the influence private equity investors exercise on its portfolio companies can ultimately change this, increasing the number of people who find pride and joy in their work – this has continued to be a source of my motivation since. I sincerely believe that our commitment to ESG will play a pivotal role in driving value by bringing out the passion people find in their work.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Lastly, this Sustainability Report is intended to reinforce our commitment to ESG – we hope to make steady progress going forward by continuing to approach ESG both genuinely and realistically. We warmly welcome any comments, suggestions or feedback from our readers. </w:t>
      </w:r>
    </w:p>
    <w:p>
      <w:pPr/>
      <w:r>
        <w:rPr>
          <w:rFonts w:ascii="Times New Roman" w:hAnsi="Times New Roman" w:cs="Times New Roman"/>
          <w:sz w:val="24"/>
          <w:sz-cs w:val="24"/>
        </w:rPr>
        <w:t xml:space="preserve"/>
      </w:r>
    </w:p>
    <w:p>
      <w:pPr>
        <w:ind w:left="6090"/>
      </w:pPr>
      <w:r>
        <w:rPr>
          <w:rFonts w:ascii="Times New Roman" w:hAnsi="Times New Roman" w:cs="Times New Roman"/>
          <w:sz w:val="24"/>
          <w:sz-cs w:val="24"/>
        </w:rPr>
        <w:t xml:space="preserve">Junko Katayanagi</w:t>
      </w:r>
    </w:p>
    <w:p>
      <w:pPr>
        <w:ind w:left="6090"/>
      </w:pPr>
      <w:r>
        <w:rPr>
          <w:rFonts w:ascii="Times New Roman" w:hAnsi="Times New Roman" w:cs="Times New Roman"/>
          <w:sz w:val="24"/>
          <w:sz-cs w:val="24"/>
        </w:rPr>
        <w:t xml:space="preserve">Partner</w:t>
      </w:r>
    </w:p>
    <w:p>
      <w:pPr/>
      <w:r>
        <w:rPr>
          <w:rFonts w:ascii="Times" w:hAnsi="Times" w:cs="Times"/>
          <w:sz w:val="24"/>
          <w:sz-cs w:val="24"/>
        </w:rPr>
        <w:t xml:space="preserve"/>
        <w:br w:type="page"/>
        <w:t xml:space="preserve"/>
      </w:r>
    </w:p>
    <w:p>
      <w:pPr/>
      <w:r>
        <w:rPr>
          <w:rFonts w:ascii="Times" w:hAnsi="Times" w:cs="Times"/>
          <w:sz w:val="24"/>
          <w:sz-cs w:val="24"/>
        </w:rPr>
        <w:t xml:space="preserve">Unison’s Approach to ESG</w:t>
      </w:r>
    </w:p>
    <w:p>
      <w:pPr/>
      <w:r>
        <w:rPr>
          <w:rFonts w:ascii="Times" w:hAnsi="Times" w:cs="Times"/>
          <w:sz w:val="24"/>
          <w:sz-cs w:val="24"/>
        </w:rPr>
        <w:t xml:space="preserve">As stated in the Guiding Principles which embody the underlying philosophy serving as the core of our work as investors, Unison has strived to create social impact from its investment activities since inception (excerpt from Guiding Principles below).  </w:t>
      </w:r>
    </w:p>
    <w:p>
      <w:pPr/>
      <w:r>
        <w:rPr>
          <w:rFonts w:ascii="Times" w:hAnsi="Times" w:cs="Times"/>
          <w:sz w:val="24"/>
          <w:sz-cs w:val="24"/>
          <w:i/>
        </w:rPr>
        <w:t xml:space="preserve">While we rigorously pursue profitable opportunities, we aim to make an impact on the business community we are involved in.</w:t>
      </w:r>
    </w:p>
    <w:p>
      <w:pPr/>
      <w:r>
        <w:rPr>
          <w:rFonts w:ascii="Times" w:hAnsi="Times" w:cs="Times"/>
          <w:sz w:val="24"/>
          <w:sz-cs w:val="24"/>
          <w:i/>
        </w:rPr>
        <w:t xml:space="preserve">We seek to create business transactions which have value not only to ourselves but also to society.</w:t>
      </w:r>
    </w:p>
    <w:p>
      <w:pPr/>
      <w:r>
        <w:rPr>
          <w:rFonts w:ascii="Times" w:hAnsi="Times" w:cs="Times"/>
          <w:sz w:val="24"/>
          <w:sz-cs w:val="24"/>
        </w:rPr>
        <w:t xml:space="preserve">Based on the belief that improvements related to both the working environment and employee motivation within our portfolio companies ultimately drive value over the long-term, we have been undertaking such initiatives since Fund I. In response to growing awareness towards ESG, we became a PRI signatory in 2017 and have reorganized our investment activities and reporting to comply with PRI standards since.</w:t>
      </w:r>
    </w:p>
    <w:p>
      <w:pPr/>
      <w:r>
        <w:rPr>
          <w:rFonts w:ascii="Times" w:hAnsi="Times" w:cs="Times"/>
          <w:sz w:val="24"/>
          <w:sz-cs w:val="24"/>
        </w:rPr>
        <w:t xml:space="preserve">It is our unwavering belief that control investments led by private equity funds provide the optimal governance structure to effectively pursue ESG initiatives. Given its influence on portfolio company management, the responsibility private equity investors bear towards achieving ESG goals outweigh that of public market investors. Particularly for small to mid-cap investment strategies like Unison’s, it is often the case that portfolio companies lack the organizational infrastructure and facilities needed to pursue growth, implying ESG goals are very much aligned with financial objectives. In addition, ESG initiatives largely impact exit valuations as well, especially while considering a public market exit, or a trade sale to public company. It is, however, also true that successful ESG-related precedents within Japanese private equity industry are still limited. Under such circumstances, Unison strives to be at the forefront of the industry with its ESG practice.</w:t>
      </w:r>
    </w:p>
    <w:p>
      <w:pPr/>
      <w:r>
        <w:rPr>
          <w:rFonts w:ascii="Times" w:hAnsi="Times" w:cs="Times"/>
          <w:sz w:val="24"/>
          <w:sz-cs w:val="24"/>
        </w:rPr>
        <w:t xml:space="preserve">In 2020, we established the following two-stage ESG framework intended to best address ESG-related issues specific to small to mid-cap companies, which have been applied across our portfolio companies:</w:t>
      </w:r>
    </w:p>
    <w:p>
      <w:pPr/>
      <w:r>
        <w:rPr>
          <w:rFonts w:ascii="Times" w:hAnsi="Times" w:cs="Times"/>
          <w:sz w:val="24"/>
          <w:sz-cs w:val="24"/>
        </w:rPr>
        <w:t xml:space="preserve">[Stage 1] Community, Diversity &amp; Empowerment</w:t>
      </w:r>
    </w:p>
    <w:p>
      <w:pPr/>
      <w:r>
        <w:rPr>
          <w:rFonts w:ascii="Times" w:hAnsi="Times" w:cs="Times"/>
          <w:sz w:val="24"/>
          <w:sz-cs w:val="24"/>
        </w:rPr>
        <w:t xml:space="preserve">- C: Contribution to local regional communities and customer communities which the company serves</w:t>
      </w:r>
    </w:p>
    <w:p>
      <w:pPr/>
      <w:r>
        <w:rPr>
          <w:rFonts w:ascii="Times" w:hAnsi="Times" w:cs="Times"/>
          <w:sz w:val="24"/>
          <w:sz-cs w:val="24"/>
        </w:rPr>
        <w:t xml:space="preserve">- D: Diversity and inclusion (female representation among management positions, board diversity)</w:t>
      </w:r>
    </w:p>
    <w:p>
      <w:pPr/>
      <w:r>
        <w:rPr>
          <w:rFonts w:ascii="Times" w:hAnsi="Times" w:cs="Times"/>
          <w:sz w:val="24"/>
          <w:sz-cs w:val="24"/>
        </w:rPr>
        <w:t xml:space="preserve">- E: Improvement of working environment (fairness in evaluation and compensation, empowerment of employees through transparent communication and sharing of information) </w:t>
      </w:r>
    </w:p>
    <w:p>
      <w:pPr/>
      <w:r>
        <w:rPr>
          <w:rFonts w:ascii="Times" w:hAnsi="Times" w:cs="Times"/>
          <w:sz w:val="24"/>
          <w:sz-cs w:val="24"/>
        </w:rPr>
        <w:t xml:space="preserve">[Stage 2] Carbon, Disposables &amp; Energy</w:t>
      </w:r>
    </w:p>
    <w:p>
      <w:pPr/>
      <w:r>
        <w:rPr>
          <w:rFonts w:ascii="Times" w:hAnsi="Times" w:cs="Times"/>
          <w:sz w:val="24"/>
          <w:sz-cs w:val="24"/>
        </w:rPr>
        <w:t xml:space="preserve">- C: Reduction of carbon emissions</w:t>
      </w:r>
    </w:p>
    <w:p>
      <w:pPr/>
      <w:r>
        <w:rPr>
          <w:rFonts w:ascii="Times" w:hAnsi="Times" w:cs="Times"/>
          <w:sz w:val="24"/>
          <w:sz-cs w:val="24"/>
        </w:rPr>
        <w:t xml:space="preserve">- D: Reduction of plastic and other environmentally harmful materials  </w:t>
      </w:r>
    </w:p>
    <w:p>
      <w:pPr/>
      <w:r>
        <w:rPr>
          <w:rFonts w:ascii="Times" w:hAnsi="Times" w:cs="Times"/>
          <w:sz w:val="24"/>
          <w:sz-cs w:val="24"/>
        </w:rPr>
        <w:t xml:space="preserve">- E: Improvement in efficiency of water and energy consumption; active utilization of renewable energy</w:t>
      </w:r>
    </w:p>
    <w:p>
      <w:pPr/>
      <w:r>
        <w:rPr>
          <w:rFonts w:ascii="Times" w:hAnsi="Times" w:cs="Times"/>
          <w:sz w:val="24"/>
          <w:sz-cs w:val="24"/>
        </w:rPr>
        <w:t xml:space="preserve">Specific initiatives to be implemented are tailored in accordance with each portfolio company’s mission statement, investment thesis and capacity, among other factors. Furthermore, we focus on initiatives in which achievements and progress can be quantified, enabling for specific goals and targets to be implemented and benchmarked against industry best practices. Ultimately, we seek to measure the quantitative impact achieved throughout our investment term. Lastly, these goals are incorporated within each portfolio company’s mid-term business plan and management evaluation process, in order to ensure alignment between Unison and each portfolio company’s management.</w:t>
      </w:r>
    </w:p>
    <w:p>
      <w:pPr/>
      <w:r>
        <w:rPr>
          <w:rFonts w:ascii="Times New Roman" w:hAnsi="Times New Roman" w:cs="Times New Roman"/>
          <w:sz w:val="24"/>
          <w:sz-cs w:val="24"/>
        </w:rPr>
        <w:t xml:space="preserve">We continue to expand our ESG-related ecosystem and accelerate collaborative initiatives involving external experts in order to remain attentive to global ESG trends, while striving to build a successful track-record of achieving ESG goals within our portfolio companies.</w:t>
      </w:r>
    </w:p>
    <w:p>
      <w:pPr/>
      <w:r>
        <w:rPr>
          <w:rFonts w:ascii="Times New Roman" w:hAnsi="Times New Roman" w:cs="Times New Roman"/>
          <w:sz w:val="24"/>
          <w:sz-cs w:val="24"/>
        </w:rPr>
        <w:t xml:space="preserve"/>
      </w:r>
    </w:p>
    <w:p>
      <w:pPr/>
      <w:r>
        <w:rPr>
          <w:rFonts w:ascii="Times New Roman" w:hAnsi="Times New Roman" w:cs="Times New Roman"/>
          <w:sz w:val="24"/>
          <w:sz-cs w:val="24"/>
          <w:b/>
          <w:u w:val="single"/>
        </w:rPr>
        <w:t xml:space="preserve">Dr. Kim Schumacher </w:t>
      </w:r>
      <w:r>
        <w:rPr>
          <w:rFonts w:ascii="Times New Roman" w:hAnsi="Times New Roman" w:cs="Times New Roman"/>
          <w:sz w:val="24"/>
          <w:sz-cs w:val="24"/>
          <w:b/>
        </w:rPr>
        <w:t xml:space="preserve">(</w:t>
      </w:r>
      <w:r>
        <w:rPr>
          <w:rFonts w:ascii="Hiragino Mincho ProN" w:hAnsi="Hiragino Mincho ProN" w:cs="Hiragino Mincho ProN"/>
          <w:sz w:val="24"/>
          <w:sz-cs w:val="24"/>
          <w:b/>
        </w:rPr>
        <w:t xml:space="preserve">別枠で人物紹介</w:t>
      </w:r>
      <w:r>
        <w:rPr>
          <w:rFonts w:ascii="Times New Roman" w:hAnsi="Times New Roman" w:cs="Times New Roman"/>
          <w:sz w:val="24"/>
          <w:sz-cs w:val="24"/>
          <w:b/>
        </w:rPr>
        <w:t xml:space="preserve">)</w:t>
      </w:r>
    </w:p>
    <w:p>
      <w:pPr/>
      <w:r>
        <w:rPr>
          <w:rFonts w:ascii="Times New Roman" w:hAnsi="Times New Roman" w:cs="Times New Roman"/>
          <w:sz w:val="24"/>
          <w:sz-cs w:val="24"/>
        </w:rPr>
        <w:t xml:space="preserve">Currently a Lecturer in Sustainable Finance and ESG at the Tokyo Institute of Technology. Honorary Research Associate at the University of Oxford, Adjunct Lecturer at the University of Luxembourg and the United Nations University. His research focuses on ESG data and impact metrics, sustainable finance frameworks, green bonds, natural capital, biodiversity and ecosystem services, renewable energy project development, and TCFD/TNFD disclosure.</w:t>
      </w:r>
    </w:p>
    <w:p>
      <w:pPr/>
      <w:r>
        <w:rPr>
          <w:rFonts w:ascii="Times New Roman" w:hAnsi="Times New Roman" w:cs="Times New Roman"/>
          <w:sz w:val="24"/>
          <w:sz-cs w:val="24"/>
        </w:rPr>
        <w:t xml:space="preserve"/>
      </w:r>
    </w:p>
    <w:p>
      <w:pPr/>
      <w:r>
        <w:rPr>
          <w:rFonts w:ascii="Hiragino Mincho ProN" w:hAnsi="Hiragino Mincho ProN" w:cs="Hiragino Mincho ProN"/>
          <w:sz w:val="24"/>
          <w:sz-cs w:val="24"/>
          <w:b/>
        </w:rPr>
        <w:t xml:space="preserve">（以下、本文）</w:t>
      </w:r>
      <w:r>
        <w:rPr>
          <w:rFonts w:ascii="Times New Roman" w:hAnsi="Times New Roman" w:cs="Times New Roman"/>
          <w:sz w:val="24"/>
          <w:sz-cs w:val="24"/>
          <w:b/>
        </w:rPr>
        <w:t xml:space="preserve"/>
      </w:r>
    </w:p>
    <w:p>
      <w:pPr/>
      <w:r>
        <w:rPr>
          <w:rFonts w:ascii="Times New Roman" w:hAnsi="Times New Roman" w:cs="Times New Roman"/>
          <w:sz w:val="24"/>
          <w:sz-cs w:val="24"/>
          <w:b/>
        </w:rPr>
        <w:t xml:space="preserve">Junko Katayanagi</w:t>
      </w:r>
      <w:r>
        <w:rPr>
          <w:rFonts w:ascii="Times New Roman" w:hAnsi="Times New Roman" w:cs="Times New Roman"/>
          <w:sz w:val="24"/>
          <w:sz-cs w:val="24"/>
        </w:rPr>
        <w:t xml:space="preserve">: Thank you for your time today - it’s truly a pleasure to be able to introduce you to our readers as our advisor and conduct this interview. </w:t>
      </w:r>
    </w:p>
    <w:p>
      <w:pPr/>
      <w:r>
        <w:rPr>
          <w:rFonts w:ascii="Times New Roman" w:hAnsi="Times New Roman" w:cs="Times New Roman"/>
          <w:sz w:val="24"/>
          <w:sz-cs w:val="24"/>
          <w:b/>
        </w:rPr>
        <w:t xml:space="preserve">Kim Schumacher</w:t>
      </w:r>
      <w:r>
        <w:rPr>
          <w:rFonts w:ascii="Times New Roman" w:hAnsi="Times New Roman" w:cs="Times New Roman"/>
          <w:sz w:val="24"/>
          <w:sz-cs w:val="24"/>
        </w:rPr>
        <w:t xml:space="preserve">: The pleasure is mine. My interactions with Unison began after first meeting Tatsuya Hayashi in Paris at the PRI Conference back in 2019. After having the opportunity to move to Japan and become a Lecturer at the Tokyo Institute of Technology, I have provided ESG and sustainability-related advice to Unison.</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Junko</w:t>
      </w:r>
      <w:r>
        <w:rPr>
          <w:rFonts w:ascii="Times New Roman" w:hAnsi="Times New Roman" w:cs="Times New Roman"/>
          <w:sz w:val="24"/>
          <w:sz-cs w:val="24"/>
        </w:rPr>
        <w:t xml:space="preserve">: I can vividly recall Tatsuya being very excited when he first told me about meeting you then. Let’s start with talking about your thoughts on the implications of Sustainable Finance and ESG to small to mid-cap private equity funds like Unison? </w:t>
      </w:r>
    </w:p>
    <w:p>
      <w:pPr/>
      <w:r>
        <w:rPr>
          <w:rFonts w:ascii="Times New Roman" w:hAnsi="Times New Roman" w:cs="Times New Roman"/>
          <w:sz w:val="24"/>
          <w:sz-cs w:val="24"/>
          <w:b/>
        </w:rPr>
        <w:t xml:space="preserve">Kim</w:t>
      </w:r>
      <w:r>
        <w:rPr>
          <w:rFonts w:ascii="Times New Roman" w:hAnsi="Times New Roman" w:cs="Times New Roman"/>
          <w:sz w:val="24"/>
          <w:sz-cs w:val="24"/>
        </w:rPr>
        <w:t xml:space="preserve">: Small to mid-cap private equity funds generally tend to invest in companies with limited availability of sustainability-related data. This is also a result of targeting companies in need of structural change, which tend to be less established. This has implications in terms of properly accessing and evaluating the sustainability-related aspects of the companies private equity funds target, from both risk exposure and sustainability impact perspectives.</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Junko</w:t>
      </w:r>
      <w:r>
        <w:rPr>
          <w:rFonts w:ascii="Times New Roman" w:hAnsi="Times New Roman" w:cs="Times New Roman"/>
          <w:sz w:val="24"/>
          <w:sz-cs w:val="24"/>
        </w:rPr>
        <w:t xml:space="preserve">: Even under such circumstances, how do you think private equity funds can effectively pursue ESG factors in their investments?</w:t>
      </w:r>
    </w:p>
    <w:p>
      <w:pPr/>
      <w:r>
        <w:rPr>
          <w:rFonts w:ascii="Times New Roman" w:hAnsi="Times New Roman" w:cs="Times New Roman"/>
          <w:sz w:val="24"/>
          <w:sz-cs w:val="24"/>
          <w:b/>
        </w:rPr>
        <w:t xml:space="preserve">Kim</w:t>
      </w:r>
      <w:r>
        <w:rPr>
          <w:rFonts w:ascii="Times New Roman" w:hAnsi="Times New Roman" w:cs="Times New Roman"/>
          <w:sz w:val="24"/>
          <w:sz-cs w:val="24"/>
        </w:rPr>
        <w:t xml:space="preserve">: Compared to public investors, private equity funds are able to take a much more active and involved role in integrating ESG factors with respect to their portfolio companies. Hence, private equity funds are well positioned to exercise their influence to actively reduce ESG-related financial risks and improve sustained performance, leading to financial outperformance.</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Junko</w:t>
      </w:r>
      <w:r>
        <w:rPr>
          <w:rFonts w:ascii="Times New Roman" w:hAnsi="Times New Roman" w:cs="Times New Roman"/>
          <w:sz w:val="24"/>
          <w:sz-cs w:val="24"/>
        </w:rPr>
        <w:t xml:space="preserve">: We feel the same. As part of integrating ESG factors across our investments, we came up with a framework comprised of two stages. The first stage addressing Community, Diversity and Empowerment-related themes, and the second stage addressing Carbon, Disposables and Energy-related themes. We believe this approach is most effective in addressing the ESG issues most commonly seen across small to mid-cap companies in Japan. What are your thoughts on this approach?</w:t>
      </w:r>
    </w:p>
    <w:p>
      <w:pPr/>
      <w:r>
        <w:rPr>
          <w:rFonts w:ascii="Times New Roman" w:hAnsi="Times New Roman" w:cs="Times New Roman"/>
          <w:sz w:val="24"/>
          <w:sz-cs w:val="24"/>
          <w:b/>
        </w:rPr>
        <w:t xml:space="preserve">Kim</w:t>
      </w:r>
      <w:r>
        <w:rPr>
          <w:rFonts w:ascii="Times New Roman" w:hAnsi="Times New Roman" w:cs="Times New Roman"/>
          <w:sz w:val="24"/>
          <w:sz-cs w:val="24"/>
        </w:rPr>
        <w:t xml:space="preserve">: This framework effectively addresses some of the most material ESG issues both in Japan and Asia, most notably the lack of organizational and institutional diversity, especially regarding gender equality. The gender gap, most evident in senior management and corporate boards, has become an important indicator related to ESG performance. Discussions around carbon emissions, energy and circularity have recently gained a new quality in Japan and Asia. Given the importance of supply chains, structuring your ESG framework around these themes bears significant potential for solid ESG integration, where small to mid-cap companies have sufficient room for improvement.</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Junko</w:t>
      </w:r>
      <w:r>
        <w:rPr>
          <w:rFonts w:ascii="Times New Roman" w:hAnsi="Times New Roman" w:cs="Times New Roman"/>
          <w:sz w:val="24"/>
          <w:sz-cs w:val="24"/>
        </w:rPr>
        <w:t xml:space="preserve">: It’s reassuring to hear that from you. In our partnership with RIMM Sustainability, we seek to establish a way to measure the ESG impact achieved across our portfolio companies utilizing third-party assessment. Being that you also serve as a Scientific Advisory Board member of RIMM, what are your thoughts regarding ESG-related third-party assessment?</w:t>
      </w:r>
    </w:p>
    <w:p>
      <w:pPr/>
      <w:r>
        <w:rPr>
          <w:rFonts w:ascii="Times New Roman" w:hAnsi="Times New Roman" w:cs="Times New Roman"/>
          <w:sz w:val="24"/>
          <w:sz-cs w:val="24"/>
          <w:b/>
        </w:rPr>
        <w:t xml:space="preserve">Kim</w:t>
      </w:r>
      <w:r>
        <w:rPr>
          <w:rFonts w:ascii="Times New Roman" w:hAnsi="Times New Roman" w:cs="Times New Roman"/>
          <w:sz w:val="24"/>
          <w:sz-cs w:val="24"/>
        </w:rPr>
        <w:t xml:space="preserve">: Properly functioning ESG disclosure and sustainability reporting, as well as access to consistent and granular corporate ESG data is vital for Sustainable Finance and ESG investment. Currently, many existing ESG ratings face serious challenges in terms of reliability, coverage and methodology. Given these shortcomings, financial supervisors globally are moving towards a more active regulation of ESG data and rating providers. Even for publicly listed companies, the scarcity of quality ESG data has presented challenges to accurately assess ESG performance. The challenge is more relevant to small to mid-cap companies, as ESG data is not systematically collected and these enterprises lack the internal resources to conduct sustainability reporting. That is where third-party assessment providers can play a valuable role, if they can offer a way of streamlining not only the reporting process, but also by making ESG-related expertise more accessible for small to mid-cap companies. That way, the risk of greenwashing will be reduced while also opening credit and investment markets to ESG-aligned small to mid-cap companies.</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Junko</w:t>
      </w:r>
      <w:r>
        <w:rPr>
          <w:rFonts w:ascii="Times New Roman" w:hAnsi="Times New Roman" w:cs="Times New Roman"/>
          <w:sz w:val="24"/>
          <w:sz-cs w:val="24"/>
        </w:rPr>
        <w:t xml:space="preserve">: We’ve discussed this before as well, but there seems to be quite a bit of confusion with the jargon related to Sustainable Finance and ESG – the most notable being “ESG Investing” and “Impact Investing”. How do you define the difference between the two? </w:t>
      </w:r>
    </w:p>
    <w:p>
      <w:pPr/>
      <w:r>
        <w:rPr>
          <w:rFonts w:ascii="Times New Roman" w:hAnsi="Times New Roman" w:cs="Times New Roman"/>
          <w:sz w:val="24"/>
          <w:sz-cs w:val="24"/>
          <w:b/>
        </w:rPr>
        <w:t xml:space="preserve">Kim</w:t>
      </w:r>
      <w:r>
        <w:rPr>
          <w:rFonts w:ascii="Times New Roman" w:hAnsi="Times New Roman" w:cs="Times New Roman"/>
          <w:sz w:val="24"/>
          <w:sz-cs w:val="24"/>
        </w:rPr>
        <w:t xml:space="preserve">: Let’s clarify the jargon by first introducing even more jargon – </w:t>
      </w:r>
      <w:r>
        <w:rPr>
          <w:rFonts w:ascii="Times New Roman" w:hAnsi="Times New Roman" w:cs="Times New Roman"/>
          <w:sz w:val="24"/>
          <w:sz-cs w:val="24"/>
          <w:i/>
        </w:rPr>
        <w:t xml:space="preserve">“ex-ante”</w:t>
      </w:r>
      <w:r>
        <w:rPr>
          <w:rFonts w:ascii="Times New Roman" w:hAnsi="Times New Roman" w:cs="Times New Roman"/>
          <w:sz w:val="24"/>
          <w:sz-cs w:val="24"/>
        </w:rPr>
        <w:t xml:space="preserve"> and </w:t>
      </w:r>
      <w:r>
        <w:rPr>
          <w:rFonts w:ascii="Times New Roman" w:hAnsi="Times New Roman" w:cs="Times New Roman"/>
          <w:sz w:val="24"/>
          <w:sz-cs w:val="24"/>
          <w:i/>
        </w:rPr>
        <w:t xml:space="preserve">“ex-post”</w:t>
      </w:r>
      <w:r>
        <w:rPr>
          <w:rFonts w:ascii="Times New Roman" w:hAnsi="Times New Roman" w:cs="Times New Roman"/>
          <w:sz w:val="24"/>
          <w:sz-cs w:val="24"/>
        </w:rPr>
        <w:t xml:space="preserve">. “</w:t>
      </w:r>
      <w:r>
        <w:rPr>
          <w:rFonts w:ascii="Times New Roman" w:hAnsi="Times New Roman" w:cs="Times New Roman"/>
          <w:sz w:val="24"/>
          <w:sz-cs w:val="24"/>
          <w:i/>
        </w:rPr>
        <w:t xml:space="preserve">Ex-ante”</w:t>
      </w:r>
      <w:r>
        <w:rPr>
          <w:rFonts w:ascii="Times New Roman" w:hAnsi="Times New Roman" w:cs="Times New Roman"/>
          <w:sz w:val="24"/>
          <w:sz-cs w:val="24"/>
        </w:rPr>
        <w:t xml:space="preserve"> means before a project or activity is being carried out; “</w:t>
      </w:r>
      <w:r>
        <w:rPr>
          <w:rFonts w:ascii="Times New Roman" w:hAnsi="Times New Roman" w:cs="Times New Roman"/>
          <w:sz w:val="24"/>
          <w:sz-cs w:val="24"/>
          <w:i/>
        </w:rPr>
        <w:t xml:space="preserve">ex-post”</w:t>
      </w:r>
      <w:r>
        <w:rPr>
          <w:rFonts w:ascii="Times New Roman" w:hAnsi="Times New Roman" w:cs="Times New Roman"/>
          <w:sz w:val="24"/>
          <w:sz-cs w:val="24"/>
        </w:rPr>
        <w:t xml:space="preserve"> means everything after the initial project or activity planning and assessment stages. ESG Investing is primarily a sustainability-related investment strategy that focuses on </w:t>
      </w:r>
      <w:r>
        <w:rPr>
          <w:rFonts w:ascii="Times New Roman" w:hAnsi="Times New Roman" w:cs="Times New Roman"/>
          <w:sz w:val="24"/>
          <w:sz-cs w:val="24"/>
          <w:i/>
        </w:rPr>
        <w:t xml:space="preserve">“ex-ante”</w:t>
      </w:r>
      <w:r>
        <w:rPr>
          <w:rFonts w:ascii="Times New Roman" w:hAnsi="Times New Roman" w:cs="Times New Roman"/>
          <w:sz w:val="24"/>
          <w:sz-cs w:val="24"/>
        </w:rPr>
        <w:t xml:space="preserve"> evaluations, meaning it will consider ESG factors, such as GHG emissions, gender equality or corruption-related controversies, to assess risks and opportunities based on available past performance data. It will, however, not wait for concrete results nor actively forego market-level returns in return for verifiable sustainability impacts. Alpha and beta are still the main KPIs for ESG investment strategies. In contrast, Impact Investing is an </w:t>
      </w:r>
      <w:r>
        <w:rPr>
          <w:rFonts w:ascii="Times New Roman" w:hAnsi="Times New Roman" w:cs="Times New Roman"/>
          <w:sz w:val="24"/>
          <w:sz-cs w:val="24"/>
          <w:i/>
        </w:rPr>
        <w:t xml:space="preserve">“ex-post”</w:t>
      </w:r>
      <w:r>
        <w:rPr>
          <w:rFonts w:ascii="Times New Roman" w:hAnsi="Times New Roman" w:cs="Times New Roman"/>
          <w:sz w:val="24"/>
          <w:sz-cs w:val="24"/>
        </w:rPr>
        <w:t xml:space="preserve"> investment strategy that focuses on the measurement of tangible impacts and often requiring more intense monitoring of investment activities as well as more active engagement of investors. Since Impact Investing is focused on generating verifiable </w:t>
      </w:r>
      <w:r>
        <w:rPr>
          <w:rFonts w:ascii="Times New Roman" w:hAnsi="Times New Roman" w:cs="Times New Roman"/>
          <w:sz w:val="24"/>
          <w:sz-cs w:val="24"/>
          <w:i/>
        </w:rPr>
        <w:t xml:space="preserve">“ex-post”</w:t>
      </w:r>
      <w:r>
        <w:rPr>
          <w:rFonts w:ascii="Times New Roman" w:hAnsi="Times New Roman" w:cs="Times New Roman"/>
          <w:sz w:val="24"/>
          <w:sz-cs w:val="24"/>
        </w:rPr>
        <w:t xml:space="preserve"> impact, it is generally more resource-intensive and is often done as concessional finance below-market interest rates. In terms of global AUM volumes, ESG Investing far outpaces Impact Investing, primarily given the far more involved approach that the latter represents.  </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Junko</w:t>
      </w:r>
      <w:r>
        <w:rPr>
          <w:rFonts w:ascii="Times New Roman" w:hAnsi="Times New Roman" w:cs="Times New Roman"/>
          <w:sz w:val="24"/>
          <w:sz-cs w:val="24"/>
        </w:rPr>
        <w:t xml:space="preserve">: This helps clarify the confusion. We are excited to work with you to strengthen our ESG-related value creation capabilities. Let us conclude by talking about some areas in which we can further collaborate. </w:t>
      </w:r>
    </w:p>
    <w:p>
      <w:pPr/>
      <w:r>
        <w:rPr>
          <w:rFonts w:ascii="Times New Roman" w:hAnsi="Times New Roman" w:cs="Times New Roman"/>
          <w:sz w:val="24"/>
          <w:sz-cs w:val="24"/>
          <w:b/>
        </w:rPr>
        <w:t xml:space="preserve">Kim</w:t>
      </w:r>
      <w:r>
        <w:rPr>
          <w:rFonts w:ascii="Times New Roman" w:hAnsi="Times New Roman" w:cs="Times New Roman"/>
          <w:sz w:val="24"/>
          <w:sz-cs w:val="24"/>
        </w:rPr>
        <w:t xml:space="preserve">: I too, am excited about the opportunity to work with Unison. Proper integration of ESG factors will not happen overnight and addressing the data-related challenges specific to private equity will require persistence and unique expertise. I hope that my input and contributions will allow Unison to scale its ESG-aligned value creation in Japan and beyond. Potential future collaborations could include joint publications on a variety of material ESG-related topics as well as practitioner-level ESG training, possibly joint collaborative lectures at Tokyo Institute of Technology focused on ESG and private equity, along with research-related collaborations to measure the sustainability impact of various sectors or activities.</w:t>
      </w:r>
    </w:p>
    <w:p>
      <w:pPr/>
      <w:r>
        <w:rPr>
          <w:rFonts w:ascii="Times New Roman" w:hAnsi="Times New Roman" w:cs="Times New Roman"/>
          <w:sz w:val="24"/>
          <w:sz-cs w:val="24"/>
          <w:b/>
        </w:rPr>
        <w:t xml:space="preserve">Junko:</w:t>
      </w:r>
      <w:r>
        <w:rPr>
          <w:rFonts w:ascii="Times New Roman" w:hAnsi="Times New Roman" w:cs="Times New Roman"/>
          <w:sz w:val="24"/>
          <w:sz-cs w:val="24"/>
        </w:rPr>
        <w:t xml:space="preserve"> It sounds like there are a lot more areas in which we can collaborate, and I am very excited about making these ideas take shape. Thank you again for your time today.</w:t>
      </w:r>
    </w:p>
    <w:p>
      <w:pPr/>
      <w:r>
        <w:rPr>
          <w:rFonts w:ascii="Times" w:hAnsi="Times" w:cs="Times"/>
          <w:sz w:val="24"/>
          <w:sz-cs w:val="24"/>
        </w:rPr>
        <w:t xml:space="preserve">We were first introduced to RIMM Sustainability Ltd in the course of searching for a way to objectively quantify the financial impact of the ESG-related initiatives undertaken as part of our investment activities.</w:t>
      </w:r>
    </w:p>
    <w:p>
      <w:pPr/>
      <w:r>
        <w:rPr>
          <w:rFonts w:ascii="Times" w:hAnsi="Times" w:cs="Times"/>
          <w:sz w:val="24"/>
          <w:sz-cs w:val="24"/>
        </w:rPr>
        <w:t xml:space="preserve">At the time, RIMM was a newly founded startup based in Singapore. Being that Unison had a predating working relationship with one of RIMM’s founders, we were able to learn about their vision and their services which were still in preliminary stages of development. RIMM's vision is “to make sustainability simple, accessible, authentic, fun and rewarding for companies of all sizes”. Specifically, RIMM is engaged in the development of a software platform services intended to better visualize and quantify corporate sustainability in accordance with GRI, SASB and other international standards.</w:t>
      </w:r>
    </w:p>
    <w:p>
      <w:pPr/>
      <w:r>
        <w:rPr>
          <w:rFonts w:ascii="Times" w:hAnsi="Times" w:cs="Times"/>
          <w:sz w:val="24"/>
          <w:sz-cs w:val="24"/>
        </w:rPr>
        <w:t xml:space="preserve">The RIMM platform applies a proprietary algorithm incorporating both individual company disclosures as well as RIMM's sustainability database covering public companies globally to yield a company's "RIMM score", intended for assessing corporate sustainability. Its customer interface is designed for intuitive operations, and issues a sustainability report intended for identifying the company's status quo and points for improvement related to sustainability, with an emphasis on detailed impact. </w:t>
      </w:r>
    </w:p>
    <w:p>
      <w:pPr/>
      <w:r>
        <w:rPr>
          <w:rFonts w:ascii="Times" w:hAnsi="Times" w:cs="Times"/>
          <w:sz w:val="24"/>
          <w:sz-cs w:val="24"/>
        </w:rPr>
        <w:t xml:space="preserve">We invested in RIMM in June 2020 and have begun collaborating on the development of a platform applicable to private equity funds targeting small to mid-cap companies. The project has made steady progress, and we plan to be able to implement RIMM’s services across our Fund IV and Fund V portfolio companies towards the end of 2021. This project taking shape will enable us to better visualize corporate sustainability across our portfolio, and offer concrete, detailed advice towards portfolio company management for improving corporate sustainability.</w:t>
      </w:r>
    </w:p>
    <w:p>
      <w:pPr/>
      <w:r>
        <w:rPr>
          <w:rFonts w:ascii="Times" w:hAnsi="Times" w:cs="Times"/>
          <w:sz w:val="24"/>
          <w:sz-cs w:val="24"/>
        </w:rPr>
        <w:t xml:space="preserve">The average age of RIMM's team is 32.6 with 62.5% of the team being female, and six nationalities being represented. Their Scientific Advisory Board is comprised six experts monitoring global sustainability trends. Dr. Kim Schumacher, also serving as an advisor to Unison, plays a central role in RIMM’s activities.</w:t>
      </w:r>
    </w:p>
    <w:p>
      <w:pPr/>
      <w:r>
        <w:rPr>
          <w:rFonts w:ascii="Times" w:hAnsi="Times" w:cs="Times"/>
          <w:sz w:val="24"/>
          <w:sz-cs w:val="24"/>
        </w:rPr>
        <w:t xml:space="preserve">Investor focus on sustainability is a structural trend. As such, our portfolio companies will need to continue improving their corporate sustainability even after Unison’s exit. By leveraging RIMM’s services, we strive to improve the quality of sustainability-related discussions with portfolio company management and implement improvements with longevity.</w:t>
      </w:r>
    </w:p>
    <w:p>
      <w:pPr/>
      <w:r>
        <w:rPr>
          <w:rFonts w:ascii="Times" w:hAnsi="Times" w:cs="Times"/>
          <w:sz w:val="24"/>
          <w:sz-cs w:val="24"/>
        </w:rPr>
        <w:t xml:space="preserve"/>
      </w:r>
    </w:p>
    <w:p>
      <w:pPr/>
      <w:r>
        <w:rPr>
          <w:rFonts w:ascii="Times" w:hAnsi="Times" w:cs="Times"/>
          <w:sz w:val="24"/>
          <w:sz-cs w:val="24"/>
        </w:rPr>
        <w:t xml:space="preserve">The National Investment and Infrastructure Fund ("NIIF") is our local partner in India and one of the country's largest investment companies with an industry leading ESG investment practice.</w:t>
      </w:r>
    </w:p>
    <w:p>
      <w:pPr/>
      <w:r>
        <w:rPr>
          <w:rFonts w:ascii="Times" w:hAnsi="Times" w:cs="Times"/>
          <w:sz w:val="24"/>
          <w:sz-cs w:val="24"/>
        </w:rPr>
        <w:t xml:space="preserve">Despite India's economy being the seventh largest in the world, its per-capita GDP ($2,100) ranks 144</w:t>
      </w:r>
      <w:r>
        <w:rPr>
          <w:rFonts w:ascii="Times" w:hAnsi="Times" w:cs="Times"/>
          <w:sz w:val="24"/>
          <w:sz-cs w:val="24"/>
          <w:vertAlign w:val="superscript"/>
        </w:rPr>
        <w:t xml:space="preserve">th</w:t>
      </w:r>
      <w:r>
        <w:rPr>
          <w:rFonts w:ascii="Times" w:hAnsi="Times" w:cs="Times"/>
          <w:sz w:val="24"/>
          <w:sz-cs w:val="24"/>
        </w:rPr>
        <w:t xml:space="preserve"> globally, where the top 1% of earners account for 55% of the country’s total wealth. NIIF has attempted to address this wealth gap and promote impacts through ESG investment. NIIF has a team of three ESG investment experts who monitor NIIF’s investment activities in entirety and report to the Board of Directors through the COO. The Environment Management and Social Development (EMSD) team works under the aforementioned experts to assess E&amp;S impact, providing guidance to funds (GPs) and portfolio companies based on their findings. </w:t>
      </w:r>
    </w:p>
    <w:p>
      <w:pPr/>
      <w:r>
        <w:rPr>
          <w:rFonts w:ascii="Times" w:hAnsi="Times" w:cs="Times"/>
          <w:sz w:val="24"/>
          <w:sz-cs w:val="24"/>
        </w:rPr>
        <w:t xml:space="preserve">Private equity and venture capital investments in India have reached a record high of $47 billion in 2019, translating to between three to four times the size of the Japanese market for these asset classes. NIIF being a global leader with respect to ESG investment has promoted a virtuous cycle for the Indian private equity and venture capital market as a whole, effectively contributing to attracting capital inflow from overseas. We believe that collaborating with NIIF and having access to their ESG-related knowledge, experience and resources will yield strong synergies to further strengthen our own ESG practice. </w:t>
      </w:r>
    </w:p>
    <w:p>
      <w:pPr/>
      <w:r>
        <w:rPr>
          <w:rFonts w:ascii="Times" w:hAnsi="Times" w:cs="Times"/>
          <w:sz w:val="24"/>
          <w:sz-cs w:val="24"/>
        </w:rPr>
        <w:t xml:space="preserve">India currently only has 1.4 hospital beds per population of 1,000, translating to one tenth of the level in Japan. COVID-19 has had a profound impact in India, raising the urgency for investments to strengthen medical infrastructure. NIIF and Unison, both focused on healthcare, working together to promote investments from Japanese corporations seeking and entry into India’s healthcare space can be a win-win situation, effectively addressing ESG-related issues in India as well. </w:t>
      </w:r>
    </w:p>
    <w:p>
      <w:pPr/>
      <w:r>
        <w:rPr>
          <w:rFonts w:ascii="Times" w:hAnsi="Times" w:cs="Times"/>
          <w:sz w:val="24"/>
          <w:sz-cs w:val="24"/>
        </w:rPr>
        <w:t xml:space="preserve">Japan has been no exception to the global COVID-19 pandemic imposing unprecedented constraints since 2020. In June 2021, the Japanese government announced the introduction of workplace vaccination programs catered to organizations with over 1,000 people. Being that many of Unison’s small to mid-cap portfolio companies fall short of the threshold, we began considering ways to design a joint vaccination program in which all of our portfolio companies can be granted access to vaccinations.</w:t>
      </w:r>
    </w:p>
    <w:p>
      <w:pPr/>
      <w:r>
        <w:rPr>
          <w:rFonts w:ascii="Times" w:hAnsi="Times" w:cs="Times"/>
          <w:sz w:val="24"/>
          <w:sz-cs w:val="24"/>
        </w:rPr>
        <w:t xml:space="preserve">The joint vaccination program was carried out through a collaborative effort between Unison and its portfolio companies. SHiDAX led applications and arrangements while minacia provided vaccination sites at the hotels it operates. Furthermore, CHCP Group took a lead with putting together a group of medical practitioners. Combined with a separate program arranged through the Japan Association of Corporate Executives, the joint vaccination program successfully commenced on July 5</w:t>
      </w:r>
      <w:r>
        <w:rPr>
          <w:rFonts w:ascii="Times" w:hAnsi="Times" w:cs="Times"/>
          <w:sz w:val="24"/>
          <w:sz-cs w:val="24"/>
          <w:vertAlign w:val="superscript"/>
        </w:rPr>
        <w:t xml:space="preserve">th</w:t>
      </w:r>
      <w:r>
        <w:rPr>
          <w:rFonts w:ascii="Times" w:hAnsi="Times" w:cs="Times"/>
          <w:sz w:val="24"/>
          <w:sz-cs w:val="24"/>
        </w:rPr>
        <w:t xml:space="preserve"> 2021. In Fukuoka, Sukesan took the lead in arranging vaccinations open to Unison’s other portfolio companies in the region like Pyuru. The joint vaccination program was also extended to Unison’s alumni, business partners as well as other private equity funds and their families. As of August 22</w:t>
      </w:r>
      <w:r>
        <w:rPr>
          <w:rFonts w:ascii="Times" w:hAnsi="Times" w:cs="Times"/>
          <w:sz w:val="24"/>
          <w:sz-cs w:val="24"/>
          <w:vertAlign w:val="superscript"/>
        </w:rPr>
        <w:t xml:space="preserve">nd</w:t>
      </w:r>
      <w:r>
        <w:rPr>
          <w:rFonts w:ascii="Times" w:hAnsi="Times" w:cs="Times"/>
          <w:sz w:val="24"/>
          <w:sz-cs w:val="24"/>
        </w:rPr>
        <w:t xml:space="preserve"> 2021, a total of 4,989 people have been vaccinated through this program. Vaccinations in Osaka and Sapporo led by KYOWA Pharmaceutical Industry and minacia, respectively, are planned in September 2021.</w:t>
      </w:r>
    </w:p>
    <w:p>
      <w:pPr/>
      <w:r>
        <w:rPr>
          <w:rFonts w:ascii="Times" w:hAnsi="Times" w:cs="Times"/>
          <w:sz w:val="24"/>
          <w:sz-cs w:val="24"/>
        </w:rPr>
        <w:t xml:space="preserve">The joint vaccination program embodies the socioeconomic impact we seek to create. We would like to express our utmost gratitude to everyone involved for all their contributions throughout the process.</w:t>
      </w:r>
    </w:p>
    <w:p>
      <w:pPr/>
      <w:r>
        <w:rPr>
          <w:rFonts w:ascii="Times" w:hAnsi="Times" w:cs="Times"/>
          <w:sz w:val="24"/>
          <w:sz-cs w:val="24"/>
        </w:rPr>
        <w:t xml:space="preserve"/>
      </w:r>
    </w:p>
    <w:p>
      <w:pPr/>
      <w:r>
        <w:rPr>
          <w:rFonts w:ascii="Hiragino Mincho ProN" w:hAnsi="Hiragino Mincho ProN" w:cs="Hiragino Mincho ProN"/>
          <w:sz w:val="24"/>
          <w:sz-cs w:val="24"/>
        </w:rPr>
        <w:t xml:space="preserve">コンテンツ・タイトル</w:t>
      </w:r>
      <w:r>
        <w:rPr>
          <w:rFonts w:ascii="Times New Roman" w:hAnsi="Times New Roman" w:cs="Times New Roman"/>
          <w:sz w:val="24"/>
          <w:sz-cs w:val="24"/>
        </w:rPr>
        <w:t xml:space="preserve"/>
      </w:r>
    </w:p>
    <w:p>
      <w:pPr/>
      <w:r>
        <w:rPr>
          <w:rFonts w:ascii="Times New Roman" w:hAnsi="Times New Roman" w:cs="Times New Roman"/>
          <w:sz w:val="24"/>
          <w:sz-cs w:val="24"/>
        </w:rPr>
        <w:t xml:space="preserve">Portfolio Company Interview </w:t>
      </w:r>
    </w:p>
    <w:p>
      <w:pPr/>
      <w:r>
        <w:rPr>
          <w:rFonts w:ascii="Times New Roman" w:hAnsi="Times New Roman" w:cs="Times New Roman"/>
          <w:sz w:val="24"/>
          <w:sz-cs w:val="24"/>
        </w:rPr>
        <w:t xml:space="preserve">Delivering smiles to the local community – Sukesan’s recipe for growth</w:t>
        <w:br/>
        <w:t xml:space="preserve"/>
      </w:r>
    </w:p>
    <w:p>
      <w:pPr/>
      <w:r>
        <w:rPr>
          <w:rFonts w:ascii="Hiragino Mincho ProN" w:hAnsi="Hiragino Mincho ProN" w:cs="Hiragino Mincho ProN"/>
          <w:sz w:val="24"/>
          <w:sz-cs w:val="24"/>
        </w:rPr>
        <w:t xml:space="preserve">前段説明書き</w:t>
      </w:r>
      <w:r>
        <w:rPr>
          <w:rFonts w:ascii="Times New Roman" w:hAnsi="Times New Roman" w:cs="Times New Roman"/>
          <w:sz w:val="24"/>
          <w:sz-cs w:val="24"/>
        </w:rPr>
        <w:t xml:space="preserve"/>
      </w:r>
    </w:p>
    <w:p>
      <w:pPr/>
      <w:r>
        <w:rPr>
          <w:rFonts w:ascii="Times New Roman" w:hAnsi="Times New Roman" w:cs="Times New Roman"/>
          <w:sz w:val="24"/>
          <w:sz-cs w:val="24"/>
        </w:rPr>
        <w:t xml:space="preserve">Headlined by its signature Udon noodles – a beloved “soul food” within the Kitakyushu region, Sukesan has continued to enjoy robust growth and outperformance even under the COVID-19 pandemic. Reo Goto, Unison’s Director responsible for its investment in Sukesan spoke to Mr. Sato, serving as Representative Director and CEO since Unison’s investment, to learn about the relationship between social value and corporate value. </w:t>
      </w:r>
    </w:p>
    <w:p>
      <w:pPr/>
      <w:r>
        <w:rPr>
          <w:rFonts w:ascii="Times New Roman" w:hAnsi="Times New Roman" w:cs="Times New Roman"/>
          <w:sz w:val="24"/>
          <w:sz-cs w:val="24"/>
        </w:rPr>
        <w:t xml:space="preserve"/>
      </w:r>
    </w:p>
    <w:p>
      <w:pPr/>
      <w:r>
        <w:rPr>
          <w:rFonts w:ascii="Hiragino Mincho ProN" w:hAnsi="Hiragino Mincho ProN" w:cs="Hiragino Mincho ProN"/>
          <w:sz w:val="24"/>
          <w:sz-cs w:val="24"/>
        </w:rPr>
        <w:t xml:space="preserve">対談相手紹介</w:t>
      </w:r>
      <w:r>
        <w:rPr>
          <w:rFonts w:ascii="Times New Roman" w:hAnsi="Times New Roman" w:cs="Times New Roman"/>
          <w:sz w:val="24"/>
          <w:sz-cs w:val="24"/>
        </w:rPr>
        <w:t xml:space="preserve"/>
      </w:r>
    </w:p>
    <w:p>
      <w:pPr/>
      <w:r>
        <w:rPr>
          <w:rFonts w:ascii="Times New Roman" w:hAnsi="Times New Roman" w:cs="Times New Roman"/>
          <w:sz w:val="24"/>
          <w:sz-cs w:val="24"/>
        </w:rPr>
        <w:t xml:space="preserve">Takafumi Sato</w:t>
      </w:r>
    </w:p>
    <w:p>
      <w:pPr/>
      <w:r>
        <w:rPr>
          <w:rFonts w:ascii="Times New Roman" w:hAnsi="Times New Roman" w:cs="Times New Roman"/>
          <w:sz w:val="24"/>
          <w:sz-cs w:val="24"/>
        </w:rPr>
        <w:t xml:space="preserve">Representative Director and CEO of Sukesan since Unison’s investment.</w:t>
      </w:r>
    </w:p>
    <w:p>
      <w:pPr/>
      <w:r>
        <w:rPr>
          <w:rFonts w:ascii="Times New Roman" w:hAnsi="Times New Roman" w:cs="Times New Roman"/>
          <w:sz w:val="24"/>
          <w:sz-cs w:val="24"/>
        </w:rPr>
        <w:t xml:space="preserve">Formerly worked at Sony, Boston Consulting Group and Fast Retailing. </w:t>
      </w:r>
    </w:p>
    <w:p>
      <w:pPr/>
      <w:r>
        <w:rPr>
          <w:rFonts w:ascii="Times New Roman" w:hAnsi="Times New Roman" w:cs="Times New Roman"/>
          <w:sz w:val="24"/>
          <w:sz-cs w:val="24"/>
        </w:rPr>
        <w:t xml:space="preserve"/>
      </w:r>
    </w:p>
    <w:p>
      <w:pPr/>
      <w:r>
        <w:rPr>
          <w:rFonts w:ascii="Hiragino Mincho ProN" w:hAnsi="Hiragino Mincho ProN" w:cs="Hiragino Mincho ProN"/>
          <w:sz w:val="24"/>
          <w:sz-cs w:val="24"/>
        </w:rPr>
        <w:t xml:space="preserve">資さん基本情報文（欄外小文字）</w:t>
      </w:r>
      <w:r>
        <w:rPr>
          <w:rFonts w:ascii="Times New Roman" w:hAnsi="Times New Roman" w:cs="Times New Roman"/>
          <w:sz w:val="24"/>
          <w:sz-cs w:val="24"/>
        </w:rPr>
        <w:t xml:space="preserve"/>
      </w:r>
    </w:p>
    <w:p>
      <w:pPr/>
      <w:r>
        <w:rPr>
          <w:rFonts w:ascii="Times New Roman" w:hAnsi="Times New Roman" w:cs="Times New Roman"/>
          <w:sz w:val="24"/>
          <w:sz-cs w:val="24"/>
        </w:rPr>
        <w:t xml:space="preserve">Sukesan, Co., Ltd.</w:t>
      </w:r>
    </w:p>
    <w:p>
      <w:pPr/>
      <w:r>
        <w:rPr>
          <w:rFonts w:ascii="Times New Roman" w:hAnsi="Times New Roman" w:cs="Times New Roman"/>
          <w:sz w:val="24"/>
          <w:sz-cs w:val="24"/>
        </w:rPr>
        <w:t xml:space="preserve">Established in 1976, Sukesan operates a chain of 56 restaurants (as of August 31</w:t>
      </w:r>
      <w:r>
        <w:rPr>
          <w:rFonts w:ascii="Times New Roman" w:hAnsi="Times New Roman" w:cs="Times New Roman"/>
          <w:sz w:val="24"/>
          <w:sz-cs w:val="24"/>
          <w:vertAlign w:val="superscript"/>
        </w:rPr>
        <w:t xml:space="preserve">st</w:t>
      </w:r>
      <w:r>
        <w:rPr>
          <w:rFonts w:ascii="Times New Roman" w:hAnsi="Times New Roman" w:cs="Times New Roman"/>
          <w:sz w:val="24"/>
          <w:sz-cs w:val="24"/>
        </w:rPr>
        <w:t xml:space="preserve"> 2021) under the “Sukesan Udon” brand across five prefectures, mainly concentrated in the Kitakyushu region. Unison acquired Sukesan in March 2018 from a regional financial institution which had provided a temporary business succession solution following the founder’s passing. </w:t>
        <w:b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p>
    <w:p>
      <w:pPr/>
      <w:r>
        <w:rPr>
          <w:rFonts w:ascii="Hiragino Mincho ProN" w:hAnsi="Hiragino Mincho ProN" w:cs="Hiragino Mincho ProN"/>
          <w:sz w:val="24"/>
          <w:sz-cs w:val="24"/>
        </w:rPr>
        <w:t xml:space="preserve">対談本文　　　　※</w:t>
      </w:r>
      <w:r>
        <w:rPr>
          <w:rFonts w:ascii="Times New Roman" w:hAnsi="Times New Roman" w:cs="Times New Roman"/>
          <w:sz w:val="24"/>
          <w:sz-cs w:val="24"/>
        </w:rPr>
        <w:t xml:space="preserve">2,789</w:t>
      </w:r>
      <w:r>
        <w:rPr>
          <w:rFonts w:ascii="Hiragino Mincho ProN" w:hAnsi="Hiragino Mincho ProN" w:cs="Hiragino Mincho ProN"/>
          <w:sz w:val="24"/>
          <w:sz-cs w:val="24"/>
        </w:rPr>
        <w:t xml:space="preserve">文字</w:t>
      </w: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Reo Goto</w:t>
      </w:r>
    </w:p>
    <w:p>
      <w:pPr/>
      <w:r>
        <w:rPr>
          <w:rFonts w:ascii="Times New Roman" w:hAnsi="Times New Roman" w:cs="Times New Roman"/>
          <w:sz w:val="24"/>
          <w:sz-cs w:val="24"/>
        </w:rPr>
        <w:t xml:space="preserve">Thank you for your time today. Let’s jump right into the main focus – your view on the relationship between social value and corporate value and its implications on Sukesan. </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Takafumi Sato</w:t>
      </w:r>
    </w:p>
    <w:p>
      <w:pPr/>
      <w:r>
        <w:rPr>
          <w:rFonts w:ascii="Times New Roman" w:hAnsi="Times New Roman" w:cs="Times New Roman"/>
          <w:sz w:val="24"/>
          <w:sz-cs w:val="24"/>
        </w:rPr>
        <w:t xml:space="preserve">Sukesan has been recognized and embraced by the local community as “soul food”, and this has been the underlying driver behind its growth. As Udon noodles are a daily meal, Sukesan is supported by a loyal fan base. Creating this kind of support will be crucial for Sukesan to succeed when it expands its regional footprint. Another aspect that cannot be ignored is for Sukesan to be an attractive workplace for the local community. Expansion is not possible without the employees to support it, and maintaining high motivation among employees is key for increasing customer satisfaction. As such, social value directly translates to corporate value. </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Reo</w:t>
      </w:r>
    </w:p>
    <w:p>
      <w:pPr/>
      <w:r>
        <w:rPr>
          <w:rFonts w:ascii="Times New Roman" w:hAnsi="Times New Roman" w:cs="Times New Roman"/>
          <w:sz w:val="24"/>
          <w:sz-cs w:val="24"/>
        </w:rPr>
        <w:t xml:space="preserve">It’s simple when you put it that way, but I assume there have been challenges along the way until the company acknowledged this concept. Could you reflect on how things were when you were first appointed CEO?  </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Takafumi</w:t>
      </w:r>
    </w:p>
    <w:p>
      <w:pPr/>
      <w:r>
        <w:rPr>
          <w:rFonts w:ascii="Times New Roman" w:hAnsi="Times New Roman" w:cs="Times New Roman"/>
          <w:sz w:val="24"/>
          <w:sz-cs w:val="24"/>
        </w:rPr>
        <w:t xml:space="preserve">Sukesan’s founder had always emphasized the importance of the local community. I was appointed CEO three years after his passing, and soon noticed that the company was trying hard to maintain this spirit. However, the company lacked a longer-term vision, and perspectives related to how that connected with the doing good within the local community. The working environment was also a challenge, where overtime work was still being glorified. We struggled with new hires at first, largely due to this outdated culture.</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Reo</w:t>
      </w:r>
    </w:p>
    <w:p>
      <w:pPr/>
      <w:r>
        <w:rPr>
          <w:rFonts w:ascii="Times New Roman" w:hAnsi="Times New Roman" w:cs="Times New Roman"/>
          <w:sz w:val="24"/>
          <w:sz-cs w:val="24"/>
        </w:rPr>
        <w:t xml:space="preserve">Starting with strengthening the organizational infrastructure soon after your appointment, you have actively led multiple corporate reform initiatives, leading to strong growth. The pursuit of social value also seems to have progressed significantly – looking back, at what point during your tenure was there an inflection point? </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Takafumi</w:t>
      </w:r>
    </w:p>
    <w:p>
      <w:pPr/>
      <w:r>
        <w:rPr>
          <w:rFonts w:ascii="Times New Roman" w:hAnsi="Times New Roman" w:cs="Times New Roman"/>
          <w:sz w:val="24"/>
          <w:sz-cs w:val="24"/>
        </w:rPr>
        <w:t xml:space="preserve">Probably when we put together our corporate credo. I humbly realized at an early stage in my tenure that I cannot take the late founder’s place. Hence, I figured it was instead my mission to guide the employees towards the right direction over the longer-term, and to trigger a change in mindset where our employees take more pride and joy in their work. We spent six months involved many employees in discussions and workshops to come up with the phrase, “a bowl of happiness”, which embodies our corporate credo. In doing so, we were also able to reclarify our mission, goals, and code of conduct in a simple manner – the pursuit of social value we spoke about earlier is also defined as part of this. Sukesan’s employees have always been very disciplined about achieving their sales budget whilst maintaining great service quality. However, these efforts were often too short-sighted. Defining our corporate credo and more importantly, involving many employees in the process of doing so has helped our employees have a clear idea of how want to be perceived by our customers and the local community over the longer-term. I think our employees have now realized that with the right long-term vision in place, growth and financial performance will follow. As part of implementing and promoting this renewed mindset, Mr. Toyosaki* has kindly provided valuable advice based on his experience at Sushiro. </w:t>
        <w:br/>
        <w:t xml:space="preserve"/>
        <w:br/>
        <w:t xml:space="preserve"/>
      </w:r>
      <w:r>
        <w:rPr>
          <w:rFonts w:ascii="Hiragino Mincho ProN" w:hAnsi="Hiragino Mincho ProN" w:cs="Hiragino Mincho ProN"/>
          <w:sz w:val="24"/>
          <w:sz-cs w:val="24"/>
          <w:color w:val="7030A0"/>
        </w:rPr>
        <w:t xml:space="preserve">＜欄外小文字＞</w:t>
      </w:r>
      <w:r>
        <w:rPr>
          <w:rFonts w:ascii="Times New Roman" w:hAnsi="Times New Roman" w:cs="Times New Roman"/>
          <w:sz w:val="24"/>
          <w:sz-cs w:val="24"/>
          <w:color w:val="7030A0"/>
        </w:rPr>
        <w:t xml:space="preserve"/>
      </w:r>
    </w:p>
    <w:p>
      <w:pPr/>
      <w:r>
        <w:rPr>
          <w:rFonts w:ascii="Times New Roman" w:hAnsi="Times New Roman" w:cs="Times New Roman"/>
          <w:sz w:val="24"/>
          <w:sz-cs w:val="24"/>
          <w:color w:val="7030A0"/>
        </w:rPr>
        <w:t xml:space="preserve">*Appointed as an outside board member of Sukesan in October 2018 (six months following Unison’s investment). Former CEO of Sushiro (currently FOOD &amp; LIFE COMPANIES Ltd.) during Unison’s investment.</w:t>
      </w:r>
    </w:p>
    <w:p>
      <w:pPr/>
      <w:r>
        <w:rPr>
          <w:rFonts w:ascii="Times New Roman" w:hAnsi="Times New Roman" w:cs="Times New Roman"/>
          <w:sz w:val="24"/>
          <w:sz-cs w:val="24"/>
          <w:color w:val="7030A0"/>
        </w:rPr>
        <w:t xml:space="preserve"/>
      </w:r>
    </w:p>
    <w:p>
      <w:pPr/>
      <w:r>
        <w:rPr>
          <w:rFonts w:ascii="Times New Roman" w:hAnsi="Times New Roman" w:cs="Times New Roman"/>
          <w:sz w:val="24"/>
          <w:sz-cs w:val="24"/>
          <w:color w:val="0070C0"/>
        </w:rPr>
        <w:t xml:space="preserve">Reo</w:t>
      </w:r>
    </w:p>
    <w:p>
      <w:pPr/>
      <w:r>
        <w:rPr>
          <w:rFonts w:ascii="Times New Roman" w:hAnsi="Times New Roman" w:cs="Times New Roman"/>
          <w:sz w:val="24"/>
          <w:sz-cs w:val="24"/>
        </w:rPr>
        <w:t xml:space="preserve">It sounds like the change in leadership has been a great opportunity for Sukesan to transform from a one-man operation led by the founder into an organization where every employee thinks and acts for themselves. I can tell from daily interactions that the employees are highly motivated and feel fortunate to have been able to invest in Sukesan during a time where this kind of exciting change is taking place. </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Takafumi</w:t>
      </w:r>
    </w:p>
    <w:p>
      <w:pPr/>
      <w:r>
        <w:rPr>
          <w:rFonts w:ascii="Times New Roman" w:hAnsi="Times New Roman" w:cs="Times New Roman"/>
          <w:sz w:val="24"/>
          <w:sz-cs w:val="24"/>
        </w:rPr>
        <w:t xml:space="preserve">The backing from Unison is certainly helpful in unlocking the true potential of not only the company itself, but also the management team. It’s easy for management’s perspective to be clouded by short-term performance. Unison’s perspective on sustainable longer-term growth always helps us recognize the bigger picture, and helps put our minds on the right track – although sometimes excessive (laughs).</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Reo</w:t>
      </w:r>
    </w:p>
    <w:p>
      <w:pPr/>
      <w:r>
        <w:rPr>
          <w:rFonts w:ascii="Times New Roman" w:hAnsi="Times New Roman" w:cs="Times New Roman"/>
          <w:sz w:val="24"/>
          <w:sz-cs w:val="24"/>
        </w:rPr>
        <w:t xml:space="preserve">Whether it be for short-term earnings or the pursuit of longer term social and corporate value, we surely have high expectations (laughs). </w:t>
      </w:r>
    </w:p>
    <w:p>
      <w:pPr/>
      <w:r>
        <w:rPr>
          <w:rFonts w:ascii="Times New Roman" w:hAnsi="Times New Roman" w:cs="Times New Roman"/>
          <w:sz w:val="24"/>
          <w:sz-cs w:val="24"/>
        </w:rPr>
        <w:t xml:space="preserve">On a separate note, I noticed that Sukesan has recently been more active on the PR front, introducing its socioeconomic activities on its company website. What are some areas you are currently prioritizing? </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Takafumi</w:t>
      </w:r>
    </w:p>
    <w:p>
      <w:pPr/>
      <w:r>
        <w:rPr>
          <w:rFonts w:ascii="Times New Roman" w:hAnsi="Times New Roman" w:cs="Times New Roman"/>
          <w:sz w:val="24"/>
          <w:sz-cs w:val="24"/>
        </w:rPr>
        <w:t xml:space="preserve">One theme we are increasingly focused on recently is children and the local youth community. Sukesan’s sustainability and growth is inseparable from that of the local community. As children are the future of the local community, we strive to create an environment in which parents can easily raise their children with no hassles. The children that enjoy Sukesan may come back when they grow older, or possibly even work at Sukesan in the future. As many of our employees are parents themselves, it seemed only natural for Sukesan to play a role in increasing children’s loyalty to the local community as part of our sustainable growth. </w:t>
      </w:r>
    </w:p>
    <w:p>
      <w:pPr/>
      <w:r>
        <w:rPr>
          <w:rFonts w:ascii="Times New Roman" w:hAnsi="Times New Roman" w:cs="Times New Roman"/>
          <w:sz w:val="24"/>
          <w:sz-cs w:val="24"/>
        </w:rPr>
        <w:t xml:space="preserve">As part of this initiative, we have newly introduced a kid’s menu, and have also promoted discounts during school closures under the COVID-19 pandemic to encourage family dining with children. We have also used our kitchen car to deliver freshly made Udon noodles to local orphanages. As the COVID-19 pandemic has limited outdoor dining for children in orphanages, one of the children had a huge smile on his face, saying that this is the best thing he has had in a year – seeing tangible results like this, I feel like it is our mission to do this as part of serving the local community. </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Reo</w:t>
      </w:r>
    </w:p>
    <w:p>
      <w:pPr/>
      <w:r>
        <w:rPr>
          <w:rFonts w:ascii="Times New Roman" w:hAnsi="Times New Roman" w:cs="Times New Roman"/>
          <w:sz w:val="24"/>
          <w:sz-cs w:val="24"/>
        </w:rPr>
        <w:t xml:space="preserve">I feel like this is a great effort for everyone that will lead to longer-term corporate value enhancement as well.</w:t>
      </w:r>
    </w:p>
    <w:p>
      <w:pPr/>
      <w:r>
        <w:rPr>
          <w:rFonts w:ascii="Times New Roman" w:hAnsi="Times New Roman" w:cs="Times New Roman"/>
          <w:sz w:val="24"/>
          <w:sz-cs w:val="24"/>
        </w:rPr>
        <w:t xml:space="preserve">Lastly, let’s talk about Sukesan’s regional expansion plans. What are some of the initiatives you plan to focus on going forward, with further regional expansion in perspective? </w:t>
        <w:br/>
        <w:t xml:space="preserve"/>
      </w:r>
    </w:p>
    <w:p>
      <w:pPr/>
      <w:r>
        <w:rPr>
          <w:rFonts w:ascii="Times New Roman" w:hAnsi="Times New Roman" w:cs="Times New Roman"/>
          <w:sz w:val="24"/>
          <w:sz-cs w:val="24"/>
          <w:color w:val="0070C0"/>
        </w:rPr>
        <w:t xml:space="preserve">Takafumi</w:t>
      </w:r>
    </w:p>
    <w:p>
      <w:pPr/>
      <w:r>
        <w:rPr>
          <w:rFonts w:ascii="Times New Roman" w:hAnsi="Times New Roman" w:cs="Times New Roman"/>
          <w:sz w:val="24"/>
          <w:sz-cs w:val="24"/>
        </w:rPr>
        <w:t xml:space="preserve">Improvements to the current working environment are crucial. Since being appointed CEO, I have successfully increased store staff holidays by 50%, and significantly reduced overtime hours as well. These achievements were not simply a result of policy reform or strengthening monitoring, but rather changing the culture and values associated with overtime work being glorified. However, this progress is insufficient if Sukesan aims higher to be the most desirable workplace across the Japanese F&amp;B industry – we need to do much more with further improving the working environment and promoting diversity and inclusion. </w:t>
      </w:r>
    </w:p>
    <w:p>
      <w:pPr/>
      <w:r>
        <w:rPr>
          <w:rFonts w:ascii="Times New Roman" w:hAnsi="Times New Roman" w:cs="Times New Roman"/>
          <w:sz w:val="24"/>
          <w:sz-cs w:val="24"/>
        </w:rPr>
        <w:t xml:space="preserve">Simply put, employee satisfaction is prerequisite to customer satisfaction. Based on our corporate credo, “a bowl of happiness”, I hope to be able to establish a positive spiral of happiness for both employees and customers, which will be key to our growth going forward.</w:t>
      </w:r>
    </w:p>
    <w:p>
      <w:pPr/>
      <w:r>
        <w:rPr>
          <w:rFonts w:ascii="Times New Roman" w:hAnsi="Times New Roman" w:cs="Times New Roman"/>
          <w:sz w:val="24"/>
          <w:sz-cs w:val="24"/>
        </w:rPr>
        <w:t xml:space="preserve"/>
      </w:r>
    </w:p>
    <w:p>
      <w:pPr/>
      <w:r>
        <w:rPr>
          <w:rFonts w:ascii="Times New Roman" w:hAnsi="Times New Roman" w:cs="Times New Roman"/>
          <w:sz w:val="24"/>
          <w:sz-cs w:val="24"/>
          <w:color w:val="0070C0"/>
        </w:rPr>
        <w:t xml:space="preserve">Reo</w:t>
      </w:r>
    </w:p>
    <w:p>
      <w:pPr/>
      <w:r>
        <w:rPr>
          <w:rFonts w:ascii="Times New Roman" w:hAnsi="Times New Roman" w:cs="Times New Roman"/>
          <w:sz w:val="24"/>
          <w:sz-cs w:val="24"/>
        </w:rPr>
        <w:t xml:space="preserve">Thank you for your time today. We very much look forward to continue working hand in hand with the management team towards a promising future.</w:t>
      </w:r>
    </w:p>
    <w:p>
      <w:pPr/>
      <w:r>
        <w:rPr>
          <w:rFonts w:ascii="Times" w:hAnsi="Times" w:cs="Times"/>
          <w:sz w:val="24"/>
          <w:sz-cs w:val="24"/>
        </w:rPr>
        <w:t xml:space="preserve">The COVID-19 pandemic was a perfect storm to shed a light on the working environment of medical practitioners and the structural issues deeply rooted in Japan’s healthcare system. While these issues have been amplified by the pandemic, they have always been prevalent given Japan’s aging population.</w:t>
      </w:r>
    </w:p>
    <w:p>
      <w:pPr/>
      <w:r>
        <w:rPr>
          <w:rFonts w:ascii="Times" w:hAnsi="Times" w:cs="Times"/>
          <w:sz w:val="24"/>
          <w:sz-cs w:val="24"/>
        </w:rPr>
        <w:t xml:space="preserve">Japan’s healthcare system is well suited to its culture and is generally considered successful in comparison to other nations. As beneficiaries of this system, we have a strong desire to address these challenges, ultimately leaving an even better healthcare system for generations to follow.</w:t>
      </w:r>
    </w:p>
    <w:p>
      <w:pPr/>
      <w:r>
        <w:rPr>
          <w:rFonts w:ascii="Times" w:hAnsi="Times" w:cs="Times"/>
          <w:sz w:val="24"/>
          <w:sz-cs w:val="24"/>
        </w:rPr>
        <w:t xml:space="preserve">Healthcare service providers face a conundrum in which the demand for higher quality and more efficient services keep increasing, while challenges associated with labor shortage and the lack of successors are also increasingly relevant. The COVID-19 pandemic has magnified these challenges, raising the urgency for revisiting the healthcare system as a whole in Japan.</w:t>
      </w:r>
    </w:p>
    <w:p>
      <w:pPr/>
      <w:r>
        <w:rPr>
          <w:rFonts w:ascii="Times" w:hAnsi="Times" w:cs="Times"/>
          <w:sz w:val="24"/>
          <w:sz-cs w:val="24"/>
        </w:rPr>
        <w:t xml:space="preserve">CHCP Group aggregates various healthcare service providers such as hospitals, community pharmacies, home-nursing services and etc., promoting collaborations across various healthcare service providers to address the abovementioned issues through optimizing staffing, and in some cases, even identifying potential successors. The objective is to build a framework that encompasses patients of the local community by providing a comprehensive care package comprised of acute-care, post-acute care/rehabilitation, and home nursing services.</w:t>
      </w:r>
    </w:p>
    <w:p>
      <w:pPr/>
      <w:r>
        <w:rPr>
          <w:rFonts w:ascii="Times" w:hAnsi="Times" w:cs="Times"/>
          <w:sz w:val="24"/>
          <w:sz-cs w:val="24"/>
        </w:rPr>
        <w:t xml:space="preserve">We are confident that these efforts will not only improve the quality of services offered by healthcare service providers, but also promote greater satisfaction among patients, medical practitioners, and local communities as a whole.</w:t>
      </w:r>
    </w:p>
    <w:p>
      <w:pPr/>
      <w:r>
        <w:rPr>
          <w:rFonts w:ascii="Times" w:hAnsi="Times" w:cs="Times"/>
          <w:sz w:val="24"/>
          <w:sz-cs w:val="24"/>
        </w:rPr>
        <w:t xml:space="preserve">The COVID-19 pandemic has raised attention towards revisiting healthcare systems globally. Hence, the unique solution CHCP Group provides to local communities through promoting collaborations across various different types of healthcare service providers is expected to be increasingly relevant going forward.</w:t>
      </w:r>
    </w:p>
    <w:p>
      <w:pPr/>
      <w:r>
        <w:rPr>
          <w:rFonts w:ascii="Times" w:hAnsi="Times" w:cs="Times"/>
          <w:sz w:val="24"/>
          <w:sz-cs w:val="24"/>
        </w:rPr>
        <w:t xml:space="preserve">Adopting ICT systems and technological innovation is considered key to driving the aforementioned solutions, and this is a key focus area CHCP Group is actively involved in. The COVID-19 pandemic has accelerated such trends, in which certain countries have effectively contained the pandemic through utilizing healthcare-related data, and new service providers have surfaced on the back of digitalization. CHCP Group seeks to optimize healthcare solutions provided within the local communities it serves by seamlessly integrating various healthcare services and medical resources catering to individual patients. In doing so, CHCP Group hopes to actively pursue collaborative initiatives involving research institutions, startups with disruptive technologies, local municipalities, as well as overseas healthcare players to accelerate this process through innovation.</w:t>
        <w:br/>
        <w:t xml:space="preserve"/>
        <w:br/>
        <w:t xml:space="preserve">We greatly appreciate your continued support and patronage towards CHCP Group, which continues to promote unique healthcare solutions and new value to local communities.</w:t>
      </w:r>
    </w:p>
    <w:p>
      <w:pPr/>
      <w:r>
        <w:rPr>
          <w:rFonts w:ascii="Times" w:hAnsi="Times" w:cs="Times"/>
          <w:sz w:val="24"/>
          <w:sz-cs w:val="24"/>
        </w:rPr>
        <w:t xml:space="preserve">Thank you for taking the time to read our first Sustainability Report. We have tried to broadly cover as many topics in relation to our ESG activities as possible, and we sincerely hope you have found the contents informative and enjoyable.</w:t>
      </w:r>
    </w:p>
    <w:p>
      <w:pPr/>
      <w:r>
        <w:rPr>
          <w:rFonts w:ascii="Times" w:hAnsi="Times" w:cs="Times"/>
          <w:sz w:val="24"/>
          <w:sz-cs w:val="24"/>
        </w:rPr>
        <w:t xml:space="preserve">Having recently joined Unison’s Investor Solutions Team in the midst of the COVID-19 pandemic and being restricted to travel, editing this report has granted me the opportunity to travel to Sukesan’s headquarters to take part in the interview introduced earlier. The trip came with an opportunity for me to try Sukesan’s signature udon noodles for the first time, which was absolutely delicious, embodying all of the aspirations the first generation founder had for Sukesan to grow to a become a beloved company within its local community. Learning about all of the effort that goes behind preparing this local delicacy, for the soup being prepared early every morning to freshly made noodles being delivered from the factory to each restaurant, this valuable experience has allowed me to truly understand why Sukesan is perceived as a "soul food" of its local community, and I have become a fan myself. Most importantly, this experience has reminded me first hand of the responsibility we incur to the local community of our portfolio companies as private equity investors. </w:t>
      </w:r>
    </w:p>
    <w:p>
      <w:pPr/>
      <w:r>
        <w:rPr>
          <w:rFonts w:ascii="Times" w:hAnsi="Times" w:cs="Times"/>
          <w:sz w:val="24"/>
          <w:sz-cs w:val="24"/>
        </w:rPr>
        <w:t xml:space="preserve">The summer of 2021 has been quite a busy one for Unison, largely due to the joint vaccination programs catered to the Unison and CHCP Group and its portfolio companies introduced earlier, which has been a collaborative and firm-wide effort in every sense. It was an incredible experience to take part in, and amazing to witness the social impact that can be achieved with Unison, CHCP Group and our portfolio companies working hand in hand. The joint vaccination program came about after learning that Unison’s smaller portfolio companies (with less than 1,000 employees) were to be excluded from government-led workplace vaccination programs. Our intentions were simple – to be able to provide as many employees of our portfolio companies with vaccination opportunities that were otherwise not possible. Taking part in these operations and seeing the number of people who took advantage of the program to be vaccinated first hand, I am truly thankful to the colleagues who made this possible.</w:t>
      </w:r>
    </w:p>
    <w:p>
      <w:pPr/>
      <w:r>
        <w:rPr>
          <w:rFonts w:ascii="Times" w:hAnsi="Times" w:cs="Times"/>
          <w:sz w:val="24"/>
          <w:sz-cs w:val="24"/>
        </w:rPr>
        <w:t xml:space="preserve">We plan to continue issuing our Sustainability Report annually, and cordially welcome any feedback or comments to improve the report. Lastly, please feel free to contact us should there be any topics of your interest to be covered in future reports.</w:t>
      </w:r>
    </w:p>
    <w:p>
      <w:pPr/>
      <w:r>
        <w:rPr>
          <w:rFonts w:ascii="Times" w:hAnsi="Times" w:cs="Times"/>
          <w:sz w:val="24"/>
          <w:sz-cs w:val="24"/>
        </w:rPr>
        <w:t xml:space="preserve"/>
      </w:r>
    </w:p>
    <w:p>
      <w:pPr>
        <w:jc w:val="right"/>
      </w:pPr>
      <w:r>
        <w:rPr>
          <w:rFonts w:ascii="Times" w:hAnsi="Times" w:cs="Times"/>
          <w:sz w:val="24"/>
          <w:sz-cs w:val="24"/>
        </w:rPr>
        <w:t xml:space="preserve">Eri Kawana</w:t>
        <w:br/>
        <w:t xml:space="preserve">Editor</w:t>
      </w:r>
    </w:p>
    <w:p>
      <w:pPr/>
      <w:r>
        <w:rPr>
          <w:rFonts w:ascii="Times" w:hAnsi="Times" w:cs="Times"/>
          <w:sz w:val="24"/>
          <w:sz-cs w:val="24"/>
        </w:rPr>
        <w:t xml:space="preserve"/>
      </w:r>
    </w:p>
    <w:sectPr>
      <w:pgSz w:w="11900" w:h="16840"/>
      <w:pgMar w:top="1985" w:right="1701" w:bottom="1701"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